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Hiragino Sans GB W6" w:hAnsi="Hiragino Sans GB W6" w:eastAsia="Hiragino Sans GB W6"/>
          <w:b/>
          <w:color w:val="000000"/>
          <w:sz w:val="48"/>
        </w:rPr>
        <w:t>SAP AI Agent 能力维护说明</w:t>
      </w:r>
    </w:p>
    <w:p>
      <w:pPr>
        <w:spacing w:after="240"/>
      </w:pPr>
      <w:r>
        <w:rPr>
          <w:rFonts w:ascii="Hiragino Sans GB W3" w:hAnsi="Hiragino Sans GB W3" w:eastAsia="Hiragino Sans GB W3"/>
          <w:b/>
          <w:color w:val="1F6F78"/>
          <w:sz w:val="24"/>
        </w:rPr>
        <w:t>能力入口、模型提示、工具注册与新增业务能力流程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shd w:fill="1F6F7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center"/>
          </w:tcPr>
          <w:p>
            <w:pPr>
              <w:jc w:val="left"/>
            </w:pPr>
            <w:r/>
            <w:r>
              <w:rPr>
                <w:rFonts w:ascii="Hiragino Sans GB W6" w:hAnsi="Hiragino Sans GB W6" w:eastAsia="Hiragino Sans GB W6"/>
                <w:b/>
                <w:color w:val="FFFFFF"/>
                <w:sz w:val="19"/>
              </w:rPr>
              <w:t>文档版本</w:t>
            </w:r>
          </w:p>
        </w:tc>
        <w:tc>
          <w:tcPr>
            <w:tcW w:type="dxa" w:w="5040"/>
            <w:shd w:fill="1F6F7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center"/>
          </w:tcPr>
          <w:p>
            <w:pPr>
              <w:jc w:val="left"/>
            </w:pPr>
            <w:r/>
            <w:r>
              <w:rPr>
                <w:rFonts w:ascii="Hiragino Sans GB W6" w:hAnsi="Hiragino Sans GB W6" w:eastAsia="Hiragino Sans GB W6"/>
                <w:b/>
                <w:color w:val="FFFFFF"/>
                <w:sz w:val="19"/>
              </w:rPr>
              <w:t>适用范围</w:t>
            </w:r>
          </w:p>
        </w:tc>
        <w:tc>
          <w:tcPr>
            <w:tcW w:type="dxa" w:w="2160"/>
            <w:shd w:fill="1F6F7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center"/>
          </w:tcPr>
          <w:p>
            <w:pPr>
              <w:jc w:val="left"/>
            </w:pPr>
            <w:r/>
            <w:r>
              <w:rPr>
                <w:rFonts w:ascii="Hiragino Sans GB W6" w:hAnsi="Hiragino Sans GB W6" w:eastAsia="Hiragino Sans GB W6"/>
                <w:b/>
                <w:color w:val="FFFFFF"/>
                <w:sz w:val="19"/>
              </w:rPr>
              <w:t>更新时间</w:t>
            </w:r>
          </w:p>
        </w:tc>
      </w:tr>
      <w:tr>
        <w:tc>
          <w:tcPr>
            <w:tcW w:type="dxa" w:w="158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5040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backend-abap Agent 能力链路</w:t>
            </w:r>
          </w:p>
        </w:tc>
        <w:tc>
          <w:tcPr>
            <w:tcW w:type="dxa" w:w="2160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2026-10-06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2"/>
        </w:rPr>
        <w:t>这份文档回答三个问题：Agent 怎么知道自己能做什么；系统通过哪些入口把能力告诉模型；以后增加采购、销售、生产、财务等业务能力时，应该改哪里、测什么。</w:t>
      </w:r>
    </w:p>
    <w:p>
      <w:pPr>
        <w:spacing w:after="180"/>
      </w:pPr>
      <w:r>
        <w:rPr>
          <w:rFonts w:ascii="Hiragino Sans GB W3" w:hAnsi="Hiragino Sans GB W3" w:eastAsia="Hiragino Sans GB W3"/>
          <w:b/>
          <w:color w:val="000000"/>
          <w:sz w:val="21"/>
          <w:highlight w:val="yellow"/>
        </w:rPr>
        <w:t>最关键的结论：Prompt 只能告诉模型“应该怎么做”，工具注册、权限校验和执行代码才决定系统“实际上能不能做”。新增真实业务能力必须形成完整闭环，不能只改提示词。</w:t>
      </w:r>
    </w:p>
    <w:p>
      <w:pPr>
        <w:pStyle w:val="Heading1"/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目录</w:t>
      </w:r>
    </w:p>
    <w:p>
      <w:pPr>
        <w:pStyle w:val="ListBullet"/>
        <w:spacing w:after="6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一、Agent 能力是怎样进入模型的</w:t>
      </w:r>
    </w:p>
    <w:p>
      <w:pPr>
        <w:pStyle w:val="ListBullet"/>
        <w:spacing w:after="6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二、各维护入口分别管什么</w:t>
      </w:r>
    </w:p>
    <w:p>
      <w:pPr>
        <w:pStyle w:val="ListBullet"/>
        <w:spacing w:after="6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三、增加业务能力时先选哪条路线</w:t>
      </w:r>
    </w:p>
    <w:p>
      <w:pPr>
        <w:pStyle w:val="ListBullet"/>
        <w:spacing w:after="6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四、新增一个固定业务工具的实施步骤</w:t>
      </w:r>
    </w:p>
    <w:p>
      <w:pPr>
        <w:pStyle w:val="ListBullet"/>
        <w:spacing w:after="6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五、能力定义模板</w:t>
      </w:r>
    </w:p>
    <w:p>
      <w:pPr>
        <w:pStyle w:val="ListBullet"/>
        <w:spacing w:after="6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六、上线前验收清单</w:t>
      </w:r>
    </w:p>
    <w:p>
      <w:pPr>
        <w:pStyle w:val="ListBullet"/>
        <w:spacing w:after="6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七、当前代码需要留意的问题</w:t>
      </w:r>
    </w:p>
    <w:p>
      <w:pPr>
        <w:pStyle w:val="Heading1"/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一、Agent 能力是怎样进入模型的</w:t>
      </w:r>
    </w:p>
    <w:p>
      <w:pPr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一次 Agent 请求从前端进入 AnalyzeAgent 后，后端按下面顺序准备上下文。模型看到的不是整个后端代码，而是后端动态拼出来的 system 提示词、领域说明和工具清单。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648"/>
            <w:shd w:fill="1F6F7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center"/>
          </w:tcPr>
          <w:p>
            <w:pPr>
              <w:jc w:val="left"/>
            </w:pPr>
            <w:r/>
            <w:r>
              <w:rPr>
                <w:rFonts w:ascii="Hiragino Sans GB W6" w:hAnsi="Hiragino Sans GB W6" w:eastAsia="Hiragino Sans GB W6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2232"/>
            <w:shd w:fill="1F6F7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center"/>
          </w:tcPr>
          <w:p>
            <w:pPr>
              <w:jc w:val="left"/>
            </w:pPr>
            <w:r/>
            <w:r>
              <w:rPr>
                <w:rFonts w:ascii="Hiragino Sans GB W6" w:hAnsi="Hiragino Sans GB W6" w:eastAsia="Hiragino Sans GB W6"/>
                <w:b/>
                <w:color w:val="FFFFFF"/>
                <w:sz w:val="19"/>
              </w:rPr>
              <w:t>入口</w:t>
            </w:r>
          </w:p>
        </w:tc>
        <w:tc>
          <w:tcPr>
            <w:tcW w:type="dxa" w:w="6768"/>
            <w:shd w:fill="1F6F7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center"/>
          </w:tcPr>
          <w:p>
            <w:pPr>
              <w:jc w:val="left"/>
            </w:pPr>
            <w:r/>
            <w:r>
              <w:rPr>
                <w:rFonts w:ascii="Hiragino Sans GB W6" w:hAnsi="Hiragino Sans GB W6" w:eastAsia="Hiragino Sans GB W6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6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32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入口</w:t>
            </w:r>
          </w:p>
        </w:tc>
        <w:tc>
          <w:tcPr>
            <w:tcW w:type="dxa" w:w="676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前端 ChatService.js 调用 AnalyzeAgent，后端 DPC_EXT 转给 ZCL_AI_AGENT_SERVICE=&gt;ANALYZE_AGENT。</w:t>
            </w:r>
          </w:p>
        </w:tc>
      </w:tr>
      <w:tr>
        <w:tc>
          <w:tcPr>
            <w:tcW w:type="dxa" w:w="6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32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领域路由</w:t>
            </w:r>
          </w:p>
        </w:tc>
        <w:tc>
          <w:tcPr>
            <w:tcW w:type="dxa" w:w="676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ZCL_AI_DOMAIN_CARDS=&gt;MATCH_DOMAIN 根据问题关键词选择 GENERAL、INVENTORY 或 DATA。</w:t>
            </w:r>
          </w:p>
        </w:tc>
      </w:tr>
      <w:tr>
        <w:tc>
          <w:tcPr>
            <w:tcW w:type="dxa" w:w="6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232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领域说明</w:t>
            </w:r>
          </w:p>
        </w:tc>
        <w:tc>
          <w:tcPr>
            <w:tcW w:type="dxa" w:w="676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ZCL_AI_DOMAIN_CARDS=&gt;GET_CARD 注入业务口径、工具使用顺序、报告模板和自查规则。</w:t>
            </w:r>
          </w:p>
        </w:tc>
      </w:tr>
      <w:tr>
        <w:tc>
          <w:tcPr>
            <w:tcW w:type="dxa" w:w="6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232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工具清单</w:t>
            </w:r>
          </w:p>
        </w:tc>
        <w:tc>
          <w:tcPr>
            <w:tcW w:type="dxa" w:w="676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ZCL_AI_TOOL_REGISTRY=&gt;GET_TOOLS_FOR_DOMAIN 返回当前领域允许展示给模型的工具。</w:t>
            </w:r>
          </w:p>
        </w:tc>
      </w:tr>
      <w:tr>
        <w:tc>
          <w:tcPr>
            <w:tcW w:type="dxa" w:w="6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232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协议提示</w:t>
            </w:r>
          </w:p>
        </w:tc>
        <w:tc>
          <w:tcPr>
            <w:tcW w:type="dxa" w:w="676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ZCL_AI_AGENT_SERVICE=&gt;BUILD_PROTOCOL_PROMPT 拼出工具描述、参数 Schema 和 action=tool/final JSON 协议。</w:t>
            </w:r>
          </w:p>
        </w:tc>
      </w:tr>
      <w:tr>
        <w:tc>
          <w:tcPr>
            <w:tcW w:type="dxa" w:w="6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232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模型决策</w:t>
            </w:r>
          </w:p>
        </w:tc>
        <w:tc>
          <w:tcPr>
            <w:tcW w:type="dxa" w:w="676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模型只能输出一行 JSON：调用已列出的工具，或直接输出最终回答。</w:t>
            </w:r>
          </w:p>
        </w:tc>
      </w:tr>
      <w:tr>
        <w:tc>
          <w:tcPr>
            <w:tcW w:type="dxa" w:w="6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232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后端执行</w:t>
            </w:r>
          </w:p>
        </w:tc>
        <w:tc>
          <w:tcPr>
            <w:tcW w:type="dxa" w:w="676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AGENT_GUARD 校验格式和参数，AGENT_SERVICE 分发工具，具体服务读取 SAP 数据并回填结果。</w:t>
            </w:r>
          </w:p>
        </w:tc>
      </w:tr>
      <w:tr>
        <w:tc>
          <w:tcPr>
            <w:tcW w:type="dxa" w:w="6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2232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最终回答</w:t>
            </w:r>
          </w:p>
        </w:tc>
        <w:tc>
          <w:tcPr>
            <w:tcW w:type="dxa" w:w="676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模型基于工具结果组织答案；事实数字必须来自工具结果，不能凭记忆补数字。</w:t>
            </w:r>
          </w:p>
        </w:tc>
      </w:tr>
    </w:tbl>
    <w:p>
      <w:pPr>
        <w:spacing w:after="20"/>
      </w:pPr>
    </w:p>
    <w:p>
      <w:pPr>
        <w:pStyle w:val="Heading2"/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模型知道什么，系统真正允许什么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fill="1F6F7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center"/>
          </w:tcPr>
          <w:p>
            <w:pPr>
              <w:jc w:val="left"/>
            </w:pPr>
            <w:r/>
            <w:r>
              <w:rPr>
                <w:rFonts w:ascii="Hiragino Sans GB W6" w:hAnsi="Hiragino Sans GB W6" w:eastAsia="Hiragino Sans GB W6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888"/>
            <w:shd w:fill="1F6F7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center"/>
          </w:tcPr>
          <w:p>
            <w:pPr>
              <w:jc w:val="left"/>
            </w:pPr>
            <w:r/>
            <w:r>
              <w:rPr>
                <w:rFonts w:ascii="Hiragino Sans GB W6" w:hAnsi="Hiragino Sans GB W6" w:eastAsia="Hiragino Sans GB W6"/>
                <w:b/>
                <w:color w:val="FFFFFF"/>
                <w:sz w:val="19"/>
              </w:rPr>
              <w:t>解决的问题</w:t>
            </w:r>
          </w:p>
        </w:tc>
        <w:tc>
          <w:tcPr>
            <w:tcW w:type="dxa" w:w="4320"/>
            <w:shd w:fill="1F6F7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center"/>
          </w:tcPr>
          <w:p>
            <w:pPr>
              <w:jc w:val="left"/>
            </w:pPr>
            <w:r/>
            <w:r>
              <w:rPr>
                <w:rFonts w:ascii="Hiragino Sans GB W6" w:hAnsi="Hiragino Sans GB W6" w:eastAsia="Hiragino Sans GB W6"/>
                <w:b/>
                <w:color w:val="FFFFFF"/>
                <w:sz w:val="19"/>
              </w:rPr>
              <w:t>主要维护点</w:t>
            </w:r>
          </w:p>
        </w:tc>
      </w:tr>
      <w:tr>
        <w:tc>
          <w:tcPr>
            <w:tcW w:type="dxa" w:w="1440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提示层</w:t>
            </w:r>
          </w:p>
        </w:tc>
        <w:tc>
          <w:tcPr>
            <w:tcW w:type="dxa" w:w="388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告诉模型能力用途、参数、调用顺序和回答口径。</w:t>
            </w:r>
          </w:p>
        </w:tc>
        <w:tc>
          <w:tcPr>
            <w:tcW w:type="dxa" w:w="4320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DOMAIN_CARDS、TOOL_REGISTRY、BUILD_PROTOCOL_PROMPT</w:t>
            </w:r>
          </w:p>
        </w:tc>
      </w:tr>
      <w:tr>
        <w:tc>
          <w:tcPr>
            <w:tcW w:type="dxa" w:w="1440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校验层</w:t>
            </w:r>
          </w:p>
        </w:tc>
        <w:tc>
          <w:tcPr>
            <w:tcW w:type="dxa" w:w="388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防止模型调用不存在的工具、传错参数或绕过限制。</w:t>
            </w:r>
          </w:p>
        </w:tc>
        <w:tc>
          <w:tcPr>
            <w:tcW w:type="dxa" w:w="4320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AGENT_GUARD、SQL_GUARD、数据分析能力目录</w:t>
            </w:r>
          </w:p>
        </w:tc>
      </w:tr>
      <w:tr>
        <w:tc>
          <w:tcPr>
            <w:tcW w:type="dxa" w:w="1440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执行层</w:t>
            </w:r>
          </w:p>
        </w:tc>
        <w:tc>
          <w:tcPr>
            <w:tcW w:type="dxa" w:w="388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真正访问 SAP 表、调用函数或执行固定业务逻辑。</w:t>
            </w:r>
          </w:p>
        </w:tc>
        <w:tc>
          <w:tcPr>
            <w:tcW w:type="dxa" w:w="4320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AGENT_SERVICE 分发、新工具服务类、权限检查</w:t>
            </w:r>
          </w:p>
        </w:tc>
      </w:tr>
      <w:tr>
        <w:tc>
          <w:tcPr>
            <w:tcW w:type="dxa" w:w="1440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展示层</w:t>
            </w:r>
          </w:p>
        </w:tc>
        <w:tc>
          <w:tcPr>
            <w:tcW w:type="dxa" w:w="388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让用户能进入 Agent、看到 Trace 和结果集。</w:t>
            </w:r>
          </w:p>
        </w:tc>
        <w:tc>
          <w:tcPr>
            <w:tcW w:type="dxa" w:w="4320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webapp/service/ChatService.js、App.controller.js</w:t>
            </w:r>
          </w:p>
        </w:tc>
      </w:tr>
    </w:tbl>
    <w:p>
      <w:pPr>
        <w:spacing w:after="20"/>
      </w:pPr>
    </w:p>
    <w:p>
      <w:pPr>
        <w:pStyle w:val="Heading1"/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二、各维护入口分别管什么</w:t>
      </w:r>
    </w:p>
    <w:p>
      <w:pPr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下面按“以后最常改的地方”列出维护职责。新增能力时，先判断自己改的是哪一层，再决定是否需要改代码。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664"/>
            <w:shd w:fill="1F6F7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center"/>
          </w:tcPr>
          <w:p>
            <w:pPr>
              <w:jc w:val="left"/>
            </w:pPr>
            <w:r/>
            <w:r>
              <w:rPr>
                <w:rFonts w:ascii="Hiragino Sans GB W6" w:hAnsi="Hiragino Sans GB W6" w:eastAsia="Hiragino Sans GB W6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1944"/>
            <w:shd w:fill="1F6F7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center"/>
          </w:tcPr>
          <w:p>
            <w:pPr>
              <w:jc w:val="left"/>
            </w:pPr>
            <w:r/>
            <w:r>
              <w:rPr>
                <w:rFonts w:ascii="Hiragino Sans GB W6" w:hAnsi="Hiragino Sans GB W6" w:eastAsia="Hiragino Sans GB W6"/>
                <w:b/>
                <w:color w:val="FFFFFF"/>
                <w:sz w:val="19"/>
              </w:rPr>
              <w:t>方法或区域</w:t>
            </w:r>
          </w:p>
        </w:tc>
        <w:tc>
          <w:tcPr>
            <w:tcW w:type="dxa" w:w="3384"/>
            <w:shd w:fill="1F6F7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center"/>
          </w:tcPr>
          <w:p>
            <w:pPr>
              <w:jc w:val="left"/>
            </w:pPr>
            <w:r/>
            <w:r>
              <w:rPr>
                <w:rFonts w:ascii="Hiragino Sans GB W6" w:hAnsi="Hiragino Sans GB W6" w:eastAsia="Hiragino Sans GB W6"/>
                <w:b/>
                <w:color w:val="FFFFFF"/>
                <w:sz w:val="19"/>
              </w:rPr>
              <w:t>负责什么</w:t>
            </w:r>
          </w:p>
        </w:tc>
        <w:tc>
          <w:tcPr>
            <w:tcW w:type="dxa" w:w="1656"/>
            <w:shd w:fill="1F6F7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center"/>
          </w:tcPr>
          <w:p>
            <w:pPr>
              <w:jc w:val="left"/>
            </w:pPr>
            <w:r/>
            <w:r>
              <w:rPr>
                <w:rFonts w:ascii="Hiragino Sans GB W6" w:hAnsi="Hiragino Sans GB W6" w:eastAsia="Hiragino Sans GB W6"/>
                <w:b/>
                <w:color w:val="FFFFFF"/>
                <w:sz w:val="19"/>
              </w:rPr>
              <w:t>什么时候改</w:t>
            </w:r>
          </w:p>
        </w:tc>
      </w:tr>
      <w:tr>
        <w:tc>
          <w:tcPr>
            <w:tcW w:type="dxa" w:w="266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ZCL_AI_DOMAIN_CARDS.abap</w:t>
            </w:r>
          </w:p>
        </w:tc>
        <w:tc>
          <w:tcPr>
            <w:tcW w:type="dxa" w:w="194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match_domain</w:t>
            </w:r>
          </w:p>
        </w:tc>
        <w:tc>
          <w:tcPr>
            <w:tcW w:type="dxa" w:w="338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判断问题属于哪个业务领域。</w:t>
            </w:r>
          </w:p>
        </w:tc>
        <w:tc>
          <w:tcPr>
            <w:tcW w:type="dxa" w:w="1656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新增“采购订单、交期、供应商”等关键词，或新增领域常量。</w:t>
            </w:r>
          </w:p>
        </w:tc>
      </w:tr>
      <w:tr>
        <w:tc>
          <w:tcPr>
            <w:tcW w:type="dxa" w:w="266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ZCL_AI_DOMAIN_CARDS.abap</w:t>
            </w:r>
          </w:p>
        </w:tc>
        <w:tc>
          <w:tcPr>
            <w:tcW w:type="dxa" w:w="194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get_card</w:t>
            </w:r>
          </w:p>
        </w:tc>
        <w:tc>
          <w:tcPr>
            <w:tcW w:type="dxa" w:w="338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写该领域的业务口径、工具顺序和回答模板。</w:t>
            </w:r>
          </w:p>
        </w:tc>
        <w:tc>
          <w:tcPr>
            <w:tcW w:type="dxa" w:w="1656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采购交期的日期口径、数量单位、异常解释方式。</w:t>
            </w:r>
          </w:p>
        </w:tc>
      </w:tr>
      <w:tr>
        <w:tc>
          <w:tcPr>
            <w:tcW w:type="dxa" w:w="266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ZCL_AI_TOOL_REGISTRY.abap</w:t>
            </w:r>
          </w:p>
        </w:tc>
        <w:tc>
          <w:tcPr>
            <w:tcW w:type="dxa" w:w="194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get_tools</w:t>
            </w:r>
          </w:p>
        </w:tc>
        <w:tc>
          <w:tcPr>
            <w:tcW w:type="dxa" w:w="338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注册工具 ID、描述、参数类型、必填项和只读标志。</w:t>
            </w:r>
          </w:p>
        </w:tc>
        <w:tc>
          <w:tcPr>
            <w:tcW w:type="dxa" w:w="1656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get_purchase_delivery、plant、vendor、date_from 等。</w:t>
            </w:r>
          </w:p>
        </w:tc>
      </w:tr>
      <w:tr>
        <w:tc>
          <w:tcPr>
            <w:tcW w:type="dxa" w:w="266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ZCL_AI_TOOL_REGISTRY.abap</w:t>
            </w:r>
          </w:p>
        </w:tc>
        <w:tc>
          <w:tcPr>
            <w:tcW w:type="dxa" w:w="194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get_tools_for_domain</w:t>
            </w:r>
          </w:p>
        </w:tc>
        <w:tc>
          <w:tcPr>
            <w:tcW w:type="dxa" w:w="338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把工具分配给领域，决定模型当前能看到哪些工具。</w:t>
            </w:r>
          </w:p>
        </w:tc>
        <w:tc>
          <w:tcPr>
            <w:tcW w:type="dxa" w:w="1656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DATA 或新建 PURCHASE 领域的工具集合。</w:t>
            </w:r>
          </w:p>
        </w:tc>
      </w:tr>
      <w:tr>
        <w:tc>
          <w:tcPr>
            <w:tcW w:type="dxa" w:w="266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ZCL_AI_AGENT_SERVICE.abap</w:t>
            </w:r>
          </w:p>
        </w:tc>
        <w:tc>
          <w:tcPr>
            <w:tcW w:type="dxa" w:w="194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build_protocol_prompt</w:t>
            </w:r>
          </w:p>
        </w:tc>
        <w:tc>
          <w:tcPr>
            <w:tcW w:type="dxa" w:w="338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将注册表转换成模型可读的工具清单和调用协议。</w:t>
            </w:r>
          </w:p>
        </w:tc>
        <w:tc>
          <w:tcPr>
            <w:tcW w:type="dxa" w:w="1656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通常由注册表自动带出；只有协议变化才改这里。</w:t>
            </w:r>
          </w:p>
        </w:tc>
      </w:tr>
      <w:tr>
        <w:tc>
          <w:tcPr>
            <w:tcW w:type="dxa" w:w="266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ZCL_AI_AGENT_SERVICE.abap</w:t>
            </w:r>
          </w:p>
        </w:tc>
        <w:tc>
          <w:tcPr>
            <w:tcW w:type="dxa" w:w="194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工具分发段</w:t>
            </w:r>
          </w:p>
        </w:tc>
        <w:tc>
          <w:tcPr>
            <w:tcW w:type="dxa" w:w="338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将工具 ID 路由到实际实现。</w:t>
            </w:r>
          </w:p>
        </w:tc>
        <w:tc>
          <w:tcPr>
            <w:tcW w:type="dxa" w:w="1656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增加 IF/CASE 分支，调用专用服务类。</w:t>
            </w:r>
          </w:p>
        </w:tc>
      </w:tr>
      <w:tr>
        <w:tc>
          <w:tcPr>
            <w:tcW w:type="dxa" w:w="266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ZCL_AI_AGENT_GUARD.abap</w:t>
            </w:r>
          </w:p>
        </w:tc>
        <w:tc>
          <w:tcPr>
            <w:tcW w:type="dxa" w:w="194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parse/validate</w:t>
            </w:r>
          </w:p>
        </w:tc>
        <w:tc>
          <w:tcPr>
            <w:tcW w:type="dxa" w:w="338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校验 JSON、参数格式、长度、重复参数和工具 Schema。</w:t>
            </w:r>
          </w:p>
        </w:tc>
        <w:tc>
          <w:tcPr>
            <w:tcW w:type="dxa" w:w="1656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新参数类型、特殊业务校验、错误信息。</w:t>
            </w:r>
          </w:p>
        </w:tc>
      </w:tr>
      <w:tr>
        <w:tc>
          <w:tcPr>
            <w:tcW w:type="dxa" w:w="266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ZCL_AI_DATA_ANALYSIS_SERVICE.abap</w:t>
            </w:r>
          </w:p>
        </w:tc>
        <w:tc>
          <w:tcPr>
            <w:tcW w:type="dxa" w:w="194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get_capabilities</w:t>
            </w:r>
          </w:p>
        </w:tc>
        <w:tc>
          <w:tcPr>
            <w:tcW w:type="dxa" w:w="338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维护固定数据分析能力目录：实体、字段、维度、指标和上限。</w:t>
            </w:r>
          </w:p>
        </w:tc>
        <w:tc>
          <w:tcPr>
            <w:tcW w:type="dxa" w:w="1656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适合受控的固定表分析，不适合复杂跨表业务流程。</w:t>
            </w:r>
          </w:p>
        </w:tc>
      </w:tr>
      <w:tr>
        <w:tc>
          <w:tcPr>
            <w:tcW w:type="dxa" w:w="266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ZCL_AI_SQL_GUARD.abap</w:t>
            </w:r>
          </w:p>
        </w:tc>
        <w:tc>
          <w:tcPr>
            <w:tcW w:type="dxa" w:w="194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is_active_user / SQL 规则</w:t>
            </w:r>
          </w:p>
        </w:tc>
        <w:tc>
          <w:tcPr>
            <w:tcW w:type="dxa" w:w="338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控制动态 SQL 开关、用户授权、黑名单、表权限和 SQL 限制。</w:t>
            </w:r>
          </w:p>
        </w:tc>
        <w:tc>
          <w:tcPr>
            <w:tcW w:type="dxa" w:w="1656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SQL_ALLOWED、最大行数、最大执行次数和危险语句拦截。</w:t>
            </w:r>
          </w:p>
        </w:tc>
      </w:tr>
      <w:tr>
        <w:tc>
          <w:tcPr>
            <w:tcW w:type="dxa" w:w="266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webapp/service/ChatService.js</w:t>
            </w:r>
          </w:p>
        </w:tc>
        <w:tc>
          <w:tcPr>
            <w:tcW w:type="dxa" w:w="194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sendByMode</w:t>
            </w:r>
          </w:p>
        </w:tc>
        <w:tc>
          <w:tcPr>
            <w:tcW w:type="dxa" w:w="3384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前端选择 Agent 入口并传递问题。</w:t>
            </w:r>
          </w:p>
        </w:tc>
        <w:tc>
          <w:tcPr>
            <w:tcW w:type="dxa" w:w="1656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一般不用在这里注册后端工具。</w:t>
            </w:r>
          </w:p>
        </w:tc>
      </w:tr>
    </w:tbl>
    <w:p>
      <w:pPr>
        <w:spacing w:after="20"/>
      </w:pPr>
    </w:p>
    <w:p>
      <w:pPr>
        <w:pStyle w:val="Heading2"/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后台可维护的数据不是工具注册表</w:t>
      </w:r>
    </w:p>
    <w:p>
      <w:pPr>
        <w:pStyle w:val="ListBullet"/>
        <w:spacing w:after="6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ZAI_CHAT_ROLE：角色前缀和用户选择的分析角色，影响提问上下文，但不会增加后端执行能力。</w:t>
      </w:r>
    </w:p>
    <w:p>
      <w:pPr>
        <w:pStyle w:val="ListBullet"/>
        <w:spacing w:after="6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ZAI_CHAT_PROMPT：首页快捷提问，也只是预置问题入口，不会自动产生新工具。</w:t>
      </w:r>
    </w:p>
    <w:p>
      <w:pPr>
        <w:pStyle w:val="ListBullet"/>
        <w:spacing w:after="6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ZAI_CHAT_CFG：Agent 模型、轮数、预算、SQL 开关等运行参数，不负责注册业务工具。</w:t>
      </w:r>
    </w:p>
    <w:p>
      <w:pPr>
        <w:pStyle w:val="ListBullet"/>
        <w:spacing w:after="6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ZAI_CHAT_USER：用户是否有 Agent 和 SQL 使用权限；登录账号匹配 USERID，显示名称是 USERNAME。</w:t>
      </w:r>
    </w:p>
    <w:p>
      <w:pPr>
        <w:pStyle w:val="Heading1"/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三、增加业务能力时先选哪条路线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shd w:fill="1F6F7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center"/>
          </w:tcPr>
          <w:p>
            <w:pPr>
              <w:jc w:val="left"/>
            </w:pPr>
            <w:r/>
            <w:r>
              <w:rPr>
                <w:rFonts w:ascii="Hiragino Sans GB W6" w:hAnsi="Hiragino Sans GB W6" w:eastAsia="Hiragino Sans GB W6"/>
                <w:b/>
                <w:color w:val="FFFFFF"/>
                <w:sz w:val="19"/>
              </w:rPr>
              <w:t>路线</w:t>
            </w:r>
          </w:p>
        </w:tc>
        <w:tc>
          <w:tcPr>
            <w:tcW w:type="dxa" w:w="3312"/>
            <w:shd w:fill="1F6F7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center"/>
          </w:tcPr>
          <w:p>
            <w:pPr>
              <w:jc w:val="left"/>
            </w:pPr>
            <w:r/>
            <w:r>
              <w:rPr>
                <w:rFonts w:ascii="Hiragino Sans GB W6" w:hAnsi="Hiragino Sans GB W6" w:eastAsia="Hiragino Sans GB W6"/>
                <w:b/>
                <w:color w:val="FFFFFF"/>
                <w:sz w:val="19"/>
              </w:rPr>
              <w:t>适用场景</w:t>
            </w:r>
          </w:p>
        </w:tc>
        <w:tc>
          <w:tcPr>
            <w:tcW w:type="dxa" w:w="2448"/>
            <w:shd w:fill="1F6F7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center"/>
          </w:tcPr>
          <w:p>
            <w:pPr>
              <w:jc w:val="left"/>
            </w:pPr>
            <w:r/>
            <w:r>
              <w:rPr>
                <w:rFonts w:ascii="Hiragino Sans GB W6" w:hAnsi="Hiragino Sans GB W6" w:eastAsia="Hiragino Sans GB W6"/>
                <w:b/>
                <w:color w:val="FFFFFF"/>
                <w:sz w:val="19"/>
              </w:rPr>
              <w:t>模型看到的入口</w:t>
            </w:r>
          </w:p>
        </w:tc>
        <w:tc>
          <w:tcPr>
            <w:tcW w:type="dxa" w:w="2448"/>
            <w:shd w:fill="1F6F7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center"/>
          </w:tcPr>
          <w:p>
            <w:pPr>
              <w:jc w:val="left"/>
            </w:pPr>
            <w:r/>
            <w:r>
              <w:rPr>
                <w:rFonts w:ascii="Hiragino Sans GB W6" w:hAnsi="Hiragino Sans GB W6" w:eastAsia="Hiragino Sans GB W6"/>
                <w:b/>
                <w:color w:val="FFFFFF"/>
                <w:sz w:val="19"/>
              </w:rPr>
              <w:t>维护重点</w:t>
            </w:r>
          </w:p>
        </w:tc>
      </w:tr>
      <w:tr>
        <w:tc>
          <w:tcPr>
            <w:tcW w:type="dxa" w:w="208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路线 A：动态 SQL</w:t>
            </w:r>
          </w:p>
        </w:tc>
        <w:tc>
          <w:tcPr>
            <w:tcW w:type="dxa" w:w="3312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临时查询现有 SAP 表，字段和统计口径变化较多。</w:t>
            </w:r>
          </w:p>
        </w:tc>
        <w:tc>
          <w:tcPr>
            <w:tcW w:type="dxa" w:w="24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search_tables → describe_table → run_sql</w:t>
            </w:r>
          </w:p>
        </w:tc>
        <w:tc>
          <w:tcPr>
            <w:tcW w:type="dxa" w:w="24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不用新增工具；需要确认 SQL 开关、用户授权和表权限。</w:t>
            </w:r>
          </w:p>
        </w:tc>
      </w:tr>
      <w:tr>
        <w:tc>
          <w:tcPr>
            <w:tcW w:type="dxa" w:w="208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路线 B：固定能力目录</w:t>
            </w:r>
          </w:p>
        </w:tc>
        <w:tc>
          <w:tcPr>
            <w:tcW w:type="dxa" w:w="3312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固定实体、固定字段、固定操作，要求强约束和稳定结果集。</w:t>
            </w:r>
          </w:p>
        </w:tc>
        <w:tc>
          <w:tcPr>
            <w:tcW w:type="dxa" w:w="24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sap_data_analysis + get_capabilities</w:t>
            </w:r>
          </w:p>
        </w:tc>
        <w:tc>
          <w:tcPr>
            <w:tcW w:type="dxa" w:w="24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维护实体字段白名单、维度、指标、过滤条件和行数上限。</w:t>
            </w:r>
          </w:p>
        </w:tc>
      </w:tr>
      <w:tr>
        <w:tc>
          <w:tcPr>
            <w:tcW w:type="dxa" w:w="208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路线 C：专用业务工具</w:t>
            </w:r>
          </w:p>
        </w:tc>
        <w:tc>
          <w:tcPr>
            <w:tcW w:type="dxa" w:w="3312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需要复杂规则、跨表计算、状态判断或固定业务口径。</w:t>
            </w:r>
          </w:p>
        </w:tc>
        <w:tc>
          <w:tcPr>
            <w:tcW w:type="dxa" w:w="24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新增 tool_id + 专用服务类</w:t>
            </w:r>
          </w:p>
        </w:tc>
        <w:tc>
          <w:tcPr>
            <w:tcW w:type="dxa" w:w="24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完整改注册、领域卡、校验、分发、权限和测试。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Hiragino Sans GB W3" w:hAnsi="Hiragino Sans GB W3" w:eastAsia="Hiragino Sans GB W3"/>
          <w:b/>
          <w:color w:val="000000"/>
          <w:sz w:val="21"/>
          <w:highlight w:val="yellow"/>
        </w:rPr>
        <w:t>选择建议：先判断“只是查数据”还是“需要业务规则”。只是查数据优先复用动态 SQL；固定统计优先能力目录；涉及业务判断、跨表口径或后续可能写回 SAP 时，做专用工具。写入类工具必须先设计人工确认和审计流程。</w:t>
      </w:r>
    </w:p>
    <w:p>
      <w:pPr>
        <w:pStyle w:val="Heading1"/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四、新增一个固定业务工具的实施步骤</w:t>
      </w:r>
    </w:p>
    <w:p>
      <w:pPr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下面以“采购订单交期分析”为例。示例工具名使用 get_purchase_delivery，实际开发时请按项目命名规范调整。</w:t>
      </w:r>
    </w:p>
    <w:p>
      <w:pPr>
        <w:pStyle w:val="Heading2"/>
      </w:pPr>
      <w:r>
        <w:rPr>
          <w:rFonts w:ascii="Hiragino Sans GB W3" w:hAnsi="Hiragino Sans GB W3" w:eastAsia="Hiragino Sans GB W3"/>
          <w:b/>
          <w:color w:val="000000"/>
          <w:sz w:val="25"/>
        </w:rPr>
        <w:t>1. 先写能力边界</w:t>
      </w:r>
    </w:p>
    <w:p>
      <w:pPr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明确能回答什么、不能回答什么：采购订单号、供应商、物料、工厂、承诺交期、实际收货状态；明确日期口径和数量单位。</w:t>
      </w:r>
    </w:p>
    <w:p>
      <w:pPr>
        <w:pStyle w:val="Heading2"/>
      </w:pPr>
      <w:r>
        <w:rPr>
          <w:rFonts w:ascii="Hiragino Sans GB W3" w:hAnsi="Hiragino Sans GB W3" w:eastAsia="Hiragino Sans GB W3"/>
          <w:b/>
          <w:color w:val="000000"/>
          <w:sz w:val="25"/>
        </w:rPr>
        <w:t>2. 注册工具</w:t>
      </w:r>
    </w:p>
    <w:p>
      <w:pPr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在 ZCL_AI_TOOL_REGISTRY 的 get_tools 中增加 tool_id、description、参数 Schema、read_only 和 needs_confirm。描述要写给模型看，说明何时调用、返回什么、哪些情况不要调用。</w:t>
      </w:r>
    </w:p>
    <w:p>
      <w:pPr>
        <w:pStyle w:val="Heading2"/>
      </w:pPr>
      <w:r>
        <w:rPr>
          <w:rFonts w:ascii="Hiragino Sans GB W3" w:hAnsi="Hiragino Sans GB W3" w:eastAsia="Hiragino Sans GB W3"/>
          <w:b/>
          <w:color w:val="000000"/>
          <w:sz w:val="25"/>
        </w:rPr>
        <w:t>3. 分配领域</w:t>
      </w:r>
    </w:p>
    <w:p>
      <w:pPr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在 get_tools_for_domain 中把工具加入 PURCHASE 领域，或加入现有 DATA 领域。不要只写在 get_tools 中却忘记领域分配，否则模型看不到。</w:t>
      </w:r>
    </w:p>
    <w:p>
      <w:pPr>
        <w:pStyle w:val="Heading2"/>
      </w:pPr>
      <w:r>
        <w:rPr>
          <w:rFonts w:ascii="Hiragino Sans GB W3" w:hAnsi="Hiragino Sans GB W3" w:eastAsia="Hiragino Sans GB W3"/>
          <w:b/>
          <w:color w:val="000000"/>
          <w:sz w:val="25"/>
        </w:rPr>
        <w:t>4. 增加领域路由和领域卡</w:t>
      </w:r>
    </w:p>
    <w:p>
      <w:pPr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在 ZCL_AI_DOMAIN_CARDS 的 match_domain 增加采购关键词，在 get_card 写业务口径、工具调用顺序、零结果解释和最终报告模板。</w:t>
      </w:r>
    </w:p>
    <w:p>
      <w:pPr>
        <w:pStyle w:val="Heading2"/>
      </w:pPr>
      <w:r>
        <w:rPr>
          <w:rFonts w:ascii="Hiragino Sans GB W3" w:hAnsi="Hiragino Sans GB W3" w:eastAsia="Hiragino Sans GB W3"/>
          <w:b/>
          <w:color w:val="000000"/>
          <w:sz w:val="25"/>
        </w:rPr>
        <w:t>5. 实现执行代码</w:t>
      </w:r>
    </w:p>
    <w:p>
      <w:pPr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在专用服务类中读取 EKKO、EKPO、EKET 等真实表，统一输出状态、列、行和错误信息。模型输入只能作为经过校验的参数，不能直接拼接成未受控 SQL。</w:t>
      </w:r>
    </w:p>
    <w:p>
      <w:pPr>
        <w:pStyle w:val="Heading2"/>
      </w:pPr>
      <w:r>
        <w:rPr>
          <w:rFonts w:ascii="Hiragino Sans GB W3" w:hAnsi="Hiragino Sans GB W3" w:eastAsia="Hiragino Sans GB W3"/>
          <w:b/>
          <w:color w:val="000000"/>
          <w:sz w:val="25"/>
        </w:rPr>
        <w:t>6. 接入 Agent 分发</w:t>
      </w:r>
    </w:p>
    <w:p>
      <w:pPr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在 ZCL_AI_AGENT_SERVICE 的工具分发区域按 tool_id 调用专用服务，并将结果用统一 tool_result 回填给模型。</w:t>
      </w:r>
    </w:p>
    <w:p>
      <w:pPr>
        <w:pStyle w:val="Heading2"/>
      </w:pPr>
      <w:r>
        <w:rPr>
          <w:rFonts w:ascii="Hiragino Sans GB W3" w:hAnsi="Hiragino Sans GB W3" w:eastAsia="Hiragino Sans GB W3"/>
          <w:b/>
          <w:color w:val="000000"/>
          <w:sz w:val="25"/>
        </w:rPr>
        <w:t>7. 增加确定性校验</w:t>
      </w:r>
    </w:p>
    <w:p>
      <w:pPr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在 AGENT_GUARD 校验日期、料号、供应商、工厂等参数；在服务层做权限、最大行数、超时和敏感字段处理。</w:t>
      </w:r>
    </w:p>
    <w:p>
      <w:pPr>
        <w:pStyle w:val="Heading2"/>
      </w:pPr>
      <w:r>
        <w:rPr>
          <w:rFonts w:ascii="Hiragino Sans GB W3" w:hAnsi="Hiragino Sans GB W3" w:eastAsia="Hiragino Sans GB W3"/>
          <w:b/>
          <w:color w:val="000000"/>
          <w:sz w:val="25"/>
        </w:rPr>
        <w:t>8. 做端到端测试</w:t>
      </w:r>
    </w:p>
    <w:p>
      <w:pPr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测试命中路由、模型调用工具、参数错误、零结果、权限不足、超时、模型直接回答和多轮修正；Trace 必须能看到工具阶段。</w:t>
      </w:r>
    </w:p>
    <w:p>
      <w:pPr>
        <w:pStyle w:val="Heading2"/>
      </w:pPr>
      <w:r>
        <w:rPr>
          <w:rFonts w:ascii="Hiragino Sans GB W3" w:hAnsi="Hiragino Sans GB W3" w:eastAsia="Hiragino Sans GB W3"/>
          <w:b/>
          <w:color w:val="000000"/>
          <w:sz w:val="25"/>
        </w:rPr>
        <w:t>9. 更新部署资料</w:t>
      </w:r>
    </w:p>
    <w:p>
      <w:pPr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更新后端开发文档、后端实施文档、对象清单、激活顺序和回滚说明；新增或覆盖的 ABAP 类必须列清楚。</w:t>
      </w:r>
    </w:p>
    <w:p>
      <w:pPr>
        <w:pStyle w:val="Heading2"/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工具注册示例结构</w:t>
      </w:r>
    </w:p>
    <w:p>
      <w:pPr>
        <w:spacing w:before="60" w:after="140"/>
        <w:ind w:left="360" w:right="360"/>
        <w:shd w:fill="F2F2F2"/>
      </w:pPr>
      <w:r>
        <w:rPr>
          <w:rFonts w:ascii="Menlo" w:hAnsi="Menlo" w:eastAsia="Menlo"/>
          <w:b w:val="0"/>
          <w:color w:val="000000"/>
          <w:sz w:val="18"/>
        </w:rPr>
        <w:t>tool_id     = 'get_purchase_delivery'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>description = '查询采购订单交期与收货状态。用户问交期、延期、未交数量时调用；返回订单号、行项目、物料、供应商、工厂、承诺日期、收货状态。'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>params      = [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 xml:space="preserve">  purchase_order(TEXT, 可选), vendor(TEXT, 可选), material(MATERIAL, 可选),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 xml:space="preserve">  plant(PLANT, 可选), date_from(DATE, 可选), date_to(DATE, 可选)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>]</w:t>
      </w:r>
      <w:r>
        <w:br/>
      </w:r>
      <w:r>
        <w:rPr>
          <w:rFonts w:ascii="Menlo" w:hAnsi="Menlo" w:eastAsia="Menlo"/>
          <w:b w:val="0"/>
          <w:color w:val="000000"/>
          <w:sz w:val="18"/>
        </w:rPr>
        <w:t>read_only   = abap_true</w:t>
      </w:r>
    </w:p>
    <w:p>
      <w:pPr>
        <w:spacing w:after="100"/>
      </w:pPr>
      <w:r>
        <w:rPr>
          <w:rFonts w:ascii="Hiragino Sans GB W3" w:hAnsi="Hiragino Sans GB W3" w:eastAsia="Hiragino Sans GB W3"/>
          <w:b/>
          <w:color w:val="000000"/>
          <w:sz w:val="20"/>
          <w:highlight w:val="yellow"/>
        </w:rPr>
        <w:t>注意：描述要告诉模型“什么时候用”和“返回什么”，但不能把描述当成安全边界。安全边界必须在 ABAP 校验和执行代码中再次落实。</w:t>
      </w:r>
    </w:p>
    <w:p>
      <w:pPr>
        <w:pStyle w:val="Heading1"/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五、能力定义模板</w:t>
      </w:r>
    </w:p>
    <w:p>
      <w:pPr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每次新增业务能力，先把下面内容写完整，再开始改代码。这样可以减少“模型会说、系统不会做”或“工具能跑、口径不一致”的问题。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1F6F7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center"/>
          </w:tcPr>
          <w:p>
            <w:pPr>
              <w:jc w:val="left"/>
            </w:pPr>
            <w:r/>
            <w:r>
              <w:rPr>
                <w:rFonts w:ascii="Hiragino Sans GB W6" w:hAnsi="Hiragino Sans GB W6" w:eastAsia="Hiragino Sans GB W6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208"/>
            <w:shd w:fill="1F6F7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center"/>
          </w:tcPr>
          <w:p>
            <w:pPr>
              <w:jc w:val="left"/>
            </w:pPr>
            <w:r/>
            <w:r>
              <w:rPr>
                <w:rFonts w:ascii="Hiragino Sans GB W6" w:hAnsi="Hiragino Sans GB W6" w:eastAsia="Hiragino Sans GB W6"/>
                <w:b/>
                <w:color w:val="FFFFFF"/>
                <w:sz w:val="19"/>
              </w:rPr>
              <w:t>填写内容</w:t>
            </w:r>
          </w:p>
        </w:tc>
      </w:tr>
      <w:tr>
        <w:tc>
          <w:tcPr>
            <w:tcW w:type="dxa" w:w="208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能力名称</w:t>
            </w:r>
          </w:p>
        </w:tc>
        <w:tc>
          <w:tcPr>
            <w:tcW w:type="dxa" w:w="820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例如：采购订单交期分析</w:t>
            </w:r>
          </w:p>
        </w:tc>
      </w:tr>
      <w:tr>
        <w:tc>
          <w:tcPr>
            <w:tcW w:type="dxa" w:w="208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触发问题</w:t>
            </w:r>
          </w:p>
        </w:tc>
        <w:tc>
          <w:tcPr>
            <w:tcW w:type="dxa" w:w="820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用户会怎样提问；需要哪些关键词；是否允许手工指定工具</w:t>
            </w:r>
          </w:p>
        </w:tc>
      </w:tr>
      <w:tr>
        <w:tc>
          <w:tcPr>
            <w:tcW w:type="dxa" w:w="208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领域</w:t>
            </w:r>
          </w:p>
        </w:tc>
        <w:tc>
          <w:tcPr>
            <w:tcW w:type="dxa" w:w="820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GENERAL / INVENTORY / DATA / 新领域 PURCHASE</w:t>
            </w:r>
          </w:p>
        </w:tc>
      </w:tr>
      <w:tr>
        <w:tc>
          <w:tcPr>
            <w:tcW w:type="dxa" w:w="208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工具 ID</w:t>
            </w:r>
          </w:p>
        </w:tc>
        <w:tc>
          <w:tcPr>
            <w:tcW w:type="dxa" w:w="820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唯一、稳定、英文小写、不要随意改名</w:t>
            </w:r>
          </w:p>
        </w:tc>
      </w:tr>
      <w:tr>
        <w:tc>
          <w:tcPr>
            <w:tcW w:type="dxa" w:w="208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输入参数</w:t>
            </w:r>
          </w:p>
        </w:tc>
        <w:tc>
          <w:tcPr>
            <w:tcW w:type="dxa" w:w="820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名称、类型、必填/可选、长度、格式、默认值</w:t>
            </w:r>
          </w:p>
        </w:tc>
      </w:tr>
      <w:tr>
        <w:tc>
          <w:tcPr>
            <w:tcW w:type="dxa" w:w="208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数据来源</w:t>
            </w:r>
          </w:p>
        </w:tc>
        <w:tc>
          <w:tcPr>
            <w:tcW w:type="dxa" w:w="820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表、视图、函数、接口；每个字段对应的真实来源</w:t>
            </w:r>
          </w:p>
        </w:tc>
      </w:tr>
      <w:tr>
        <w:tc>
          <w:tcPr>
            <w:tcW w:type="dxa" w:w="208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输出结构</w:t>
            </w:r>
          </w:p>
        </w:tc>
        <w:tc>
          <w:tcPr>
            <w:tcW w:type="dxa" w:w="820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字段名、展示名、数据类型、单位、状态、错误结构</w:t>
            </w:r>
          </w:p>
        </w:tc>
      </w:tr>
      <w:tr>
        <w:tc>
          <w:tcPr>
            <w:tcW w:type="dxa" w:w="208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业务口径</w:t>
            </w:r>
          </w:p>
        </w:tc>
        <w:tc>
          <w:tcPr>
            <w:tcW w:type="dxa" w:w="820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日期、数量、金额、状态、零结果、跨单位/跨币种规则</w:t>
            </w:r>
          </w:p>
        </w:tc>
      </w:tr>
      <w:tr>
        <w:tc>
          <w:tcPr>
            <w:tcW w:type="dxa" w:w="208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权限和限制</w:t>
            </w:r>
          </w:p>
        </w:tc>
        <w:tc>
          <w:tcPr>
            <w:tcW w:type="dxa" w:w="820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用户、工厂、公司代码、表权限、最大行数、超时、审计</w:t>
            </w:r>
          </w:p>
        </w:tc>
      </w:tr>
      <w:tr>
        <w:tc>
          <w:tcPr>
            <w:tcW w:type="dxa" w:w="208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失败处理</w:t>
            </w:r>
          </w:p>
        </w:tc>
        <w:tc>
          <w:tcPr>
            <w:tcW w:type="dxa" w:w="820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无数据、参数错误、权限不足、超时、系统异常如何回答</w:t>
            </w:r>
          </w:p>
        </w:tc>
      </w:tr>
      <w:tr>
        <w:tc>
          <w:tcPr>
            <w:tcW w:type="dxa" w:w="208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验收问题</w:t>
            </w:r>
          </w:p>
        </w:tc>
        <w:tc>
          <w:tcPr>
            <w:tcW w:type="dxa" w:w="820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至少准备正常、边界、拒绝、零结果和多轮修正案例</w:t>
            </w:r>
          </w:p>
        </w:tc>
      </w:tr>
    </w:tbl>
    <w:p>
      <w:pPr>
        <w:spacing w:after="20"/>
      </w:pPr>
    </w:p>
    <w:p>
      <w:pPr>
        <w:pStyle w:val="Heading1"/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六、上线前验收清单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1F6F7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center"/>
          </w:tcPr>
          <w:p>
            <w:pPr>
              <w:jc w:val="left"/>
            </w:pPr>
            <w:r/>
            <w:r>
              <w:rPr>
                <w:rFonts w:ascii="Hiragino Sans GB W6" w:hAnsi="Hiragino Sans GB W6" w:eastAsia="Hiragino Sans GB W6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7848"/>
            <w:shd w:fill="1F6F7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center"/>
          </w:tcPr>
          <w:p>
            <w:pPr>
              <w:jc w:val="left"/>
            </w:pPr>
            <w:r/>
            <w:r>
              <w:rPr>
                <w:rFonts w:ascii="Hiragino Sans GB W6" w:hAnsi="Hiragino Sans GB W6" w:eastAsia="Hiragino Sans GB W6"/>
                <w:b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24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能力能被路由</w:t>
            </w:r>
          </w:p>
        </w:tc>
        <w:tc>
          <w:tcPr>
            <w:tcW w:type="dxa" w:w="78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典型问题命中正确领域；非目标问题不会误命中。</w:t>
            </w:r>
          </w:p>
        </w:tc>
      </w:tr>
      <w:tr>
        <w:tc>
          <w:tcPr>
            <w:tcW w:type="dxa" w:w="24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模型能看到能力</w:t>
            </w:r>
          </w:p>
        </w:tc>
        <w:tc>
          <w:tcPr>
            <w:tcW w:type="dxa" w:w="78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Trace 或调试记录中可确认 system 提示包含工具 ID、用途和参数。</w:t>
            </w:r>
          </w:p>
        </w:tc>
      </w:tr>
      <w:tr>
        <w:tc>
          <w:tcPr>
            <w:tcW w:type="dxa" w:w="24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只调用已注册工具</w:t>
            </w:r>
          </w:p>
        </w:tc>
        <w:tc>
          <w:tcPr>
            <w:tcW w:type="dxa" w:w="78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未知 tool_id 被拒绝；模型不能自造工具名。</w:t>
            </w:r>
          </w:p>
        </w:tc>
      </w:tr>
      <w:tr>
        <w:tc>
          <w:tcPr>
            <w:tcW w:type="dxa" w:w="24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参数校验有效</w:t>
            </w:r>
          </w:p>
        </w:tc>
        <w:tc>
          <w:tcPr>
            <w:tcW w:type="dxa" w:w="78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缺参、错格式、超长、重复参数都能明确拒绝。</w:t>
            </w:r>
          </w:p>
        </w:tc>
      </w:tr>
      <w:tr>
        <w:tc>
          <w:tcPr>
            <w:tcW w:type="dxa" w:w="24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权限校验有效</w:t>
            </w:r>
          </w:p>
        </w:tc>
        <w:tc>
          <w:tcPr>
            <w:tcW w:type="dxa" w:w="78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无权限用户、无表权限或无工厂权限不能通过改写问题绕过。</w:t>
            </w:r>
          </w:p>
        </w:tc>
      </w:tr>
      <w:tr>
        <w:tc>
          <w:tcPr>
            <w:tcW w:type="dxa" w:w="24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零结果可解释</w:t>
            </w:r>
          </w:p>
        </w:tc>
        <w:tc>
          <w:tcPr>
            <w:tcW w:type="dxa" w:w="78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0 行是有效事实，不被误报成系统失败。</w:t>
            </w:r>
          </w:p>
        </w:tc>
      </w:tr>
      <w:tr>
        <w:tc>
          <w:tcPr>
            <w:tcW w:type="dxa" w:w="24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结果可溯源</w:t>
            </w:r>
          </w:p>
        </w:tc>
        <w:tc>
          <w:tcPr>
            <w:tcW w:type="dxa" w:w="78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回答中的数字和结论能对应到工具返回的数据。</w:t>
            </w:r>
          </w:p>
        </w:tc>
      </w:tr>
      <w:tr>
        <w:tc>
          <w:tcPr>
            <w:tcW w:type="dxa" w:w="24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失败可收口</w:t>
            </w:r>
          </w:p>
        </w:tc>
        <w:tc>
          <w:tcPr>
            <w:tcW w:type="dxa" w:w="78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工具失败、超时或预算耗尽时不编造结果，能说明原因。</w:t>
            </w:r>
          </w:p>
        </w:tc>
      </w:tr>
      <w:tr>
        <w:tc>
          <w:tcPr>
            <w:tcW w:type="dxa" w:w="24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前端可见</w:t>
            </w:r>
          </w:p>
        </w:tc>
        <w:tc>
          <w:tcPr>
            <w:tcW w:type="dxa" w:w="78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Agent 模式能进入；Trace、工具名、结果集和错误提示正常显示。</w:t>
            </w:r>
          </w:p>
        </w:tc>
      </w:tr>
      <w:tr>
        <w:tc>
          <w:tcPr>
            <w:tcW w:type="dxa" w:w="24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部署可回滚</w:t>
            </w:r>
          </w:p>
        </w:tc>
        <w:tc>
          <w:tcPr>
            <w:tcW w:type="dxa" w:w="7848"/>
            <w:tcBorders>
              <w:top w:val="single" w:sz="6" w:space="0" w:color="B7C9D0"/>
              <w:left w:val="single" w:sz="6" w:space="0" w:color="B7C9D0"/>
              <w:bottom w:val="single" w:sz="6" w:space="0" w:color="B7C9D0"/>
              <w:right w:val="single" w:sz="6" w:space="0" w:color="B7C9D0"/>
              <w:insideH w:val="single" w:sz="6" w:space="0" w:color="B7C9D0"/>
              <w:insideV w:val="single" w:sz="6" w:space="0" w:color="B7C9D0"/>
            </w:tcBorders>
            <w:vAlign w:val="top"/>
            <w:shd w:fill="F8FBFC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color w:val="000000"/>
                <w:sz w:val="18"/>
              </w:rPr>
              <w:t>ABAP 类、表、配置、前端构建产物和传输对象都有清单。</w:t>
            </w:r>
          </w:p>
        </w:tc>
      </w:tr>
    </w:tbl>
    <w:p>
      <w:pPr>
        <w:spacing w:after="20"/>
      </w:pPr>
    </w:p>
    <w:p>
      <w:pPr>
        <w:pStyle w:val="Heading2"/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推荐测试问题</w:t>
      </w:r>
    </w:p>
    <w:p>
      <w:pPr>
        <w:pStyle w:val="ListBullet"/>
        <w:spacing w:after="6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查询某工厂最近一个月采购订单的未交数量并按供应商汇总。</w:t>
      </w:r>
    </w:p>
    <w:p>
      <w:pPr>
        <w:pStyle w:val="ListBullet"/>
        <w:spacing w:after="6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查询一个不存在的采购订单，确认系统返回零结果或未找到。</w:t>
      </w:r>
    </w:p>
    <w:p>
      <w:pPr>
        <w:pStyle w:val="ListBullet"/>
        <w:spacing w:after="6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故意缺少必填参数，确认工具不执行并提示修正。</w:t>
      </w:r>
    </w:p>
    <w:p>
      <w:pPr>
        <w:pStyle w:val="ListBullet"/>
        <w:spacing w:after="6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使用无权限账号调用，确认后端拒绝而不是只在前端隐藏。</w:t>
      </w:r>
    </w:p>
    <w:p>
      <w:pPr>
        <w:pStyle w:val="ListBullet"/>
        <w:spacing w:after="6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连续追问“那其中延期最多的供应商是哪家”，确认会话上下文和工具结果能继续使用。</w:t>
      </w:r>
    </w:p>
    <w:p>
      <w:pPr>
        <w:pStyle w:val="Heading1"/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七、当前代码需要留意的问题</w:t>
      </w:r>
    </w:p>
    <w:p>
      <w:pPr>
        <w:spacing w:after="100"/>
      </w:pPr>
      <w:r>
        <w:rPr>
          <w:rFonts w:ascii="Hiragino Sans GB W3" w:hAnsi="Hiragino Sans GB W3" w:eastAsia="Hiragino Sans GB W3"/>
          <w:b/>
          <w:color w:val="000000"/>
          <w:sz w:val="21"/>
          <w:highlight w:val="yellow"/>
        </w:rPr>
        <w:t>当前代码已经能按领域把工具清单注入 Prompt，但工具执行阶段主要按全局注册表判断是否注册。新增更多业务领域和工具前，建议补一层“当前领域允许工具”的执行校验，避免模型在提示中没有看到某工具，却仍可能通过直接输出 tool_id 进入全局注册执行路径。</w:t>
      </w:r>
    </w:p>
    <w:p>
      <w:pPr>
        <w:spacing w:after="100"/>
      </w:pPr>
      <w:r>
        <w:rPr>
          <w:rFonts w:ascii="Hiragino Sans GB W3" w:hAnsi="Hiragino Sans GB W3" w:eastAsia="Hiragino Sans GB W3"/>
          <w:b/>
          <w:color w:val="000000"/>
          <w:sz w:val="21"/>
          <w:highlight w:val="yellow"/>
        </w:rPr>
        <w:t>另外，当前 INVENTORY 分支会把除 sap_data_analysis 以外的注册工具加入库存工具集合。随着业务工具增加，需要改成明确的工具白名单集合，例如 INVENTORY 只允许四个库存工具，DATA 只允许数据分析和动态 SQL 工具，PURCHASE 只允许采购工具。</w:t>
      </w:r>
    </w:p>
    <w:p>
      <w:pPr>
        <w:pStyle w:val="Heading2"/>
        <w:spacing w:after="10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维护原则</w:t>
      </w:r>
    </w:p>
    <w:p>
      <w:pPr>
        <w:pStyle w:val="ListBullet"/>
        <w:spacing w:after="6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模型描述可以帮助模型选择工具，但不能替代后端安全校验。</w:t>
      </w:r>
    </w:p>
    <w:p>
      <w:pPr>
        <w:pStyle w:val="ListBullet"/>
        <w:spacing w:after="6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每个工具都要有唯一 ID、清晰参数、固定输出、权限边界和失败处理。</w:t>
      </w:r>
    </w:p>
    <w:p>
      <w:pPr>
        <w:pStyle w:val="ListBullet"/>
        <w:spacing w:after="6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先扩展只读能力；写入 SAP 的能力必须增加人工确认、审计和回滚设计。</w:t>
      </w:r>
    </w:p>
    <w:p>
      <w:pPr>
        <w:pStyle w:val="ListBullet"/>
        <w:spacing w:after="60"/>
      </w:pPr>
      <w:r>
        <w:rPr>
          <w:rFonts w:ascii="Hiragino Sans GB W3" w:hAnsi="Hiragino Sans GB W3" w:eastAsia="Hiragino Sans GB W3"/>
          <w:b w:val="0"/>
          <w:color w:val="000000"/>
          <w:sz w:val="21"/>
        </w:rPr>
        <w:t>每新增一个能力，同时更新代码、开发文档、实施文档和验收问题。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 W3" w:hAnsi="Hiragino Sans GB W3" w:eastAsia="Hiragino Sans GB W3"/>
        <w:b w:val="0"/>
        <w:color w:val="666666"/>
        <w:sz w:val="17"/>
      </w:rPr>
      <w:t>SAP AI Agent 能力维护说明 · 2026-10-06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 W3" w:hAnsi="Hiragino Sans GB W3" w:eastAsia="Hiragino Sans GB W3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Hiragino Sans GB W3" w:hAnsi="Hiragino Sans GB W3" w:eastAsia="Hiragino Sans GB W3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Hiragino Sans GB W3" w:hAnsi="Hiragino Sans GB W3" w:eastAsia="Hiragino Sans GB W3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iragino Sans GB W3" w:hAnsi="Hiragino Sans GB W3" w:eastAsia="Hiragino Sans GB W3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 W6" w:hAnsi="Hiragino Sans GB W6" w:eastAsia="Hiragino Sans GB W6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