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Hiragino Sans GB W6" w:hAnsi="Hiragino Sans GB W6" w:eastAsia="Hiragino Sans GB W6"/>
          <w:b/>
          <w:color w:val="000000"/>
          <w:sz w:val="48"/>
        </w:rPr>
        <w:t>SAP AI Agent 能力维护说明</w:t>
      </w:r>
    </w:p>
    <w:p>
      <w:pPr>
        <w:spacing w:after="240"/>
      </w:pPr>
      <w:r>
        <w:rPr>
          <w:rFonts w:ascii="Hiragino Sans GB W3" w:hAnsi="Hiragino Sans GB W3" w:eastAsia="Hiragino Sans GB W3"/>
          <w:b/>
          <w:color w:val="1F6F78"/>
          <w:sz w:val="24"/>
        </w:rPr>
        <w:t>能力入口、模型提示、工具注册与新增业务能力流程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584"/>
            <w:shd w:fill="1F6F7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center"/>
          </w:tcPr>
          <w:p>
            <w:pPr>
              <w:jc w:val="left"/>
            </w:pPr>
            <w:r/>
            <w:r>
              <w:rPr>
                <w:rFonts w:ascii="Hiragino Sans GB W6" w:hAnsi="Hiragino Sans GB W6" w:eastAsia="Hiragino Sans GB W6"/>
                <w:b/>
                <w:color w:val="FFFFFF"/>
                <w:sz w:val="19"/>
              </w:rPr>
              <w:t>文档版本</w:t>
            </w:r>
          </w:p>
        </w:tc>
        <w:tc>
          <w:tcPr>
            <w:tcW w:type="dxa" w:w="5040"/>
            <w:shd w:fill="1F6F7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center"/>
          </w:tcPr>
          <w:p>
            <w:pPr>
              <w:jc w:val="left"/>
            </w:pPr>
            <w:r/>
            <w:r>
              <w:rPr>
                <w:rFonts w:ascii="Hiragino Sans GB W6" w:hAnsi="Hiragino Sans GB W6" w:eastAsia="Hiragino Sans GB W6"/>
                <w:b/>
                <w:color w:val="FFFFFF"/>
                <w:sz w:val="19"/>
              </w:rPr>
              <w:t>适用范围</w:t>
            </w:r>
          </w:p>
        </w:tc>
        <w:tc>
          <w:tcPr>
            <w:tcW w:type="dxa" w:w="2160"/>
            <w:shd w:fill="1F6F7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center"/>
          </w:tcPr>
          <w:p>
            <w:pPr>
              <w:jc w:val="left"/>
            </w:pPr>
            <w:r/>
            <w:r>
              <w:rPr>
                <w:rFonts w:ascii="Hiragino Sans GB W6" w:hAnsi="Hiragino Sans GB W6" w:eastAsia="Hiragino Sans GB W6"/>
                <w:b/>
                <w:color w:val="FFFFFF"/>
                <w:sz w:val="19"/>
              </w:rPr>
              <w:t>更新时间</w:t>
            </w:r>
          </w:p>
        </w:tc>
      </w:tr>
      <w:tr>
        <w:tc>
          <w:tcPr>
            <w:tcW w:type="dxa" w:w="158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V1.0</w:t>
            </w:r>
          </w:p>
        </w:tc>
        <w:tc>
          <w:tcPr>
            <w:tcW w:type="dxa" w:w="5040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backend-abap Agent 能力链路</w:t>
            </w:r>
          </w:p>
        </w:tc>
        <w:tc>
          <w:tcPr>
            <w:tcW w:type="dxa" w:w="2160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2026-10-06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rFonts w:ascii="Hiragino Sans GB W3" w:hAnsi="Hiragino Sans GB W3" w:eastAsia="Hiragino Sans GB W3"/>
          <w:b w:val="0"/>
          <w:color w:val="000000"/>
          <w:sz w:val="22"/>
        </w:rPr>
        <w:t>这份文档回答三个问题：Agent 怎么知道自己能做什么；系统通过哪些入口把能力告诉模型；以后增加采购、销售、生产、财务等业务能力时，应该改哪里、测什么。</w:t>
      </w:r>
    </w:p>
    <w:p>
      <w:pPr>
        <w:spacing w:after="180"/>
      </w:pPr>
      <w:r>
        <w:rPr>
          <w:rFonts w:ascii="Hiragino Sans GB W3" w:hAnsi="Hiragino Sans GB W3" w:eastAsia="Hiragino Sans GB W3"/>
          <w:b/>
          <w:color w:val="000000"/>
          <w:sz w:val="21"/>
          <w:highlight w:val="yellow"/>
        </w:rPr>
        <w:t>最关键的结论：Prompt 只能告诉模型“应该怎么做”，工具注册、权限校验和执行代码才决定系统“实际上能不能做”。新增真实业务能力必须形成完整闭环，不能只改提示词。</w:t>
      </w:r>
    </w:p>
    <w:p>
      <w:pPr>
        <w:pStyle w:val="Heading1"/>
        <w:spacing w:after="10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目录</w:t>
      </w:r>
    </w:p>
    <w:p>
      <w:pPr>
        <w:pStyle w:val="ListBullet"/>
        <w:spacing w:after="6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一、Agent 能力是怎样进入模型的</w:t>
      </w:r>
    </w:p>
    <w:p>
      <w:pPr>
        <w:pStyle w:val="ListBullet"/>
        <w:spacing w:after="6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二、各维护入口分别管什么</w:t>
      </w:r>
    </w:p>
    <w:p>
      <w:pPr>
        <w:pStyle w:val="ListBullet"/>
        <w:spacing w:after="6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三、增加业务能力时先选哪条路线</w:t>
      </w:r>
    </w:p>
    <w:p>
      <w:pPr>
        <w:pStyle w:val="ListBullet"/>
        <w:spacing w:after="6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四、新增一个固定业务工具的实施步骤</w:t>
      </w:r>
    </w:p>
    <w:p>
      <w:pPr>
        <w:pStyle w:val="ListBullet"/>
        <w:spacing w:after="6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五、能力定义模板</w:t>
      </w:r>
    </w:p>
    <w:p>
      <w:pPr>
        <w:pStyle w:val="ListBullet"/>
        <w:spacing w:after="6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六、上线前验收清单</w:t>
      </w:r>
    </w:p>
    <w:p>
      <w:pPr>
        <w:pStyle w:val="ListBullet"/>
        <w:spacing w:after="6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七、当前代码需要留意的问题</w:t>
      </w:r>
    </w:p>
    <w:p>
      <w:pPr>
        <w:pStyle w:val="Heading1"/>
        <w:spacing w:after="10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一、Agent 能力是怎样进入模型的</w:t>
      </w:r>
    </w:p>
    <w:p>
      <w:pPr>
        <w:spacing w:after="10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一次 Agent 请求从前端进入 AnalyzeAgent 后，后端按下面顺序准备上下文。模型看到的不是整个后端代码，而是后端动态拼出来的 system 提示词、领域说明和工具清单。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648"/>
            <w:shd w:fill="1F6F7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center"/>
          </w:tcPr>
          <w:p>
            <w:pPr>
              <w:jc w:val="left"/>
            </w:pPr>
            <w:r/>
            <w:r>
              <w:rPr>
                <w:rFonts w:ascii="Hiragino Sans GB W6" w:hAnsi="Hiragino Sans GB W6" w:eastAsia="Hiragino Sans GB W6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2232"/>
            <w:shd w:fill="1F6F7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center"/>
          </w:tcPr>
          <w:p>
            <w:pPr>
              <w:jc w:val="left"/>
            </w:pPr>
            <w:r/>
            <w:r>
              <w:rPr>
                <w:rFonts w:ascii="Hiragino Sans GB W6" w:hAnsi="Hiragino Sans GB W6" w:eastAsia="Hiragino Sans GB W6"/>
                <w:b/>
                <w:color w:val="FFFFFF"/>
                <w:sz w:val="19"/>
              </w:rPr>
              <w:t>入口</w:t>
            </w:r>
          </w:p>
        </w:tc>
        <w:tc>
          <w:tcPr>
            <w:tcW w:type="dxa" w:w="6768"/>
            <w:shd w:fill="1F6F7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center"/>
          </w:tcPr>
          <w:p>
            <w:pPr>
              <w:jc w:val="left"/>
            </w:pPr>
            <w:r/>
            <w:r>
              <w:rPr>
                <w:rFonts w:ascii="Hiragino Sans GB W6" w:hAnsi="Hiragino Sans GB W6" w:eastAsia="Hiragino Sans GB W6"/>
                <w:b/>
                <w:color w:val="FFFFFF"/>
                <w:sz w:val="19"/>
              </w:rPr>
              <w:t>作用</w:t>
            </w:r>
          </w:p>
        </w:tc>
      </w:tr>
      <w:tr>
        <w:tc>
          <w:tcPr>
            <w:tcW w:type="dxa" w:w="6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2232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入口</w:t>
            </w:r>
          </w:p>
        </w:tc>
        <w:tc>
          <w:tcPr>
            <w:tcW w:type="dxa" w:w="676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前端 ChatService.js 调用 AnalyzeAgent，后端 DPC_EXT 转给 ZCL_AI_AGENT_SERVICE=&gt;ANALYZE_AGENT。</w:t>
            </w:r>
          </w:p>
        </w:tc>
      </w:tr>
      <w:tr>
        <w:tc>
          <w:tcPr>
            <w:tcW w:type="dxa" w:w="6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2232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领域路由</w:t>
            </w:r>
          </w:p>
        </w:tc>
        <w:tc>
          <w:tcPr>
            <w:tcW w:type="dxa" w:w="676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ZCL_AI_DOMAIN_CARDS=&gt;MATCH_DOMAIN 根据问题关键词选择 GENERAL、INVENTORY 或 DATA。</w:t>
            </w:r>
          </w:p>
        </w:tc>
      </w:tr>
      <w:tr>
        <w:tc>
          <w:tcPr>
            <w:tcW w:type="dxa" w:w="6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2232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领域说明</w:t>
            </w:r>
          </w:p>
        </w:tc>
        <w:tc>
          <w:tcPr>
            <w:tcW w:type="dxa" w:w="676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ZCL_AI_DOMAIN_CARDS=&gt;GET_CARD 注入业务口径、工具使用顺序、报告模板和自查规则。</w:t>
            </w:r>
          </w:p>
        </w:tc>
      </w:tr>
      <w:tr>
        <w:tc>
          <w:tcPr>
            <w:tcW w:type="dxa" w:w="6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2232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工具清单</w:t>
            </w:r>
          </w:p>
        </w:tc>
        <w:tc>
          <w:tcPr>
            <w:tcW w:type="dxa" w:w="676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ZCL_AI_TOOL_REGISTRY=&gt;GET_TOOLS_FOR_DOMAIN 返回当前领域允许展示给模型的工具。</w:t>
            </w:r>
          </w:p>
        </w:tc>
      </w:tr>
      <w:tr>
        <w:tc>
          <w:tcPr>
            <w:tcW w:type="dxa" w:w="6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2232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协议提示</w:t>
            </w:r>
          </w:p>
        </w:tc>
        <w:tc>
          <w:tcPr>
            <w:tcW w:type="dxa" w:w="676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ZCL_AI_AGENT_SERVICE=&gt;BUILD_PROTOCOL_PROMPT 拼出工具描述、参数 Schema 和 action=tool/final JSON 协议。</w:t>
            </w:r>
          </w:p>
        </w:tc>
      </w:tr>
      <w:tr>
        <w:tc>
          <w:tcPr>
            <w:tcW w:type="dxa" w:w="6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2232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模型决策</w:t>
            </w:r>
          </w:p>
        </w:tc>
        <w:tc>
          <w:tcPr>
            <w:tcW w:type="dxa" w:w="676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模型只能输出一行 JSON：调用已列出的工具，或直接输出最终回答。</w:t>
            </w:r>
          </w:p>
        </w:tc>
      </w:tr>
      <w:tr>
        <w:tc>
          <w:tcPr>
            <w:tcW w:type="dxa" w:w="6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2232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后端执行</w:t>
            </w:r>
          </w:p>
        </w:tc>
        <w:tc>
          <w:tcPr>
            <w:tcW w:type="dxa" w:w="676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AGENT_GUARD 校验格式和参数，AGENT_SERVICE 分发工具，具体服务读取 SAP 数据并回填结果。</w:t>
            </w:r>
          </w:p>
        </w:tc>
      </w:tr>
      <w:tr>
        <w:tc>
          <w:tcPr>
            <w:tcW w:type="dxa" w:w="6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2232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最终回答</w:t>
            </w:r>
          </w:p>
        </w:tc>
        <w:tc>
          <w:tcPr>
            <w:tcW w:type="dxa" w:w="676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模型基于工具结果组织答案；事实数字必须来自工具结果，不能凭记忆补数字。</w:t>
            </w:r>
          </w:p>
        </w:tc>
      </w:tr>
    </w:tbl>
    <w:p>
      <w:pPr>
        <w:spacing w:after="20"/>
      </w:pPr>
    </w:p>
    <w:p>
      <w:pPr>
        <w:pStyle w:val="Heading2"/>
        <w:spacing w:after="10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模型知道什么，系统真正允许什么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440"/>
            <w:shd w:fill="1F6F7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center"/>
          </w:tcPr>
          <w:p>
            <w:pPr>
              <w:jc w:val="left"/>
            </w:pPr>
            <w:r/>
            <w:r>
              <w:rPr>
                <w:rFonts w:ascii="Hiragino Sans GB W6" w:hAnsi="Hiragino Sans GB W6" w:eastAsia="Hiragino Sans GB W6"/>
                <w:b/>
                <w:color w:val="FFFFFF"/>
                <w:sz w:val="19"/>
              </w:rPr>
              <w:t>层次</w:t>
            </w:r>
          </w:p>
        </w:tc>
        <w:tc>
          <w:tcPr>
            <w:tcW w:type="dxa" w:w="3888"/>
            <w:shd w:fill="1F6F7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center"/>
          </w:tcPr>
          <w:p>
            <w:pPr>
              <w:jc w:val="left"/>
            </w:pPr>
            <w:r/>
            <w:r>
              <w:rPr>
                <w:rFonts w:ascii="Hiragino Sans GB W6" w:hAnsi="Hiragino Sans GB W6" w:eastAsia="Hiragino Sans GB W6"/>
                <w:b/>
                <w:color w:val="FFFFFF"/>
                <w:sz w:val="19"/>
              </w:rPr>
              <w:t>解决的问题</w:t>
            </w:r>
          </w:p>
        </w:tc>
        <w:tc>
          <w:tcPr>
            <w:tcW w:type="dxa" w:w="4320"/>
            <w:shd w:fill="1F6F7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center"/>
          </w:tcPr>
          <w:p>
            <w:pPr>
              <w:jc w:val="left"/>
            </w:pPr>
            <w:r/>
            <w:r>
              <w:rPr>
                <w:rFonts w:ascii="Hiragino Sans GB W6" w:hAnsi="Hiragino Sans GB W6" w:eastAsia="Hiragino Sans GB W6"/>
                <w:b/>
                <w:color w:val="FFFFFF"/>
                <w:sz w:val="19"/>
              </w:rPr>
              <w:t>主要维护点</w:t>
            </w:r>
          </w:p>
        </w:tc>
      </w:tr>
      <w:tr>
        <w:tc>
          <w:tcPr>
            <w:tcW w:type="dxa" w:w="1440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提示层</w:t>
            </w:r>
          </w:p>
        </w:tc>
        <w:tc>
          <w:tcPr>
            <w:tcW w:type="dxa" w:w="388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告诉模型能力用途、参数、调用顺序和回答口径。</w:t>
            </w:r>
          </w:p>
        </w:tc>
        <w:tc>
          <w:tcPr>
            <w:tcW w:type="dxa" w:w="4320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DOMAIN_CARDS、TOOL_REGISTRY、BUILD_PROTOCOL_PROMPT</w:t>
            </w:r>
          </w:p>
        </w:tc>
      </w:tr>
      <w:tr>
        <w:tc>
          <w:tcPr>
            <w:tcW w:type="dxa" w:w="1440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校验层</w:t>
            </w:r>
          </w:p>
        </w:tc>
        <w:tc>
          <w:tcPr>
            <w:tcW w:type="dxa" w:w="388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防止模型调用不存在的工具、传错参数或绕过限制。</w:t>
            </w:r>
          </w:p>
        </w:tc>
        <w:tc>
          <w:tcPr>
            <w:tcW w:type="dxa" w:w="4320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AGENT_GUARD、SQL_GUARD、数据分析能力目录</w:t>
            </w:r>
          </w:p>
        </w:tc>
      </w:tr>
      <w:tr>
        <w:tc>
          <w:tcPr>
            <w:tcW w:type="dxa" w:w="1440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执行层</w:t>
            </w:r>
          </w:p>
        </w:tc>
        <w:tc>
          <w:tcPr>
            <w:tcW w:type="dxa" w:w="388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真正访问 SAP 表、调用函数或执行固定业务逻辑。</w:t>
            </w:r>
          </w:p>
        </w:tc>
        <w:tc>
          <w:tcPr>
            <w:tcW w:type="dxa" w:w="4320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AGENT_SERVICE 分发、新工具服务类、权限检查</w:t>
            </w:r>
          </w:p>
        </w:tc>
      </w:tr>
      <w:tr>
        <w:tc>
          <w:tcPr>
            <w:tcW w:type="dxa" w:w="1440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展示层</w:t>
            </w:r>
          </w:p>
        </w:tc>
        <w:tc>
          <w:tcPr>
            <w:tcW w:type="dxa" w:w="388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让用户能进入 Agent、看到 Trace 和结果集。</w:t>
            </w:r>
          </w:p>
        </w:tc>
        <w:tc>
          <w:tcPr>
            <w:tcW w:type="dxa" w:w="4320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webapp/service/ChatService.js、App.controller.js</w:t>
            </w:r>
          </w:p>
        </w:tc>
      </w:tr>
    </w:tbl>
    <w:p>
      <w:pPr>
        <w:spacing w:after="20"/>
      </w:pPr>
    </w:p>
    <w:p>
      <w:pPr>
        <w:pStyle w:val="Heading1"/>
        <w:spacing w:after="10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二、各维护入口分别管什么</w:t>
      </w:r>
    </w:p>
    <w:p>
      <w:pPr>
        <w:spacing w:after="10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下面按“以后最常改的地方”列出维护职责。新增能力时，先判断自己改的是哪一层，再决定是否需要改代码。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664"/>
            <w:shd w:fill="1F6F7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center"/>
          </w:tcPr>
          <w:p>
            <w:pPr>
              <w:jc w:val="left"/>
            </w:pPr>
            <w:r/>
            <w:r>
              <w:rPr>
                <w:rFonts w:ascii="Hiragino Sans GB W6" w:hAnsi="Hiragino Sans GB W6" w:eastAsia="Hiragino Sans GB W6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1944"/>
            <w:shd w:fill="1F6F7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center"/>
          </w:tcPr>
          <w:p>
            <w:pPr>
              <w:jc w:val="left"/>
            </w:pPr>
            <w:r/>
            <w:r>
              <w:rPr>
                <w:rFonts w:ascii="Hiragino Sans GB W6" w:hAnsi="Hiragino Sans GB W6" w:eastAsia="Hiragino Sans GB W6"/>
                <w:b/>
                <w:color w:val="FFFFFF"/>
                <w:sz w:val="19"/>
              </w:rPr>
              <w:t>方法或区域</w:t>
            </w:r>
          </w:p>
        </w:tc>
        <w:tc>
          <w:tcPr>
            <w:tcW w:type="dxa" w:w="3384"/>
            <w:shd w:fill="1F6F7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center"/>
          </w:tcPr>
          <w:p>
            <w:pPr>
              <w:jc w:val="left"/>
            </w:pPr>
            <w:r/>
            <w:r>
              <w:rPr>
                <w:rFonts w:ascii="Hiragino Sans GB W6" w:hAnsi="Hiragino Sans GB W6" w:eastAsia="Hiragino Sans GB W6"/>
                <w:b/>
                <w:color w:val="FFFFFF"/>
                <w:sz w:val="19"/>
              </w:rPr>
              <w:t>负责什么</w:t>
            </w:r>
          </w:p>
        </w:tc>
        <w:tc>
          <w:tcPr>
            <w:tcW w:type="dxa" w:w="1656"/>
            <w:shd w:fill="1F6F7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center"/>
          </w:tcPr>
          <w:p>
            <w:pPr>
              <w:jc w:val="left"/>
            </w:pPr>
            <w:r/>
            <w:r>
              <w:rPr>
                <w:rFonts w:ascii="Hiragino Sans GB W6" w:hAnsi="Hiragino Sans GB W6" w:eastAsia="Hiragino Sans GB W6"/>
                <w:b/>
                <w:color w:val="FFFFFF"/>
                <w:sz w:val="19"/>
              </w:rPr>
              <w:t>什么时候改</w:t>
            </w:r>
          </w:p>
        </w:tc>
      </w:tr>
      <w:tr>
        <w:tc>
          <w:tcPr>
            <w:tcW w:type="dxa" w:w="266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ZCL_AI_DOMAIN_CARDS.abap</w:t>
            </w:r>
          </w:p>
        </w:tc>
        <w:tc>
          <w:tcPr>
            <w:tcW w:type="dxa" w:w="194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match_domain</w:t>
            </w:r>
          </w:p>
        </w:tc>
        <w:tc>
          <w:tcPr>
            <w:tcW w:type="dxa" w:w="338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判断问题属于哪个业务领域。</w:t>
            </w:r>
          </w:p>
        </w:tc>
        <w:tc>
          <w:tcPr>
            <w:tcW w:type="dxa" w:w="1656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新增“采购订单、交期、供应商”等关键词，或新增领域常量。</w:t>
            </w:r>
          </w:p>
        </w:tc>
      </w:tr>
      <w:tr>
        <w:tc>
          <w:tcPr>
            <w:tcW w:type="dxa" w:w="266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ZCL_AI_DOMAIN_CARDS.abap</w:t>
            </w:r>
          </w:p>
        </w:tc>
        <w:tc>
          <w:tcPr>
            <w:tcW w:type="dxa" w:w="194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get_card</w:t>
            </w:r>
          </w:p>
        </w:tc>
        <w:tc>
          <w:tcPr>
            <w:tcW w:type="dxa" w:w="338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写该领域的业务口径、工具顺序和回答模板。</w:t>
            </w:r>
          </w:p>
        </w:tc>
        <w:tc>
          <w:tcPr>
            <w:tcW w:type="dxa" w:w="1656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采购交期的日期口径、数量单位、异常解释方式。</w:t>
            </w:r>
          </w:p>
        </w:tc>
      </w:tr>
      <w:tr>
        <w:tc>
          <w:tcPr>
            <w:tcW w:type="dxa" w:w="266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ZCL_AI_TOOL_REGISTRY.abap</w:t>
            </w:r>
          </w:p>
        </w:tc>
        <w:tc>
          <w:tcPr>
            <w:tcW w:type="dxa" w:w="194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get_tools</w:t>
            </w:r>
          </w:p>
        </w:tc>
        <w:tc>
          <w:tcPr>
            <w:tcW w:type="dxa" w:w="338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注册工具 ID、描述、参数类型、必填项和只读标志。</w:t>
            </w:r>
          </w:p>
        </w:tc>
        <w:tc>
          <w:tcPr>
            <w:tcW w:type="dxa" w:w="1656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get_purchase_delivery、plant、vendor、date_from 等。</w:t>
            </w:r>
          </w:p>
        </w:tc>
      </w:tr>
      <w:tr>
        <w:tc>
          <w:tcPr>
            <w:tcW w:type="dxa" w:w="266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ZCL_AI_TOOL_REGISTRY.abap</w:t>
            </w:r>
          </w:p>
        </w:tc>
        <w:tc>
          <w:tcPr>
            <w:tcW w:type="dxa" w:w="194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get_tools_for_domain</w:t>
            </w:r>
          </w:p>
        </w:tc>
        <w:tc>
          <w:tcPr>
            <w:tcW w:type="dxa" w:w="338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把工具分配给领域，决定模型当前能看到哪些工具。</w:t>
            </w:r>
          </w:p>
        </w:tc>
        <w:tc>
          <w:tcPr>
            <w:tcW w:type="dxa" w:w="1656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DATA 或新建 PURCHASE 领域的工具集合。</w:t>
            </w:r>
          </w:p>
        </w:tc>
      </w:tr>
      <w:tr>
        <w:tc>
          <w:tcPr>
            <w:tcW w:type="dxa" w:w="266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ZCL_AI_AGENT_SERVICE.abap</w:t>
            </w:r>
          </w:p>
        </w:tc>
        <w:tc>
          <w:tcPr>
            <w:tcW w:type="dxa" w:w="194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build_protocol_prompt</w:t>
            </w:r>
          </w:p>
        </w:tc>
        <w:tc>
          <w:tcPr>
            <w:tcW w:type="dxa" w:w="338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将注册表转换成模型可读的工具清单和调用协议。</w:t>
            </w:r>
          </w:p>
        </w:tc>
        <w:tc>
          <w:tcPr>
            <w:tcW w:type="dxa" w:w="1656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通常由注册表自动带出；只有协议变化才改这里。</w:t>
            </w:r>
          </w:p>
        </w:tc>
      </w:tr>
      <w:tr>
        <w:tc>
          <w:tcPr>
            <w:tcW w:type="dxa" w:w="266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ZCL_AI_AGENT_SERVICE.abap</w:t>
            </w:r>
          </w:p>
        </w:tc>
        <w:tc>
          <w:tcPr>
            <w:tcW w:type="dxa" w:w="194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工具分发段</w:t>
            </w:r>
          </w:p>
        </w:tc>
        <w:tc>
          <w:tcPr>
            <w:tcW w:type="dxa" w:w="338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将工具 ID 路由到实际实现。</w:t>
            </w:r>
          </w:p>
        </w:tc>
        <w:tc>
          <w:tcPr>
            <w:tcW w:type="dxa" w:w="1656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增加 IF/CASE 分支，调用专用服务类。</w:t>
            </w:r>
          </w:p>
        </w:tc>
      </w:tr>
      <w:tr>
        <w:tc>
          <w:tcPr>
            <w:tcW w:type="dxa" w:w="266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ZCL_AI_AGENT_GUARD.abap</w:t>
            </w:r>
          </w:p>
        </w:tc>
        <w:tc>
          <w:tcPr>
            <w:tcW w:type="dxa" w:w="194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parse/validate</w:t>
            </w:r>
          </w:p>
        </w:tc>
        <w:tc>
          <w:tcPr>
            <w:tcW w:type="dxa" w:w="338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校验 JSON、参数格式、长度、重复参数和工具 Schema。</w:t>
            </w:r>
          </w:p>
        </w:tc>
        <w:tc>
          <w:tcPr>
            <w:tcW w:type="dxa" w:w="1656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新参数类型、特殊业务校验、错误信息。</w:t>
            </w:r>
          </w:p>
        </w:tc>
      </w:tr>
      <w:tr>
        <w:tc>
          <w:tcPr>
            <w:tcW w:type="dxa" w:w="266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ZCL_AI_DATA_ANALYSIS_SERVICE.abap</w:t>
            </w:r>
          </w:p>
        </w:tc>
        <w:tc>
          <w:tcPr>
            <w:tcW w:type="dxa" w:w="194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get_capabilities</w:t>
            </w:r>
          </w:p>
        </w:tc>
        <w:tc>
          <w:tcPr>
            <w:tcW w:type="dxa" w:w="338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维护固定数据分析能力目录：实体、字段、维度、指标和上限。</w:t>
            </w:r>
          </w:p>
        </w:tc>
        <w:tc>
          <w:tcPr>
            <w:tcW w:type="dxa" w:w="1656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适合受控的固定表分析，不适合复杂跨表业务流程。</w:t>
            </w:r>
          </w:p>
        </w:tc>
      </w:tr>
      <w:tr>
        <w:tc>
          <w:tcPr>
            <w:tcW w:type="dxa" w:w="266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ZCL_AI_SQL_GUARD.abap</w:t>
            </w:r>
          </w:p>
        </w:tc>
        <w:tc>
          <w:tcPr>
            <w:tcW w:type="dxa" w:w="194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is_active_user / SQL 规则</w:t>
            </w:r>
          </w:p>
        </w:tc>
        <w:tc>
          <w:tcPr>
            <w:tcW w:type="dxa" w:w="338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控制动态 SQL 开关、用户授权、黑名单、表权限和 SQL 限制。</w:t>
            </w:r>
          </w:p>
        </w:tc>
        <w:tc>
          <w:tcPr>
            <w:tcW w:type="dxa" w:w="1656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SQL_ALLOWED、最大行数、最大执行次数和危险语句拦截。</w:t>
            </w:r>
          </w:p>
        </w:tc>
      </w:tr>
      <w:tr>
        <w:tc>
          <w:tcPr>
            <w:tcW w:type="dxa" w:w="266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webapp/service/ChatService.js</w:t>
            </w:r>
          </w:p>
        </w:tc>
        <w:tc>
          <w:tcPr>
            <w:tcW w:type="dxa" w:w="194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sendByMode</w:t>
            </w:r>
          </w:p>
        </w:tc>
        <w:tc>
          <w:tcPr>
            <w:tcW w:type="dxa" w:w="3384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前端选择 Agent 入口并传递问题。</w:t>
            </w:r>
          </w:p>
        </w:tc>
        <w:tc>
          <w:tcPr>
            <w:tcW w:type="dxa" w:w="1656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一般不用在这里注册后端工具。</w:t>
            </w:r>
          </w:p>
        </w:tc>
      </w:tr>
    </w:tbl>
    <w:p>
      <w:pPr>
        <w:spacing w:after="20"/>
      </w:pPr>
    </w:p>
    <w:p>
      <w:pPr>
        <w:pStyle w:val="Heading2"/>
        <w:spacing w:after="10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后台可维护的数据不是工具注册表</w:t>
      </w:r>
    </w:p>
    <w:p>
      <w:pPr>
        <w:pStyle w:val="ListBullet"/>
        <w:spacing w:after="6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ZAI_CHAT_ROLE：角色前缀和用户选择的分析角色，影响提问上下文，但不会增加后端执行能力。</w:t>
      </w:r>
    </w:p>
    <w:p>
      <w:pPr>
        <w:pStyle w:val="ListBullet"/>
        <w:spacing w:after="6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ZAI_CHAT_PROMPT：首页快捷提问，也只是预置问题入口，不会自动产生新工具。</w:t>
      </w:r>
    </w:p>
    <w:p>
      <w:pPr>
        <w:pStyle w:val="ListBullet"/>
        <w:spacing w:after="6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ZAI_CHAT_CFG：Agent 模型、轮数、预算、SQL 开关等运行参数，不负责注册业务工具。</w:t>
      </w:r>
    </w:p>
    <w:p>
      <w:pPr>
        <w:pStyle w:val="ListBullet"/>
        <w:spacing w:after="6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ZAI_CHAT_USER：用户是否有 Agent 和 SQL 使用权限；登录账号匹配 USERID，显示名称是 USERNAME。</w:t>
      </w:r>
    </w:p>
    <w:p>
      <w:pPr>
        <w:pStyle w:val="Heading1"/>
        <w:spacing w:after="10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三、增加业务能力时先选哪条路线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088"/>
            <w:shd w:fill="1F6F7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center"/>
          </w:tcPr>
          <w:p>
            <w:pPr>
              <w:jc w:val="left"/>
            </w:pPr>
            <w:r/>
            <w:r>
              <w:rPr>
                <w:rFonts w:ascii="Hiragino Sans GB W6" w:hAnsi="Hiragino Sans GB W6" w:eastAsia="Hiragino Sans GB W6"/>
                <w:b/>
                <w:color w:val="FFFFFF"/>
                <w:sz w:val="19"/>
              </w:rPr>
              <w:t>路线</w:t>
            </w:r>
          </w:p>
        </w:tc>
        <w:tc>
          <w:tcPr>
            <w:tcW w:type="dxa" w:w="3312"/>
            <w:shd w:fill="1F6F7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center"/>
          </w:tcPr>
          <w:p>
            <w:pPr>
              <w:jc w:val="left"/>
            </w:pPr>
            <w:r/>
            <w:r>
              <w:rPr>
                <w:rFonts w:ascii="Hiragino Sans GB W6" w:hAnsi="Hiragino Sans GB W6" w:eastAsia="Hiragino Sans GB W6"/>
                <w:b/>
                <w:color w:val="FFFFFF"/>
                <w:sz w:val="19"/>
              </w:rPr>
              <w:t>适用场景</w:t>
            </w:r>
          </w:p>
        </w:tc>
        <w:tc>
          <w:tcPr>
            <w:tcW w:type="dxa" w:w="2448"/>
            <w:shd w:fill="1F6F7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center"/>
          </w:tcPr>
          <w:p>
            <w:pPr>
              <w:jc w:val="left"/>
            </w:pPr>
            <w:r/>
            <w:r>
              <w:rPr>
                <w:rFonts w:ascii="Hiragino Sans GB W6" w:hAnsi="Hiragino Sans GB W6" w:eastAsia="Hiragino Sans GB W6"/>
                <w:b/>
                <w:color w:val="FFFFFF"/>
                <w:sz w:val="19"/>
              </w:rPr>
              <w:t>模型看到的入口</w:t>
            </w:r>
          </w:p>
        </w:tc>
        <w:tc>
          <w:tcPr>
            <w:tcW w:type="dxa" w:w="2448"/>
            <w:shd w:fill="1F6F7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center"/>
          </w:tcPr>
          <w:p>
            <w:pPr>
              <w:jc w:val="left"/>
            </w:pPr>
            <w:r/>
            <w:r>
              <w:rPr>
                <w:rFonts w:ascii="Hiragino Sans GB W6" w:hAnsi="Hiragino Sans GB W6" w:eastAsia="Hiragino Sans GB W6"/>
                <w:b/>
                <w:color w:val="FFFFFF"/>
                <w:sz w:val="19"/>
              </w:rPr>
              <w:t>维护重点</w:t>
            </w:r>
          </w:p>
        </w:tc>
      </w:tr>
      <w:tr>
        <w:tc>
          <w:tcPr>
            <w:tcW w:type="dxa" w:w="208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路线 A：动态 SQL</w:t>
            </w:r>
          </w:p>
        </w:tc>
        <w:tc>
          <w:tcPr>
            <w:tcW w:type="dxa" w:w="3312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临时查询现有 SAP 表，字段和统计口径变化较多。</w:t>
            </w:r>
          </w:p>
        </w:tc>
        <w:tc>
          <w:tcPr>
            <w:tcW w:type="dxa" w:w="24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search_tables → describe_table → run_sql</w:t>
            </w:r>
          </w:p>
        </w:tc>
        <w:tc>
          <w:tcPr>
            <w:tcW w:type="dxa" w:w="24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不用新增工具；需要确认 SQL 开关、用户授权和表权限。</w:t>
            </w:r>
          </w:p>
        </w:tc>
      </w:tr>
      <w:tr>
        <w:tc>
          <w:tcPr>
            <w:tcW w:type="dxa" w:w="208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路线 B：固定能力目录</w:t>
            </w:r>
          </w:p>
        </w:tc>
        <w:tc>
          <w:tcPr>
            <w:tcW w:type="dxa" w:w="3312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固定实体、固定字段、固定操作，要求强约束和稳定结果集。</w:t>
            </w:r>
          </w:p>
        </w:tc>
        <w:tc>
          <w:tcPr>
            <w:tcW w:type="dxa" w:w="24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sap_data_analysis + get_capabilities</w:t>
            </w:r>
          </w:p>
        </w:tc>
        <w:tc>
          <w:tcPr>
            <w:tcW w:type="dxa" w:w="24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维护实体字段白名单、维度、指标、过滤条件和行数上限。</w:t>
            </w:r>
          </w:p>
        </w:tc>
      </w:tr>
      <w:tr>
        <w:tc>
          <w:tcPr>
            <w:tcW w:type="dxa" w:w="208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路线 C：专用业务工具</w:t>
            </w:r>
          </w:p>
        </w:tc>
        <w:tc>
          <w:tcPr>
            <w:tcW w:type="dxa" w:w="3312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需要复杂规则、跨表计算、状态判断或固定业务口径。</w:t>
            </w:r>
          </w:p>
        </w:tc>
        <w:tc>
          <w:tcPr>
            <w:tcW w:type="dxa" w:w="24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新增 tool_id + 专用服务类</w:t>
            </w:r>
          </w:p>
        </w:tc>
        <w:tc>
          <w:tcPr>
            <w:tcW w:type="dxa" w:w="24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完整改注册、领域卡、校验、分发、权限和测试。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rFonts w:ascii="Hiragino Sans GB W3" w:hAnsi="Hiragino Sans GB W3" w:eastAsia="Hiragino Sans GB W3"/>
          <w:b/>
          <w:color w:val="000000"/>
          <w:sz w:val="21"/>
          <w:highlight w:val="yellow"/>
        </w:rPr>
        <w:t>选择建议：先判断“只是查数据”还是“需要业务规则”。只是查数据优先复用动态 SQL；固定统计优先能力目录；涉及业务判断、跨表口径或后续可能写回 SAP 时，做专用工具。写入类工具必须先设计人工确认和审计流程。</w:t>
      </w:r>
    </w:p>
    <w:p>
      <w:pPr>
        <w:pStyle w:val="Heading1"/>
        <w:spacing w:after="10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四、新增一个固定业务工具的实施步骤</w:t>
      </w:r>
    </w:p>
    <w:p>
      <w:pPr>
        <w:spacing w:after="10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下面以“采购订单交期分析”为例。示例工具名使用 get_purchase_delivery，实际开发时请按项目命名规范调整。</w:t>
      </w:r>
    </w:p>
    <w:p>
      <w:pPr>
        <w:pStyle w:val="Heading2"/>
      </w:pPr>
      <w:r>
        <w:rPr>
          <w:rFonts w:ascii="Hiragino Sans GB W3" w:hAnsi="Hiragino Sans GB W3" w:eastAsia="Hiragino Sans GB W3"/>
          <w:b/>
          <w:color w:val="000000"/>
          <w:sz w:val="25"/>
        </w:rPr>
        <w:t>1. 先写能力边界</w:t>
      </w:r>
    </w:p>
    <w:p>
      <w:pPr>
        <w:spacing w:after="10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明确能回答什么、不能回答什么：采购订单号、供应商、物料、工厂、承诺交期、实际收货状态；明确日期口径和数量单位。</w:t>
      </w:r>
    </w:p>
    <w:p>
      <w:pPr>
        <w:pStyle w:val="Heading2"/>
      </w:pPr>
      <w:r>
        <w:rPr>
          <w:rFonts w:ascii="Hiragino Sans GB W3" w:hAnsi="Hiragino Sans GB W3" w:eastAsia="Hiragino Sans GB W3"/>
          <w:b/>
          <w:color w:val="000000"/>
          <w:sz w:val="25"/>
        </w:rPr>
        <w:t>2. 注册工具</w:t>
      </w:r>
    </w:p>
    <w:p>
      <w:pPr>
        <w:spacing w:after="10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在 ZCL_AI_TOOL_REGISTRY 的 get_tools 中增加 tool_id、description、参数 Schema、read_only 和 needs_confirm。描述要写给模型看，说明何时调用、返回什么、哪些情况不要调用。</w:t>
      </w:r>
    </w:p>
    <w:p>
      <w:pPr>
        <w:pStyle w:val="Heading2"/>
      </w:pPr>
      <w:r>
        <w:rPr>
          <w:rFonts w:ascii="Hiragino Sans GB W3" w:hAnsi="Hiragino Sans GB W3" w:eastAsia="Hiragino Sans GB W3"/>
          <w:b/>
          <w:color w:val="000000"/>
          <w:sz w:val="25"/>
        </w:rPr>
        <w:t>3. 分配领域</w:t>
      </w:r>
    </w:p>
    <w:p>
      <w:pPr>
        <w:spacing w:after="10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在 get_tools_for_domain 中把工具加入 PURCHASE 领域，或加入现有 DATA 领域。不要只写在 get_tools 中却忘记领域分配，否则模型看不到。</w:t>
      </w:r>
    </w:p>
    <w:p>
      <w:pPr>
        <w:pStyle w:val="Heading2"/>
      </w:pPr>
      <w:r>
        <w:rPr>
          <w:rFonts w:ascii="Hiragino Sans GB W3" w:hAnsi="Hiragino Sans GB W3" w:eastAsia="Hiragino Sans GB W3"/>
          <w:b/>
          <w:color w:val="000000"/>
          <w:sz w:val="25"/>
        </w:rPr>
        <w:t>4. 增加领域路由和领域卡</w:t>
      </w:r>
    </w:p>
    <w:p>
      <w:pPr>
        <w:spacing w:after="10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在 ZCL_AI_DOMAIN_CARDS 的 match_domain 增加采购关键词，在 get_card 写业务口径、工具调用顺序、零结果解释和最终报告模板。</w:t>
      </w:r>
    </w:p>
    <w:p>
      <w:pPr>
        <w:pStyle w:val="Heading2"/>
      </w:pPr>
      <w:r>
        <w:rPr>
          <w:rFonts w:ascii="Hiragino Sans GB W3" w:hAnsi="Hiragino Sans GB W3" w:eastAsia="Hiragino Sans GB W3"/>
          <w:b/>
          <w:color w:val="000000"/>
          <w:sz w:val="25"/>
        </w:rPr>
        <w:t>5. 实现执行代码</w:t>
      </w:r>
    </w:p>
    <w:p>
      <w:pPr>
        <w:spacing w:after="10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在专用服务类中读取 EKKO、EKPO、EKET 等真实表，统一输出状态、列、行和错误信息。模型输入只能作为经过校验的参数，不能直接拼接成未受控 SQL。</w:t>
      </w:r>
    </w:p>
    <w:p>
      <w:pPr>
        <w:pStyle w:val="Heading2"/>
      </w:pPr>
      <w:r>
        <w:rPr>
          <w:rFonts w:ascii="Hiragino Sans GB W3" w:hAnsi="Hiragino Sans GB W3" w:eastAsia="Hiragino Sans GB W3"/>
          <w:b/>
          <w:color w:val="000000"/>
          <w:sz w:val="25"/>
        </w:rPr>
        <w:t>6. 接入 Agent 分发</w:t>
      </w:r>
    </w:p>
    <w:p>
      <w:pPr>
        <w:spacing w:after="10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在 ZCL_AI_AGENT_SERVICE 的工具分发区域按 tool_id 调用专用服务，并将结果用统一 tool_result 回填给模型。</w:t>
      </w:r>
    </w:p>
    <w:p>
      <w:pPr>
        <w:pStyle w:val="Heading2"/>
      </w:pPr>
      <w:r>
        <w:rPr>
          <w:rFonts w:ascii="Hiragino Sans GB W3" w:hAnsi="Hiragino Sans GB W3" w:eastAsia="Hiragino Sans GB W3"/>
          <w:b/>
          <w:color w:val="000000"/>
          <w:sz w:val="25"/>
        </w:rPr>
        <w:t>7. 增加确定性校验</w:t>
      </w:r>
    </w:p>
    <w:p>
      <w:pPr>
        <w:spacing w:after="10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在 AGENT_GUARD 校验日期、料号、供应商、工厂等参数；在服务层做权限、最大行数、超时和敏感字段处理。</w:t>
      </w:r>
    </w:p>
    <w:p>
      <w:pPr>
        <w:pStyle w:val="Heading2"/>
      </w:pPr>
      <w:r>
        <w:rPr>
          <w:rFonts w:ascii="Hiragino Sans GB W3" w:hAnsi="Hiragino Sans GB W3" w:eastAsia="Hiragino Sans GB W3"/>
          <w:b/>
          <w:color w:val="000000"/>
          <w:sz w:val="25"/>
        </w:rPr>
        <w:t>8. 做端到端测试</w:t>
      </w:r>
    </w:p>
    <w:p>
      <w:pPr>
        <w:spacing w:after="10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测试命中路由、模型调用工具、参数错误、零结果、权限不足、超时、模型直接回答和多轮修正；Trace 必须能看到工具阶段。</w:t>
      </w:r>
    </w:p>
    <w:p>
      <w:pPr>
        <w:pStyle w:val="Heading2"/>
      </w:pPr>
      <w:r>
        <w:rPr>
          <w:rFonts w:ascii="Hiragino Sans GB W3" w:hAnsi="Hiragino Sans GB W3" w:eastAsia="Hiragino Sans GB W3"/>
          <w:b/>
          <w:color w:val="000000"/>
          <w:sz w:val="25"/>
        </w:rPr>
        <w:t>9. 更新部署资料</w:t>
      </w:r>
    </w:p>
    <w:p>
      <w:pPr>
        <w:spacing w:after="10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更新后端开发文档、后端实施文档、对象清单、激活顺序和回滚说明；新增或覆盖的 ABAP 类必须列清楚。</w:t>
      </w:r>
    </w:p>
    <w:p>
      <w:pPr>
        <w:pStyle w:val="Heading2"/>
        <w:spacing w:after="10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工具注册示例结构</w:t>
      </w:r>
    </w:p>
    <w:p>
      <w:pPr>
        <w:spacing w:before="60" w:after="140"/>
        <w:ind w:left="360" w:right="360"/>
        <w:shd w:fill="F2F2F2"/>
      </w:pPr>
      <w:r>
        <w:rPr>
          <w:rFonts w:ascii="Menlo" w:hAnsi="Menlo" w:eastAsia="Menlo"/>
          <w:b w:val="0"/>
          <w:color w:val="000000"/>
          <w:sz w:val="18"/>
        </w:rPr>
        <w:t>tool_id     = 'get_purchase_delivery'</w:t>
      </w:r>
      <w:r>
        <w:br/>
      </w:r>
      <w:r>
        <w:rPr>
          <w:rFonts w:ascii="Menlo" w:hAnsi="Menlo" w:eastAsia="Menlo"/>
          <w:b w:val="0"/>
          <w:color w:val="000000"/>
          <w:sz w:val="18"/>
        </w:rPr>
        <w:t>description = '查询采购订单交期与收货状态。用户问交期、延期、未交数量时调用；返回订单号、行项目、物料、供应商、工厂、承诺日期、收货状态。'</w:t>
      </w:r>
      <w:r>
        <w:br/>
      </w:r>
      <w:r>
        <w:rPr>
          <w:rFonts w:ascii="Menlo" w:hAnsi="Menlo" w:eastAsia="Menlo"/>
          <w:b w:val="0"/>
          <w:color w:val="000000"/>
          <w:sz w:val="18"/>
        </w:rPr>
        <w:t>params      = [</w:t>
      </w:r>
      <w:r>
        <w:br/>
      </w:r>
      <w:r>
        <w:rPr>
          <w:rFonts w:ascii="Menlo" w:hAnsi="Menlo" w:eastAsia="Menlo"/>
          <w:b w:val="0"/>
          <w:color w:val="000000"/>
          <w:sz w:val="18"/>
        </w:rPr>
        <w:t xml:space="preserve">  purchase_order(TEXT, 可选), vendor(TEXT, 可选), material(MATERIAL, 可选),</w:t>
      </w:r>
      <w:r>
        <w:br/>
      </w:r>
      <w:r>
        <w:rPr>
          <w:rFonts w:ascii="Menlo" w:hAnsi="Menlo" w:eastAsia="Menlo"/>
          <w:b w:val="0"/>
          <w:color w:val="000000"/>
          <w:sz w:val="18"/>
        </w:rPr>
        <w:t xml:space="preserve">  plant(PLANT, 可选), date_from(DATE, 可选), date_to(DATE, 可选)</w:t>
      </w:r>
      <w:r>
        <w:br/>
      </w:r>
      <w:r>
        <w:rPr>
          <w:rFonts w:ascii="Menlo" w:hAnsi="Menlo" w:eastAsia="Menlo"/>
          <w:b w:val="0"/>
          <w:color w:val="000000"/>
          <w:sz w:val="18"/>
        </w:rPr>
        <w:t>]</w:t>
      </w:r>
      <w:r>
        <w:br/>
      </w:r>
      <w:r>
        <w:rPr>
          <w:rFonts w:ascii="Menlo" w:hAnsi="Menlo" w:eastAsia="Menlo"/>
          <w:b w:val="0"/>
          <w:color w:val="000000"/>
          <w:sz w:val="18"/>
        </w:rPr>
        <w:t>read_only   = abap_true</w:t>
      </w:r>
    </w:p>
    <w:p>
      <w:pPr>
        <w:spacing w:after="100"/>
      </w:pPr>
      <w:r>
        <w:rPr>
          <w:rFonts w:ascii="Hiragino Sans GB W3" w:hAnsi="Hiragino Sans GB W3" w:eastAsia="Hiragino Sans GB W3"/>
          <w:b/>
          <w:color w:val="000000"/>
          <w:sz w:val="20"/>
          <w:highlight w:val="yellow"/>
        </w:rPr>
        <w:t>注意：描述要告诉模型“什么时候用”和“返回什么”，但不能把描述当成安全边界。安全边界必须在 ABAP 校验和执行代码中再次落实。</w:t>
      </w:r>
    </w:p>
    <w:p>
      <w:pPr>
        <w:pStyle w:val="Heading1"/>
        <w:spacing w:after="10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五、能力定义模板</w:t>
      </w:r>
    </w:p>
    <w:p>
      <w:pPr>
        <w:spacing w:after="10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每次新增业务能力，先把下面内容写完整，再开始改代码。这样可以减少“模型会说、系统不会做”或“工具能跑、口径不一致”的问题。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088"/>
            <w:shd w:fill="1F6F7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center"/>
          </w:tcPr>
          <w:p>
            <w:pPr>
              <w:jc w:val="left"/>
            </w:pPr>
            <w:r/>
            <w:r>
              <w:rPr>
                <w:rFonts w:ascii="Hiragino Sans GB W6" w:hAnsi="Hiragino Sans GB W6" w:eastAsia="Hiragino Sans GB W6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8208"/>
            <w:shd w:fill="1F6F7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center"/>
          </w:tcPr>
          <w:p>
            <w:pPr>
              <w:jc w:val="left"/>
            </w:pPr>
            <w:r/>
            <w:r>
              <w:rPr>
                <w:rFonts w:ascii="Hiragino Sans GB W6" w:hAnsi="Hiragino Sans GB W6" w:eastAsia="Hiragino Sans GB W6"/>
                <w:b/>
                <w:color w:val="FFFFFF"/>
                <w:sz w:val="19"/>
              </w:rPr>
              <w:t>填写内容</w:t>
            </w:r>
          </w:p>
        </w:tc>
      </w:tr>
      <w:tr>
        <w:tc>
          <w:tcPr>
            <w:tcW w:type="dxa" w:w="208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能力名称</w:t>
            </w:r>
          </w:p>
        </w:tc>
        <w:tc>
          <w:tcPr>
            <w:tcW w:type="dxa" w:w="820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例如：采购订单交期分析</w:t>
            </w:r>
          </w:p>
        </w:tc>
      </w:tr>
      <w:tr>
        <w:tc>
          <w:tcPr>
            <w:tcW w:type="dxa" w:w="208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触发问题</w:t>
            </w:r>
          </w:p>
        </w:tc>
        <w:tc>
          <w:tcPr>
            <w:tcW w:type="dxa" w:w="820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用户会怎样提问；需要哪些关键词；是否允许手工指定工具</w:t>
            </w:r>
          </w:p>
        </w:tc>
      </w:tr>
      <w:tr>
        <w:tc>
          <w:tcPr>
            <w:tcW w:type="dxa" w:w="208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领域</w:t>
            </w:r>
          </w:p>
        </w:tc>
        <w:tc>
          <w:tcPr>
            <w:tcW w:type="dxa" w:w="820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GENERAL / INVENTORY / DATA / 新领域 PURCHASE</w:t>
            </w:r>
          </w:p>
        </w:tc>
      </w:tr>
      <w:tr>
        <w:tc>
          <w:tcPr>
            <w:tcW w:type="dxa" w:w="208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工具 ID</w:t>
            </w:r>
          </w:p>
        </w:tc>
        <w:tc>
          <w:tcPr>
            <w:tcW w:type="dxa" w:w="820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唯一、稳定、英文小写、不要随意改名</w:t>
            </w:r>
          </w:p>
        </w:tc>
      </w:tr>
      <w:tr>
        <w:tc>
          <w:tcPr>
            <w:tcW w:type="dxa" w:w="208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输入参数</w:t>
            </w:r>
          </w:p>
        </w:tc>
        <w:tc>
          <w:tcPr>
            <w:tcW w:type="dxa" w:w="820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名称、类型、必填/可选、长度、格式、默认值</w:t>
            </w:r>
          </w:p>
        </w:tc>
      </w:tr>
      <w:tr>
        <w:tc>
          <w:tcPr>
            <w:tcW w:type="dxa" w:w="208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数据来源</w:t>
            </w:r>
          </w:p>
        </w:tc>
        <w:tc>
          <w:tcPr>
            <w:tcW w:type="dxa" w:w="820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表、视图、函数、接口；每个字段对应的真实来源</w:t>
            </w:r>
          </w:p>
        </w:tc>
      </w:tr>
      <w:tr>
        <w:tc>
          <w:tcPr>
            <w:tcW w:type="dxa" w:w="208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输出结构</w:t>
            </w:r>
          </w:p>
        </w:tc>
        <w:tc>
          <w:tcPr>
            <w:tcW w:type="dxa" w:w="820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字段名、展示名、数据类型、单位、状态、错误结构</w:t>
            </w:r>
          </w:p>
        </w:tc>
      </w:tr>
      <w:tr>
        <w:tc>
          <w:tcPr>
            <w:tcW w:type="dxa" w:w="208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业务口径</w:t>
            </w:r>
          </w:p>
        </w:tc>
        <w:tc>
          <w:tcPr>
            <w:tcW w:type="dxa" w:w="820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日期、数量、金额、状态、零结果、跨单位/跨币种规则</w:t>
            </w:r>
          </w:p>
        </w:tc>
      </w:tr>
      <w:tr>
        <w:tc>
          <w:tcPr>
            <w:tcW w:type="dxa" w:w="208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权限和限制</w:t>
            </w:r>
          </w:p>
        </w:tc>
        <w:tc>
          <w:tcPr>
            <w:tcW w:type="dxa" w:w="820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用户、工厂、公司代码、表权限、最大行数、超时、审计</w:t>
            </w:r>
          </w:p>
        </w:tc>
      </w:tr>
      <w:tr>
        <w:tc>
          <w:tcPr>
            <w:tcW w:type="dxa" w:w="208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失败处理</w:t>
            </w:r>
          </w:p>
        </w:tc>
        <w:tc>
          <w:tcPr>
            <w:tcW w:type="dxa" w:w="820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无数据、参数错误、权限不足、超时、系统异常如何回答</w:t>
            </w:r>
          </w:p>
        </w:tc>
      </w:tr>
      <w:tr>
        <w:tc>
          <w:tcPr>
            <w:tcW w:type="dxa" w:w="208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验收问题</w:t>
            </w:r>
          </w:p>
        </w:tc>
        <w:tc>
          <w:tcPr>
            <w:tcW w:type="dxa" w:w="820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至少准备正常、边界、拒绝、零结果和多轮修正案例</w:t>
            </w:r>
          </w:p>
        </w:tc>
      </w:tr>
    </w:tbl>
    <w:p>
      <w:pPr>
        <w:spacing w:after="20"/>
      </w:pPr>
    </w:p>
    <w:p>
      <w:pPr>
        <w:pStyle w:val="Heading1"/>
        <w:spacing w:after="10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六、上线前验收清单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448"/>
            <w:shd w:fill="1F6F7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center"/>
          </w:tcPr>
          <w:p>
            <w:pPr>
              <w:jc w:val="left"/>
            </w:pPr>
            <w:r/>
            <w:r>
              <w:rPr>
                <w:rFonts w:ascii="Hiragino Sans GB W6" w:hAnsi="Hiragino Sans GB W6" w:eastAsia="Hiragino Sans GB W6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7848"/>
            <w:shd w:fill="1F6F7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center"/>
          </w:tcPr>
          <w:p>
            <w:pPr>
              <w:jc w:val="left"/>
            </w:pPr>
            <w:r/>
            <w:r>
              <w:rPr>
                <w:rFonts w:ascii="Hiragino Sans GB W6" w:hAnsi="Hiragino Sans GB W6" w:eastAsia="Hiragino Sans GB W6"/>
                <w:b/>
                <w:color w:val="FFFFFF"/>
                <w:sz w:val="19"/>
              </w:rPr>
              <w:t>通过标准</w:t>
            </w:r>
          </w:p>
        </w:tc>
      </w:tr>
      <w:tr>
        <w:tc>
          <w:tcPr>
            <w:tcW w:type="dxa" w:w="24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能力能被路由</w:t>
            </w:r>
          </w:p>
        </w:tc>
        <w:tc>
          <w:tcPr>
            <w:tcW w:type="dxa" w:w="78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典型问题命中正确领域；非目标问题不会误命中。</w:t>
            </w:r>
          </w:p>
        </w:tc>
      </w:tr>
      <w:tr>
        <w:tc>
          <w:tcPr>
            <w:tcW w:type="dxa" w:w="24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模型能看到能力</w:t>
            </w:r>
          </w:p>
        </w:tc>
        <w:tc>
          <w:tcPr>
            <w:tcW w:type="dxa" w:w="78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Trace 或调试记录中可确认 system 提示包含工具 ID、用途和参数。</w:t>
            </w:r>
          </w:p>
        </w:tc>
      </w:tr>
      <w:tr>
        <w:tc>
          <w:tcPr>
            <w:tcW w:type="dxa" w:w="24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只调用已注册工具</w:t>
            </w:r>
          </w:p>
        </w:tc>
        <w:tc>
          <w:tcPr>
            <w:tcW w:type="dxa" w:w="78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未知 tool_id 被拒绝；模型不能自造工具名。</w:t>
            </w:r>
          </w:p>
        </w:tc>
      </w:tr>
      <w:tr>
        <w:tc>
          <w:tcPr>
            <w:tcW w:type="dxa" w:w="24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参数校验有效</w:t>
            </w:r>
          </w:p>
        </w:tc>
        <w:tc>
          <w:tcPr>
            <w:tcW w:type="dxa" w:w="78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缺参、错格式、超长、重复参数都能明确拒绝。</w:t>
            </w:r>
          </w:p>
        </w:tc>
      </w:tr>
      <w:tr>
        <w:tc>
          <w:tcPr>
            <w:tcW w:type="dxa" w:w="24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权限校验有效</w:t>
            </w:r>
          </w:p>
        </w:tc>
        <w:tc>
          <w:tcPr>
            <w:tcW w:type="dxa" w:w="78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无权限用户、无表权限或无工厂权限不能通过改写问题绕过。</w:t>
            </w:r>
          </w:p>
        </w:tc>
      </w:tr>
      <w:tr>
        <w:tc>
          <w:tcPr>
            <w:tcW w:type="dxa" w:w="24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零结果可解释</w:t>
            </w:r>
          </w:p>
        </w:tc>
        <w:tc>
          <w:tcPr>
            <w:tcW w:type="dxa" w:w="78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0 行是有效事实，不被误报成系统失败。</w:t>
            </w:r>
          </w:p>
        </w:tc>
      </w:tr>
      <w:tr>
        <w:tc>
          <w:tcPr>
            <w:tcW w:type="dxa" w:w="24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结果可溯源</w:t>
            </w:r>
          </w:p>
        </w:tc>
        <w:tc>
          <w:tcPr>
            <w:tcW w:type="dxa" w:w="78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回答中的数字和结论能对应到工具返回的数据。</w:t>
            </w:r>
          </w:p>
        </w:tc>
      </w:tr>
      <w:tr>
        <w:tc>
          <w:tcPr>
            <w:tcW w:type="dxa" w:w="24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失败可收口</w:t>
            </w:r>
          </w:p>
        </w:tc>
        <w:tc>
          <w:tcPr>
            <w:tcW w:type="dxa" w:w="78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工具失败、超时或预算耗尽时不编造结果，能说明原因。</w:t>
            </w:r>
          </w:p>
        </w:tc>
      </w:tr>
      <w:tr>
        <w:tc>
          <w:tcPr>
            <w:tcW w:type="dxa" w:w="24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前端可见</w:t>
            </w:r>
          </w:p>
        </w:tc>
        <w:tc>
          <w:tcPr>
            <w:tcW w:type="dxa" w:w="78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Agent 模式能进入；Trace、工具名、结果集和错误提示正常显示。</w:t>
            </w:r>
          </w:p>
        </w:tc>
      </w:tr>
      <w:tr>
        <w:tc>
          <w:tcPr>
            <w:tcW w:type="dxa" w:w="24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部署可回滚</w:t>
            </w:r>
          </w:p>
        </w:tc>
        <w:tc>
          <w:tcPr>
            <w:tcW w:type="dxa" w:w="7848"/>
            <w:tcBorders>
              <w:top w:val="single" w:sz="6" w:space="0" w:color="B7C9D0"/>
              <w:left w:val="single" w:sz="6" w:space="0" w:color="B7C9D0"/>
              <w:bottom w:val="single" w:sz="6" w:space="0" w:color="B7C9D0"/>
              <w:right w:val="single" w:sz="6" w:space="0" w:color="B7C9D0"/>
              <w:insideH w:val="single" w:sz="6" w:space="0" w:color="B7C9D0"/>
              <w:insideV w:val="single" w:sz="6" w:space="0" w:color="B7C9D0"/>
            </w:tcBorders>
            <w:vAlign w:val="top"/>
            <w:shd w:fill="F8FBFC"/>
          </w:tcPr>
          <w:p>
            <w:pPr>
              <w:spacing w:after="40"/>
            </w:pPr>
            <w:r/>
            <w:r>
              <w:rPr>
                <w:rFonts w:ascii="Hiragino Sans GB W3" w:hAnsi="Hiragino Sans GB W3" w:eastAsia="Hiragino Sans GB W3"/>
                <w:b w:val="0"/>
                <w:color w:val="000000"/>
                <w:sz w:val="18"/>
              </w:rPr>
              <w:t>ABAP 类、表、配置、前端构建产物和传输对象都有清单。</w:t>
            </w:r>
          </w:p>
        </w:tc>
      </w:tr>
    </w:tbl>
    <w:p>
      <w:pPr>
        <w:spacing w:after="20"/>
      </w:pPr>
    </w:p>
    <w:p>
      <w:pPr>
        <w:pStyle w:val="Heading2"/>
        <w:spacing w:after="10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推荐测试问题</w:t>
      </w:r>
    </w:p>
    <w:p>
      <w:pPr>
        <w:pStyle w:val="ListBullet"/>
        <w:spacing w:after="6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查询某工厂最近一个月采购订单的未交数量并按供应商汇总。</w:t>
      </w:r>
    </w:p>
    <w:p>
      <w:pPr>
        <w:pStyle w:val="ListBullet"/>
        <w:spacing w:after="6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查询一个不存在的采购订单，确认系统返回零结果或未找到。</w:t>
      </w:r>
    </w:p>
    <w:p>
      <w:pPr>
        <w:pStyle w:val="ListBullet"/>
        <w:spacing w:after="6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故意缺少必填参数，确认工具不执行并提示修正。</w:t>
      </w:r>
    </w:p>
    <w:p>
      <w:pPr>
        <w:pStyle w:val="ListBullet"/>
        <w:spacing w:after="6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使用无权限账号调用，确认后端拒绝而不是只在前端隐藏。</w:t>
      </w:r>
    </w:p>
    <w:p>
      <w:pPr>
        <w:pStyle w:val="ListBullet"/>
        <w:spacing w:after="6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连续追问“那其中延期最多的供应商是哪家”，确认会话上下文和工具结果能继续使用。</w:t>
      </w:r>
    </w:p>
    <w:p>
      <w:pPr>
        <w:pStyle w:val="Heading1"/>
        <w:spacing w:after="10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七、当前代码需要留意的问题</w:t>
      </w:r>
    </w:p>
    <w:p>
      <w:pPr>
        <w:spacing w:after="100"/>
      </w:pPr>
      <w:r>
        <w:rPr>
          <w:rFonts w:ascii="Hiragino Sans GB W3" w:hAnsi="Hiragino Sans GB W3" w:eastAsia="Hiragino Sans GB W3"/>
          <w:b/>
          <w:color w:val="000000"/>
          <w:sz w:val="21"/>
          <w:highlight w:val="yellow"/>
        </w:rPr>
        <w:t>当前代码已经能按领域把工具清单注入 Prompt，但工具执行阶段主要按全局注册表判断是否注册。新增更多业务领域和工具前，建议补一层“当前领域允许工具”的执行校验，避免模型在提示中没有看到某工具，却仍可能通过直接输出 tool_id 进入全局注册执行路径。</w:t>
      </w:r>
    </w:p>
    <w:p>
      <w:pPr>
        <w:spacing w:after="100"/>
      </w:pPr>
      <w:r>
        <w:rPr>
          <w:rFonts w:ascii="Hiragino Sans GB W3" w:hAnsi="Hiragino Sans GB W3" w:eastAsia="Hiragino Sans GB W3"/>
          <w:b/>
          <w:color w:val="000000"/>
          <w:sz w:val="21"/>
          <w:highlight w:val="yellow"/>
        </w:rPr>
        <w:t>另外，当前 INVENTORY 分支会把除 sap_data_analysis 以外的注册工具加入库存工具集合。随着业务工具增加，需要改成明确的工具白名单集合，例如 INVENTORY 只允许四个库存工具，DATA 只允许数据分析和动态 SQL 工具，PURCHASE 只允许采购工具。</w:t>
      </w:r>
    </w:p>
    <w:p>
      <w:pPr>
        <w:pStyle w:val="Heading2"/>
        <w:spacing w:after="10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维护原则</w:t>
      </w:r>
    </w:p>
    <w:p>
      <w:pPr>
        <w:pStyle w:val="ListBullet"/>
        <w:spacing w:after="6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模型描述可以帮助模型选择工具，但不能替代后端安全校验。</w:t>
      </w:r>
    </w:p>
    <w:p>
      <w:pPr>
        <w:pStyle w:val="ListBullet"/>
        <w:spacing w:after="6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每个工具都要有唯一 ID、清晰参数、固定输出、权限边界和失败处理。</w:t>
      </w:r>
    </w:p>
    <w:p>
      <w:pPr>
        <w:pStyle w:val="ListBullet"/>
        <w:spacing w:after="6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先扩展只读能力；写入 SAP 的能力必须增加人工确认、审计和回滚设计。</w:t>
      </w:r>
    </w:p>
    <w:p>
      <w:pPr>
        <w:pStyle w:val="ListBullet"/>
        <w:spacing w:after="60"/>
      </w:pPr>
      <w:r>
        <w:rPr>
          <w:rFonts w:ascii="Hiragino Sans GB W3" w:hAnsi="Hiragino Sans GB W3" w:eastAsia="Hiragino Sans GB W3"/>
          <w:b w:val="0"/>
          <w:color w:val="000000"/>
          <w:sz w:val="21"/>
        </w:rPr>
        <w:t>每新增一个能力，同时更新代码、开发文档、实施文档和验收问题。</w:t>
      </w:r>
    </w:p>
    <w:p>
      <w:r>
        <w:br w:type="page"/>
      </w:r>
    </w:p>
    <w:p>
      <w:r>
        <w:rPr>
          <w:b/>
          <w:highlight w:val="yellow"/>
        </w:rPr>
        <w:t>2026-10-11 Agent 场景与模型白名单补充</w:t>
      </w:r>
    </w:p>
    <w:p>
      <w:r>
        <w:rPr>
          <w:b w:val="0"/>
          <w:highlight w:val="yellow"/>
        </w:rPr>
        <w:t>本补充覆盖报表执行、数据分析、库存查询、代码分析和自动五种会话场景，以及后端模型白名单。</w:t>
      </w:r>
    </w:p>
    <w:p>
      <w:r>
        <w:rPr>
          <w:b w:val="0"/>
          <w:highlight w:val="yellow"/>
        </w:rPr>
        <w:t>黄色高亮为本次 2026-10-11 A/B 批新增或改写内容。Word 打开后请右键目录，选择“更新域 → 更新整个目录”刷新页码。</w:t>
      </w:r>
    </w:p>
    <w:p>
      <w:r>
        <w:rPr>
          <w:b w:val="0"/>
          <w:highlight w:val="yellow"/>
        </w:rPr>
        <w:t>1. 场景不是 Prompt 文案，而是后端固定的工具边界。新建 Agent 会话首条请求传 Scene，后端写入 ZAI_CHAT_SESS.AGENT_TYPE；首条消息后场景固定。空值、GENERAL 和未知值兼容为 AUTO。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</w:tcPr>
          <w:p>
            <w:r>
              <w:rPr>
                <w:b/>
                <w:highlight w:val="yellow"/>
              </w:rPr>
              <w:t>场景值</w:t>
            </w:r>
          </w:p>
        </w:tc>
        <w:tc>
          <w:tcPr>
            <w:tcW w:type="dxa" w:w="2520"/>
            <w:vAlign w:val="center"/>
          </w:tcPr>
          <w:p>
            <w:r>
              <w:rPr>
                <w:b/>
                <w:highlight w:val="yellow"/>
              </w:rPr>
              <w:t>允许工具/行为</w:t>
            </w:r>
          </w:p>
        </w:tc>
        <w:tc>
          <w:tcPr>
            <w:tcW w:type="dxa" w:w="2520"/>
            <w:vAlign w:val="center"/>
          </w:tcPr>
          <w:p>
            <w:r>
              <w:rPr>
                <w:b/>
                <w:highlight w:val="yellow"/>
              </w:rPr>
              <w:t>典型问题</w:t>
            </w:r>
          </w:p>
        </w:tc>
        <w:tc>
          <w:tcPr>
            <w:tcW w:type="dxa" w:w="2520"/>
            <w:vAlign w:val="center"/>
          </w:tcPr>
          <w:p>
            <w:r>
              <w:rPr>
                <w:b/>
                <w:highlight w:val="yellow"/>
              </w:rPr>
              <w:t>越界行为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highlight w:val="yellow"/>
              </w:rPr>
              <w:t>REPORT</w:t>
            </w:r>
          </w:p>
        </w:tc>
        <w:tc>
          <w:tcPr>
            <w:tcW w:type="dxa" w:w="2520"/>
            <w:vAlign w:val="center"/>
          </w:tcPr>
          <w:p>
            <w:r>
              <w:rPr>
                <w:highlight w:val="yellow"/>
              </w:rPr>
              <w:t>报表登记、参数校验、后台作业、READY 结果分析</w:t>
            </w:r>
          </w:p>
        </w:tc>
        <w:tc>
          <w:tcPr>
            <w:tcW w:type="dxa" w:w="2520"/>
            <w:vAlign w:val="center"/>
          </w:tcPr>
          <w:p>
            <w:r>
              <w:rPr>
                <w:highlight w:val="yellow"/>
              </w:rPr>
              <w:t>执行 ZDPMM702</w:t>
            </w:r>
          </w:p>
        </w:tc>
        <w:tc>
          <w:tcPr>
            <w:tcW w:type="dxa" w:w="2520"/>
            <w:vAlign w:val="center"/>
          </w:tcPr>
          <w:p>
            <w:r>
              <w:rPr>
                <w:highlight w:val="yellow"/>
              </w:rPr>
              <w:t>表分析请求提示转 DATA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highlight w:val="yellow"/>
              </w:rPr>
              <w:t>DATA</w:t>
            </w:r>
          </w:p>
        </w:tc>
        <w:tc>
          <w:tcPr>
            <w:tcW w:type="dxa" w:w="2520"/>
            <w:vAlign w:val="center"/>
          </w:tcPr>
          <w:p>
            <w:r>
              <w:rPr>
                <w:highlight w:val="yellow"/>
              </w:rPr>
              <w:t>登记的数据分析和只读 SQL 工具</w:t>
            </w:r>
          </w:p>
        </w:tc>
        <w:tc>
          <w:tcPr>
            <w:tcW w:type="dxa" w:w="2520"/>
            <w:vAlign w:val="center"/>
          </w:tcPr>
          <w:p>
            <w:r>
              <w:rPr>
                <w:highlight w:val="yellow"/>
              </w:rPr>
              <w:t>按工厂统计 ZIDPMM455</w:t>
            </w:r>
          </w:p>
        </w:tc>
        <w:tc>
          <w:tcPr>
            <w:tcW w:type="dxa" w:w="2520"/>
            <w:vAlign w:val="center"/>
          </w:tcPr>
          <w:p>
            <w:r>
              <w:rPr>
                <w:highlight w:val="yellow"/>
              </w:rPr>
              <w:t>执行报表提示转 REPORT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highlight w:val="yellow"/>
              </w:rPr>
              <w:t>INVENTORY</w:t>
            </w:r>
          </w:p>
        </w:tc>
        <w:tc>
          <w:tcPr>
            <w:tcW w:type="dxa" w:w="2520"/>
            <w:vAlign w:val="center"/>
          </w:tcPr>
          <w:p>
            <w:r>
              <w:rPr>
                <w:highlight w:val="yellow"/>
              </w:rPr>
              <w:t>库存候选、快照、收发、批次库存</w:t>
            </w:r>
          </w:p>
        </w:tc>
        <w:tc>
          <w:tcPr>
            <w:tcW w:type="dxa" w:w="2520"/>
            <w:vAlign w:val="center"/>
          </w:tcPr>
          <w:p>
            <w:r>
              <w:rPr>
                <w:highlight w:val="yellow"/>
              </w:rPr>
              <w:t>A001 在 0001 的库存</w:t>
            </w:r>
          </w:p>
        </w:tc>
        <w:tc>
          <w:tcPr>
            <w:tcW w:type="dxa" w:w="2520"/>
            <w:vAlign w:val="center"/>
          </w:tcPr>
          <w:p>
            <w:r>
              <w:rPr>
                <w:highlight w:val="yellow"/>
              </w:rPr>
              <w:t>代码/报表请求提示换场景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highlight w:val="yellow"/>
              </w:rPr>
              <w:t>CODE</w:t>
            </w:r>
          </w:p>
        </w:tc>
        <w:tc>
          <w:tcPr>
            <w:tcW w:type="dxa" w:w="2520"/>
            <w:vAlign w:val="center"/>
          </w:tcPr>
          <w:p>
            <w:r>
              <w:rPr>
                <w:highlight w:val="yellow"/>
              </w:rPr>
              <w:t>read_program_source、表结构读取</w:t>
            </w:r>
          </w:p>
        </w:tc>
        <w:tc>
          <w:tcPr>
            <w:tcW w:type="dxa" w:w="2520"/>
            <w:vAlign w:val="center"/>
          </w:tcPr>
          <w:p>
            <w:r>
              <w:rPr>
                <w:highlight w:val="yellow"/>
              </w:rPr>
              <w:t>解释 ZDPMM702 程序逻辑</w:t>
            </w:r>
          </w:p>
        </w:tc>
        <w:tc>
          <w:tcPr>
            <w:tcW w:type="dxa" w:w="2520"/>
            <w:vAlign w:val="center"/>
          </w:tcPr>
          <w:p>
            <w:r>
              <w:rPr>
                <w:highlight w:val="yellow"/>
              </w:rPr>
              <w:t>不执行源码，不读任意对象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highlight w:val="yellow"/>
              </w:rPr>
              <w:t>AUTO</w:t>
            </w:r>
          </w:p>
        </w:tc>
        <w:tc>
          <w:tcPr>
            <w:tcW w:type="dxa" w:w="2520"/>
            <w:vAlign w:val="center"/>
          </w:tcPr>
          <w:p>
            <w:r>
              <w:rPr>
                <w:highlight w:val="yellow"/>
              </w:rPr>
              <w:t>旧混合路由</w:t>
            </w:r>
          </w:p>
        </w:tc>
        <w:tc>
          <w:tcPr>
            <w:tcW w:type="dxa" w:w="2520"/>
            <w:vAlign w:val="center"/>
          </w:tcPr>
          <w:p>
            <w:r>
              <w:rPr>
                <w:highlight w:val="yellow"/>
              </w:rPr>
              <w:t>旧 Agent 会话继续提问</w:t>
            </w:r>
          </w:p>
        </w:tc>
        <w:tc>
          <w:tcPr>
            <w:tcW w:type="dxa" w:w="2520"/>
            <w:vAlign w:val="center"/>
          </w:tcPr>
          <w:p>
            <w:r>
              <w:rPr>
                <w:highlight w:val="yellow"/>
              </w:rPr>
              <w:t>保持历史兼容</w:t>
            </w:r>
          </w:p>
        </w:tc>
      </w:tr>
    </w:tbl>
    <w:p>
      <w:r>
        <w:rPr>
          <w:b w:val="0"/>
          <w:highlight w:val="yellow"/>
        </w:rPr>
        <w:t>2. 工具注册新增 read_program_source。对象名只能是 Z/Y 开头或 /命名空间/；事务码先查 TSTC 主程序；每页最多 400 行、字符上限 18000；模型配置 USER_HIDE_SRC=X 且当前用户不是 ADMIN 时，只返回 TADIR/TRDIRT/修改人等元信息。</w:t>
      </w:r>
    </w:p>
    <w:p>
      <w:r>
        <w:rPr>
          <w:b w:val="0"/>
          <w:highlight w:val="yellow"/>
        </w:rPr>
        <w:t>3. Agent 模型白名单的键必须写全：AGENT_MODELS、AGENT_MODELS_RPT、AGENT_MODELS_DATA、AGENT_MODELS_INV、AGENT_MODELS_CODE。场景键优先，空值回退全局，全部为空表示不限制；前端过滤只是体验，后端 agent_model_allowed 才是最终校验。</w:t>
      </w:r>
    </w:p>
    <w:p>
      <w:r>
        <w:rPr>
          <w:b w:val="0"/>
          <w:highlight w:val="yellow"/>
        </w:rPr>
        <w:t>4. 普通对话默认不再读取程序源码、表结构或表数据。用户点名对象时，前端显示转 Agent 场景建议；只有 ZAI_CHAT_CFG 的 CHAT_SAP_ACCESS=X 才恢复旧行为。</w:t>
      </w:r>
    </w:p>
    <w:p>
      <w:r>
        <w:rPr>
          <w:b w:val="0"/>
          <w:highlight w:val="yellow"/>
        </w:rPr>
        <w:t>5. 能力新增/修改的发布顺序：先贴报表服务和真实作业适配器，再贴对话服务、领域卡、工具注册、意图路由、Agent 服务；SEGW 给 AnalyzeTask 增加 Scene 后 Generate Runtime，最后激活 DPC_EXT。</w:t>
      </w:r>
    </w:p>
    <w:p>
      <w:r>
        <w:rPr>
          <w:b w:val="0"/>
          <w:highlight w:val="yellow"/>
        </w:rPr>
        <w:t>维护验收：手动选白名单外模型必须被后端拒绝；报表场景不得调用 DATA/INVENTORY/CODE 工具；CODE 场景必须能看到源码行范围或明确的隐藏源码说明；旧 GENERAL 会话仍按 AUTO。</w:t>
      </w:r>
    </w:p>
    <w:p>
      <w:r>
        <w:br w:type="page"/>
      </w:r>
    </w:p>
    <w:p>
      <w:r>
        <w:rPr>
          <w:b/>
          <w:highlight w:val="yellow"/>
        </w:rPr>
        <w:t>20261011 Agent 测评维护说明</w:t>
      </w:r>
    </w:p>
    <w:p>
      <w:r>
        <w:rPr>
          <w:b w:val="0"/>
          <w:highlight w:val="yellow"/>
        </w:rPr>
        <w:t>管理员测评随前端 BSP 发布，题库、评分和报告格式由源码固定；它不新增 ABAP 对象，也不绕过后端权限。</w:t>
      </w:r>
    </w:p>
    <w:p>
      <w:r>
        <w:rPr>
          <w:b w:val="0"/>
          <w:highlight w:val="yellow"/>
        </w:rPr>
        <w:t>本页是 2026-10-11 Agent 测评增量；黄色高亮为新增内容。Word 打开后请 Ctrl+A → F9 更新目录域。</w:t>
      </w:r>
    </w:p>
    <w:p>
      <w:r>
        <w:rPr>
          <w:b w:val="0"/>
          <w:highlight w:val="yellow"/>
        </w:rPr>
        <w:t>入口：管理员登录后进入“设置 → 测评 → 打开 Agent 测评”。普通用户没有页签。内置题库 webapp/model/evalCases.json 当前版本 20261011，共 29 题：DATA 12（D01-D12）、REPORT 5（R01-R05）、INVENTORY 3（I01-I03）、CODE 5（C01-C05）、AUTO 4（G01-G04）。</w:t>
      </w:r>
    </w:p>
    <w:p>
      <w:r>
        <w:rPr>
          <w:b w:val="0"/>
          <w:highlight w:val="yellow"/>
        </w:rPr>
        <w:t>AgentEval.js 通过 ChatService.sendTask 使用用户同一条 AnalyzeTask 链路；题目顺序执行，重复次数限制 1~5，多轮共享同一临时会话。requiresScene=true 的题在 metadata 没有 AnalyzeTask.Scene 时跳过；AUTO 不发送 Scene。默认 cleanup=true，题目结束删除会话，跳过题不创建会话。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</w:tcPr>
          <w:p>
            <w:r>
              <w:rPr>
                <w:b/>
                <w:highlight w:val="yellow"/>
              </w:rPr>
              <w:t>维护项</w:t>
            </w:r>
          </w:p>
        </w:tc>
        <w:tc>
          <w:tcPr>
            <w:tcW w:type="dxa" w:w="3360"/>
            <w:vAlign w:val="center"/>
          </w:tcPr>
          <w:p>
            <w:r>
              <w:rPr>
                <w:b/>
                <w:highlight w:val="yellow"/>
              </w:rPr>
              <w:t>源码口径</w:t>
            </w:r>
          </w:p>
        </w:tc>
        <w:tc>
          <w:tcPr>
            <w:tcW w:type="dxa" w:w="3360"/>
            <w:vAlign w:val="center"/>
          </w:tcPr>
          <w:p>
            <w:r>
              <w:rPr>
                <w:b/>
                <w:highlight w:val="yellow"/>
              </w:rPr>
              <w:t>维护要求</w:t>
            </w:r>
          </w:p>
        </w:tc>
      </w:tr>
      <w:tr>
        <w:tc>
          <w:tcPr>
            <w:tcW w:type="dxa" w:w="3360"/>
            <w:vAlign w:val="center"/>
          </w:tcPr>
          <w:p>
            <w:r>
              <w:rPr>
                <w:b w:val="0"/>
                <w:highlight w:val="yellow"/>
              </w:rPr>
              <w:t>题目</w:t>
            </w:r>
          </w:p>
        </w:tc>
        <w:tc>
          <w:tcPr>
            <w:tcW w:type="dxa" w:w="3360"/>
            <w:vAlign w:val="center"/>
          </w:tcPr>
          <w:p>
            <w:r>
              <w:rPr>
                <w:b w:val="0"/>
                <w:highlight w:val="yellow"/>
              </w:rPr>
              <w:t>id/name/scene/turns/expect；支持 question 兼容写法，turns 最多 5 轮</w:t>
            </w:r>
          </w:p>
        </w:tc>
        <w:tc>
          <w:tcPr>
            <w:tcW w:type="dxa" w:w="3360"/>
            <w:vAlign w:val="center"/>
          </w:tcPr>
          <w:p>
            <w:r>
              <w:rPr>
                <w:b w:val="0"/>
                <w:highlight w:val="yellow"/>
              </w:rPr>
              <w:t>新增题保留场景、版本和变更原因；重复 ID 会自动改名</w:t>
            </w:r>
          </w:p>
        </w:tc>
      </w:tr>
      <w:tr>
        <w:tc>
          <w:tcPr>
            <w:tcW w:type="dxa" w:w="3360"/>
            <w:vAlign w:val="center"/>
          </w:tcPr>
          <w:p>
            <w:r>
              <w:rPr>
                <w:b w:val="0"/>
                <w:highlight w:val="yellow"/>
              </w:rPr>
              <w:t>评分</w:t>
            </w:r>
          </w:p>
        </w:tc>
        <w:tc>
          <w:tcPr>
            <w:tcW w:type="dxa" w:w="3360"/>
            <w:vAlign w:val="center"/>
          </w:tcPr>
          <w:p>
            <w:r>
              <w:rPr>
                <w:b w:val="0"/>
                <w:highlight w:val="yellow"/>
              </w:rPr>
              <w:t>tools/toolsAny/noTools/toolsNotOk、回答关键词/正则、轮数/耗时、module/needsInput/deterministic</w:t>
            </w:r>
          </w:p>
        </w:tc>
        <w:tc>
          <w:tcPr>
            <w:tcW w:type="dxa" w:w="3360"/>
            <w:vAlign w:val="center"/>
          </w:tcPr>
          <w:p>
            <w:r>
              <w:rPr>
                <w:b w:val="0"/>
                <w:highlight w:val="yellow"/>
              </w:rPr>
              <w:t>expect 默认只接受 OK；所有轮次不能 ERROR，最后一轮检查详细预期</w:t>
            </w:r>
          </w:p>
        </w:tc>
      </w:tr>
      <w:tr>
        <w:tc>
          <w:tcPr>
            <w:tcW w:type="dxa" w:w="3360"/>
            <w:vAlign w:val="center"/>
          </w:tcPr>
          <w:p>
            <w:r>
              <w:rPr>
                <w:b w:val="0"/>
                <w:highlight w:val="yellow"/>
              </w:rPr>
              <w:t>报告</w:t>
            </w:r>
          </w:p>
        </w:tc>
        <w:tc>
          <w:tcPr>
            <w:tcW w:type="dxa" w:w="3360"/>
            <w:vAlign w:val="center"/>
          </w:tcPr>
          <w:p>
            <w:r>
              <w:rPr>
                <w:b w:val="0"/>
                <w:highlight w:val="yellow"/>
              </w:rPr>
              <w:t>Markdown 汇总 + JSON 逐轮明细 + JSON 题库</w:t>
            </w:r>
          </w:p>
        </w:tc>
        <w:tc>
          <w:tcPr>
            <w:tcW w:type="dxa" w:w="3360"/>
            <w:vAlign w:val="center"/>
          </w:tcPr>
          <w:p>
            <w:r>
              <w:rPr>
                <w:b w:val="0"/>
                <w:highlight w:val="yellow"/>
              </w:rPr>
              <w:t>保留题库版本、模型、次数、Scene 支持状态和前后端基线</w:t>
            </w:r>
          </w:p>
        </w:tc>
      </w:tr>
      <w:tr>
        <w:tc>
          <w:tcPr>
            <w:tcW w:type="dxa" w:w="3360"/>
            <w:vAlign w:val="center"/>
          </w:tcPr>
          <w:p>
            <w:r>
              <w:rPr>
                <w:b w:val="0"/>
                <w:highlight w:val="yellow"/>
              </w:rPr>
              <w:t>安全</w:t>
            </w:r>
          </w:p>
        </w:tc>
        <w:tc>
          <w:tcPr>
            <w:tcW w:type="dxa" w:w="3360"/>
            <w:vAlign w:val="center"/>
          </w:tcPr>
          <w:p>
            <w:r>
              <w:rPr>
                <w:b w:val="0"/>
                <w:highlight w:val="yellow"/>
              </w:rPr>
              <w:t>REPORT 只返回参数卡，工具调用仍受 ABAP 白名单/权限约束</w:t>
            </w:r>
          </w:p>
        </w:tc>
        <w:tc>
          <w:tcPr>
            <w:tcW w:type="dxa" w:w="3360"/>
            <w:vAlign w:val="center"/>
          </w:tcPr>
          <w:p>
            <w:r>
              <w:rPr>
                <w:b w:val="0"/>
                <w:highlight w:val="yellow"/>
              </w:rPr>
              <w:t>不能用题库改动绕过 SQL、源码或模型白名单</w:t>
            </w:r>
          </w:p>
        </w:tc>
      </w:tr>
    </w:tbl>
    <w:p>
      <w:r>
        <w:rPr>
          <w:b w:val="0"/>
          <w:highlight w:val="yellow"/>
        </w:rPr>
        <w:t>题库导入格式：{cases:[{scene:'DATA',turns:['问题'],expect:{toolsAny:['run_sql']}}]}。空题或无效 JSON 被拒绝，导入只影响当前浏览器会话，不写 ZAI_CHAT_CFG。演示模式结果是内置示例，只用于检查界面。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Hiragino Sans GB W3" w:hAnsi="Hiragino Sans GB W3" w:eastAsia="Hiragino Sans GB W3"/>
        <w:b w:val="0"/>
        <w:color w:val="666666"/>
        <w:sz w:val="17"/>
      </w:rPr>
      <w:t>SAP AI Agent 能力维护说明 · 2026-10-06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 GB W3" w:hAnsi="Hiragino Sans GB W3" w:eastAsia="Hiragino Sans GB W3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Hiragino Sans GB W3" w:hAnsi="Hiragino Sans GB W3" w:eastAsia="Hiragino Sans GB W3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Hiragino Sans GB W3" w:hAnsi="Hiragino Sans GB W3" w:eastAsia="Hiragino Sans GB W3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Hiragino Sans GB W3" w:hAnsi="Hiragino Sans GB W3" w:eastAsia="Hiragino Sans GB W3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Hiragino Sans GB W6" w:hAnsi="Hiragino Sans GB W6" w:eastAsia="Hiragino Sans GB W6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