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0"/>
        <w:jc w:val="center"/>
      </w:pPr>
      <w:r>
        <w:rPr>
          <w:rFonts w:ascii="Arial" w:cs="Arial" w:eastAsia="Arial" w:hAnsi="Arial"/>
          <w:b/>
          <w:bCs/>
          <w:color w:val="1F3864"/>
          <w:sz w:val="96"/>
          <w:szCs w:val="96"/>
        </w:rPr>
        <w:t xml:space="preserve">EDGE</w:t>
      </w:r>
    </w:p>
    <w:p>
      <w:pPr>
        <w:spacing w:before="0" w:after="60"/>
        <w:jc w:val="center"/>
      </w:pPr>
      <w:r>
        <w:rPr>
          <w:rFonts w:ascii="Arial" w:cs="Arial" w:eastAsia="Arial" w:hAnsi="Arial"/>
          <w:color w:val="2E75B6"/>
          <w:sz w:val="34"/>
          <w:szCs w:val="34"/>
        </w:rPr>
        <w:t xml:space="preserve">Future End Vision &amp; Implementation Plan</w:t>
      </w:r>
    </w:p>
    <w:p>
      <w:pPr>
        <w:spacing w:before="0" w:after="0"/>
        <w:jc w:val="center"/>
      </w:pPr>
      <w:r>
        <w:rPr>
          <w:rFonts w:ascii="Arial" w:cs="Arial" w:eastAsia="Arial" w:hAnsi="Arial"/>
          <w:i/>
          <w:iCs/>
          <w:color w:val="595959"/>
          <w:sz w:val="22"/>
          <w:szCs w:val="22"/>
        </w:rPr>
        <w:t xml:space="preserve">A complete roadmap from current state to fully autonomous alpha research</w:t>
      </w:r>
    </w:p>
    <w:p>
      <w:pPr>
        <w:spacing w:before="0" w:after="200"/>
      </w:pPr>
    </w:p>
    <w:p>
      <w:pPr>
        <w:pBdr>
          <w:bottom w:val="single" w:color="1F3864" w:sz="3" w:space="1"/>
        </w:pBdr>
        <w:spacing w:before="60" w:after="60"/>
      </w:pPr>
    </w:p>
    <w:p>
      <w:pPr>
        <w:spacing w:before="0" w:after="80"/>
      </w:pPr>
    </w:p>
    <w:p>
      <w:pPr>
        <w:spacing w:before="0" w:after="40"/>
        <w:jc w:val="center"/>
      </w:pPr>
      <w:r>
        <w:rPr>
          <w:rFonts w:ascii="Arial" w:cs="Arial" w:eastAsia="Arial" w:hAnsi="Arial"/>
          <w:color w:val="595959"/>
          <w:sz w:val="19"/>
          <w:szCs w:val="19"/>
        </w:rPr>
        <w:t xml:space="preserve">Based on complete codebase analysis — 1,117 Python source files, all documentation and specifications</w:t>
      </w:r>
    </w:p>
    <w:p>
      <w:pPr>
        <w:spacing w:before="0" w:after="0"/>
        <w:jc w:val="center"/>
      </w:pPr>
      <w:r>
        <w:rPr>
          <w:rFonts w:ascii="Arial" w:cs="Arial" w:eastAsia="Arial" w:hAnsi="Arial"/>
          <w:color w:val="595959"/>
          <w:sz w:val="19"/>
          <w:szCs w:val="19"/>
        </w:rPr>
        <w:t xml:space="preserve">March 2026</w:t>
      </w:r>
    </w:p>
    <w:p>
      <w:pPr>
        <w:spacing w:before="0" w:after="600"/>
      </w:pPr>
    </w:p>
    <w:p>
      <w:r>
        <w:br w:type="page"/>
      </w:r>
    </w:p>
    <w:p>
      <w:pPr>
        <w:pStyle w:val="Heading1"/>
        <w:pBdr>
          <w:bottom w:val="single" w:color="1F3864" w:sz="6" w:space="4"/>
        </w:pBdr>
        <w:spacing w:before="400" w:after="160"/>
      </w:pPr>
      <w:r>
        <w:rPr>
          <w:rFonts w:ascii="Arial" w:cs="Arial" w:eastAsia="Arial" w:hAnsi="Arial"/>
          <w:b/>
          <w:bCs/>
          <w:color w:val="1F3864"/>
          <w:sz w:val="36"/>
          <w:szCs w:val="36"/>
        </w:rPr>
        <w:t xml:space="preserve">The Central Thesis</w:t>
      </w:r>
    </w:p>
    <w:p>
      <w:pPr>
        <w:spacing w:before="80" w:after="100"/>
        <w:jc w:val="left"/>
      </w:pPr>
      <w:r>
        <w:rPr>
          <w:rFonts w:ascii="Arial" w:cs="Arial" w:eastAsia="Arial" w:hAnsi="Arial"/>
          <w:color w:val="2F2F2F"/>
          <w:sz w:val="22"/>
          <w:szCs w:val="22"/>
        </w:rPr>
        <w:t xml:space="preserve">EDGE is an architecturally complete quantitative research system. Its search engine evaluates six trigger types. Its evaluator performs per-regime analysis, stress testing, kill-switch detection, and robustness scoring on every hypothesis. Its memory system writes structured reflections, promising regions, avoid lists, and next-action queues after every run. Its promotion gate applies deflated Sharpe correction, placebo testing, multiplicity adjustment, and tiered deployment gating. Its portfolio module implements Kelly-adjusted position sizing with volatility scaling, leverage constraints, and correlation adjustment.</w:t>
      </w:r>
    </w:p>
    <w:p>
      <w:pPr>
        <w:spacing w:before="0" w:after="60"/>
      </w:pPr>
    </w:p>
    <w:p>
      <w:pPr>
        <w:spacing w:before="80" w:after="100"/>
        <w:jc w:val="left"/>
      </w:pPr>
      <w:r>
        <w:rPr>
          <w:rFonts w:ascii="Arial" w:cs="Arial" w:eastAsia="Arial" w:hAnsi="Arial"/>
          <w:color w:val="2F2F2F"/>
          <w:sz w:val="22"/>
          <w:szCs w:val="22"/>
        </w:rPr>
        <w:t xml:space="preserve">None of this capability is being driven.</w:t>
      </w:r>
    </w:p>
    <w:p>
      <w:pPr>
        <w:spacing w:before="0" w:after="60"/>
      </w:pPr>
    </w:p>
    <w:p>
      <w:pPr>
        <w:spacing w:before="80" w:after="100"/>
        <w:jc w:val="left"/>
      </w:pPr>
      <w:r>
        <w:rPr>
          <w:rFonts w:ascii="Arial" w:cs="Arial" w:eastAsia="Arial" w:hAnsi="Arial"/>
          <w:color w:val="2F2F2F"/>
          <w:sz w:val="22"/>
          <w:szCs w:val="22"/>
        </w:rPr>
        <w:t xml:space="preserve">The campaign controller — the single component responsible for deciding what to research next — operates as a sequential event-name popper. It tests three events alphabetically, proposes the same single template with no context conditioning, sets entry lags to zero (which causes silent evaluation failures), and ignores every output the memory system produces. The gap between what EDGE can search and what it actually searches defines the entire alpha discovery opportunity.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F3864" w:val="clear"/>
            <w:tcMar>
              <w:top w:type="dxa" w:w="0"/>
              <w:left w:type="dxa" w:w="0"/>
              <w:bottom w:type="dxa" w:w="0"/>
              <w:right w:type="dxa" w:w="0"/>
            </w:tcMar>
          </w:tcPr>
          <w:p>
            <w:pPr>
              <w:spacing w:before="0" w:after="0"/>
            </w:pPr>
          </w:p>
        </w:tc>
        <w:tc>
          <w:tcPr>
            <w:tcW w:type="dxa" w:w="9120"/>
            <w:tcBorders>
              <w:top w:val="none" w:color="FFFFFF" w:sz="0"/>
              <w:left w:val="single" w:color="1F3864" w:sz="12"/>
              <w:bottom w:val="none" w:color="FFFFFF" w:sz="0"/>
              <w:right w:val="none" w:color="FFFFFF" w:sz="0"/>
            </w:tcBorders>
            <w:shd w:fill="F5F5F5" w:val="clear"/>
            <w:tcMar>
              <w:top w:type="dxa" w:w="120"/>
              <w:left w:type="dxa" w:w="240"/>
              <w:bottom w:type="dxa" w:w="120"/>
              <w:right w:type="dxa" w:w="240"/>
            </w:tcMar>
          </w:tcPr>
          <w:p>
            <w:pPr>
              <w:spacing w:before="0" w:after="0"/>
            </w:pPr>
            <w:r>
              <w:rPr>
                <w:rFonts w:ascii="Arial" w:cs="Arial" w:eastAsia="Arial" w:hAnsi="Arial"/>
                <w:i/>
                <w:iCs/>
                <w:color w:val="2F2F2F"/>
                <w:sz w:val="22"/>
                <w:szCs w:val="22"/>
              </w:rPr>
              <w:t xml:space="preserve">The system was optimised for truth preservation — ensuring that research which ships is correct. It was not optimised for truth discovery — finding research worth shipping. This plan addresses the second problem without compromising the first.</w:t>
            </w:r>
          </w:p>
        </w:tc>
      </w:tr>
    </w:tbl>
    <w:p>
      <w:pPr>
        <w:spacing w:before="0" w:after="160"/>
      </w:pPr>
    </w:p>
    <w:p>
      <w:pPr>
        <w:spacing w:before="80" w:after="100"/>
        <w:jc w:val="left"/>
      </w:pPr>
      <w:r>
        <w:rPr>
          <w:rFonts w:ascii="Arial" w:cs="Arial" w:eastAsia="Arial" w:hAnsi="Arial"/>
          <w:color w:val="2F2F2F"/>
          <w:sz w:val="22"/>
          <w:szCs w:val="22"/>
        </w:rPr>
        <w:t xml:space="preserve">The end vision is a system that reasons about its own evidence, generates hypotheses from data structure rather than static specifications, searches across the full space of implemented trigger types and regime conditions, and connects confirmed alpha directly to sized, portfolio-aware deployment contracts. That system already exists component by component. The work is integration, not invention.</w:t>
      </w:r>
    </w:p>
    <w:p>
      <w:pPr>
        <w:spacing w:before="0" w:after="80"/>
      </w:pPr>
    </w:p>
    <w:p>
      <w:pPr>
        <w:pBdr>
          <w:bottom w:val="single" w:color="D9D9D9" w:sz="3" w:space="1"/>
        </w:pBdr>
        <w:spacing w:before="60" w:after="60"/>
      </w:pPr>
    </w:p>
    <w:p>
      <w:pPr>
        <w:spacing w:before="0" w:after="80"/>
      </w:pPr>
    </w:p>
    <w:p>
      <w:r>
        <w:br w:type="page"/>
      </w:r>
    </w:p>
    <w:p>
      <w:pPr>
        <w:pStyle w:val="Heading1"/>
        <w:pBdr>
          <w:bottom w:val="single" w:color="1F3864" w:sz="6" w:space="4"/>
        </w:pBdr>
        <w:spacing w:before="400" w:after="160"/>
      </w:pPr>
      <w:r>
        <w:rPr>
          <w:rFonts w:ascii="Arial" w:cs="Arial" w:eastAsia="Arial" w:hAnsi="Arial"/>
          <w:b/>
          <w:bCs/>
          <w:color w:val="1F3864"/>
          <w:sz w:val="36"/>
          <w:szCs w:val="36"/>
        </w:rPr>
        <w:t xml:space="preserve">Current State vs. End Vision</w:t>
      </w:r>
    </w:p>
    <w:p>
      <w:pPr>
        <w:spacing w:before="80" w:after="100"/>
        <w:jc w:val="left"/>
      </w:pPr>
      <w:r>
        <w:rPr>
          <w:rFonts w:ascii="Arial" w:cs="Arial" w:eastAsia="Arial" w:hAnsi="Arial"/>
          <w:color w:val="2F2F2F"/>
          <w:sz w:val="22"/>
          <w:szCs w:val="22"/>
        </w:rPr>
        <w:t xml:space="preserve">The table below maps each major system layer from its current operational state to its target state. The column headings are intentionally directional — they describe capability and behaviour, not implementation status.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Component</w:t>
            </w:r>
          </w:p>
        </w:tc>
        <w:tc>
          <w:tcPr>
            <w:tcW w:type="dxa" w:w="38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Current State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End Vision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Campaign Controller</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Sequential alphabetical event pop. Reads no memory. Proposes one template. Ignores all reflections, next-action queues, and belief state.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Adaptive four-step decision tree: repair → exploit → explore adjacent → frontier scan. Reads full memory on every proposal cycle.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Memory System</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Writes correct structured artefacts. Failure records carry no confidence score, no sample size, no cause classification. Blocks reruns by region-key hash match only.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Probabilistic blocking: failures weighted by confidence, cause class, and sample size. High-confidence market failures block; low-confidence mechanical failures route to repair.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Search Surface</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~320 hypotheses per run. EVENT triggers only. No context conditioning. entry_lags=[0] causing silent evaluation failures.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~750,000 addressable hypotheses. All six trigger types active. Context wildcards on primary regime dimensions. Quality-weighted frontier ordering.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Hypothesis Generation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Static enumeration from search_space.yaml and registry files. No data-driven input to what gets proposed.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MI scan generates feature predicate candidates from empirical feature distributions. Per-regime evaluator output feeds regime-specific follow-up proposals automatically.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Promotion Gate</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OOS pass defaults to True when no split counts present. Context complexity not penalised. Cluster deduplication not applied before FDR correction.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OOS not-evaluated is a distinct state, not a pass. Context complexity penalty applied in stability score. Cluster representatives-only enter BH adjustment.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Registry Consistency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family_registry.yaml and template_registry.yaml define allowed templates independently and have diverged silently. No validation enforced.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Single authoritative source. Consistency validated at plan-build time. CI-enforced test prevents future divergence.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Portfolio Integration</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AllocationSpec generated but sizing inputs not populated from promotion audit data. No awareness of live portfolio state at spec-generation time.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Expected return and adverse scenario populated from promotion metrics. Sizing conditioned on live portfolio state. Marginal contribution checked before promotion is written.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Synthetic Workflow</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Generator profiles treated as fixed truth. Used for detector validation only. No parameter sweeps or known-edge injection tests.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20"/>
                <w:szCs w:val="20"/>
              </w:rPr>
              <w:t xml:space="preserve">Parameter sweep extension maps edge operating envelopes. Known-edge injection validates full pipeline recovery end-to-end.</w:t>
            </w:r>
          </w:p>
        </w:tc>
      </w:tr>
    </w:tbl>
    <w:p>
      <w:pPr>
        <w:spacing w:before="0" w:after="160"/>
      </w:pPr>
    </w:p>
    <w:p>
      <w:pPr>
        <w:spacing w:before="80" w:after="100"/>
        <w:jc w:val="left"/>
      </w:pPr>
      <w:r>
        <w:rPr>
          <w:rFonts w:ascii="Arial" w:cs="Arial" w:eastAsia="Arial" w:hAnsi="Arial"/>
          <w:color w:val="2F2F2F"/>
          <w:sz w:val="22"/>
          <w:szCs w:val="22"/>
        </w:rPr>
        <w:t xml:space="preserve">The most important observation embedded in this table is that the gap between current state and end vision is not a gap in capability. Every cell in the right column is achievable using components that exist in the current codebase. The gap is in connection — the pieces do not communicate with each other, and the component that should orchestrate them does not read their outputs.</w:t>
      </w:r>
    </w:p>
    <w:p>
      <w:pPr>
        <w:spacing w:before="0" w:after="80"/>
      </w:pPr>
    </w:p>
    <w:p>
      <w:pPr>
        <w:pBdr>
          <w:bottom w:val="single" w:color="D9D9D9" w:sz="3" w:space="1"/>
        </w:pBdr>
        <w:spacing w:before="60" w:after="60"/>
      </w:pPr>
    </w:p>
    <w:p>
      <w:pPr>
        <w:spacing w:before="0" w:after="80"/>
      </w:pPr>
    </w:p>
    <w:p>
      <w:r>
        <w:br w:type="page"/>
      </w:r>
    </w:p>
    <w:p>
      <w:pPr>
        <w:pStyle w:val="Heading1"/>
        <w:pBdr>
          <w:bottom w:val="single" w:color="1F3864" w:sz="6" w:space="4"/>
        </w:pBdr>
        <w:spacing w:before="400" w:after="160"/>
      </w:pPr>
      <w:r>
        <w:rPr>
          <w:rFonts w:ascii="Arial" w:cs="Arial" w:eastAsia="Arial" w:hAnsi="Arial"/>
          <w:b/>
          <w:bCs/>
          <w:color w:val="1F3864"/>
          <w:sz w:val="36"/>
          <w:szCs w:val="36"/>
        </w:rPr>
        <w:t xml:space="preserve">The End State Architecture</w:t>
      </w:r>
    </w:p>
    <w:p>
      <w:pPr>
        <w:spacing w:before="80" w:after="100"/>
        <w:jc w:val="left"/>
      </w:pPr>
      <w:r>
        <w:rPr>
          <w:rFonts w:ascii="Arial" w:cs="Arial" w:eastAsia="Arial" w:hAnsi="Arial"/>
          <w:color w:val="2F2F2F"/>
          <w:sz w:val="22"/>
          <w:szCs w:val="22"/>
        </w:rPr>
        <w:t xml:space="preserve">The fully realised EDGE system operates as a closed research loop across five functional layers. Each layer has a defined input contract and a defined output contract. No layer needs to understand what is above or below it — only what it receives and what it produces.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spacing w:before="0" w:after="20"/>
              <w:jc w:val="center"/>
            </w:pPr>
            <w:r>
              <w:rPr>
                <w:rFonts w:ascii="Arial" w:cs="Arial" w:eastAsia="Arial" w:hAnsi="Arial"/>
                <w:b/>
                <w:bCs/>
                <w:caps/>
                <w:color w:val="FFFFFF"/>
                <w:sz w:val="19"/>
                <w:szCs w:val="19"/>
              </w:rPr>
              <w:t xml:space="preserve">LAYER 5 — LIVE EXECUTION &amp; PORTFOLIO</w:t>
            </w:r>
          </w:p>
          <w:p>
            <w:pPr>
              <w:spacing w:before="0" w:after="0"/>
              <w:jc w:val="center"/>
            </w:pPr>
            <w:r>
              <w:rPr>
                <w:rFonts w:ascii="Arial" w:cs="Arial" w:eastAsia="Arial" w:hAnsi="Arial"/>
                <w:color w:val="FFFFFF"/>
                <w:sz w:val="19"/>
                <w:szCs w:val="19"/>
              </w:rPr>
              <w:t xml:space="preserve">AllocationSpec  ·  Live Runner  ·  Kill Switch  ·  Drift Monitor  ·  Risk Budget</w:t>
            </w:r>
          </w:p>
        </w:tc>
      </w:tr>
      <w:tr>
        <w:tc>
          <w:tcPr>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0" w:after="20"/>
              <w:jc w:val="center"/>
            </w:pPr>
            <w:r>
              <w:rPr>
                <w:rFonts w:ascii="Arial" w:cs="Arial" w:eastAsia="Arial" w:hAnsi="Arial"/>
                <w:b/>
                <w:bCs/>
                <w:caps/>
                <w:color w:val="FFFFFF"/>
                <w:sz w:val="19"/>
                <w:szCs w:val="19"/>
              </w:rPr>
              <w:t xml:space="preserve">LAYER 4 — PROMOTION &amp; STRATEGY COMPILATION</w:t>
            </w:r>
          </w:p>
        </w:tc>
      </w:tr>
      <w:tr>
        <w:tc>
          <w:tcPr>
            <w:tcBorders>
              <w:top w:val="none" w:color="FFFFFF" w:sz="0"/>
              <w:left w:val="none" w:color="FFFFFF" w:sz="0"/>
              <w:bottom w:val="none" w:color="FFFFFF" w:sz="0"/>
              <w:right w:val="none" w:color="FFFFFF" w:sz="0"/>
            </w:tcBorders>
            <w:shd w:fill="3A6EA8" w:val="clear"/>
            <w:tcMar>
              <w:top w:type="dxa" w:w="80"/>
              <w:left w:type="dxa" w:w="200"/>
              <w:bottom w:type="dxa" w:w="80"/>
              <w:right w:type="dxa" w:w="200"/>
            </w:tcMar>
          </w:tcPr>
          <w:p>
            <w:pPr>
              <w:spacing w:before="0" w:after="0"/>
              <w:jc w:val="center"/>
            </w:pPr>
            <w:r>
              <w:rPr>
                <w:rFonts w:ascii="Arial" w:cs="Arial" w:eastAsia="Arial" w:hAnsi="Arial"/>
                <w:b w:val="false"/>
                <w:bCs w:val="false"/>
                <w:caps w:val="false"/>
                <w:color w:val="FFFFFF"/>
                <w:sz w:val="18"/>
                <w:szCs w:val="18"/>
              </w:rPr>
              <w:t xml:space="preserve">Strategy Blueprint  ·  Tiered Gate  ·  Cluster Deduplication  ·  Marginal Contribution Check</w:t>
            </w:r>
          </w:p>
        </w:tc>
      </w:tr>
      <w:tr>
        <w:tc>
          <w:tcPr>
            <w:tcBorders>
              <w:top w:val="none" w:color="FFFFFF" w:sz="0"/>
              <w:left w:val="none" w:color="FFFFFF" w:sz="0"/>
              <w:bottom w:val="none" w:color="FFFFFF" w:sz="0"/>
              <w:right w:val="none" w:color="FFFFFF" w:sz="0"/>
            </w:tcBorders>
            <w:shd w:fill="4472C4" w:val="clear"/>
            <w:tcMar>
              <w:top w:type="dxa" w:w="100"/>
              <w:left w:type="dxa" w:w="200"/>
              <w:bottom w:type="dxa" w:w="100"/>
              <w:right w:type="dxa" w:w="200"/>
            </w:tcMar>
          </w:tcPr>
          <w:p>
            <w:pPr>
              <w:spacing w:before="0" w:after="20"/>
              <w:jc w:val="center"/>
            </w:pPr>
            <w:r>
              <w:rPr>
                <w:rFonts w:ascii="Arial" w:cs="Arial" w:eastAsia="Arial" w:hAnsi="Arial"/>
                <w:b/>
                <w:bCs/>
                <w:caps/>
                <w:color w:val="FFFFFF"/>
                <w:sz w:val="19"/>
                <w:szCs w:val="19"/>
              </w:rPr>
              <w:t xml:space="preserve">LAYER 3 — HYPOTHESIS EVALUATION &amp; SCORING</w:t>
            </w:r>
          </w:p>
        </w:tc>
      </w:tr>
      <w:tr>
        <w:tc>
          <w:tcPr>
            <w:tcBorders>
              <w:top w:val="none" w:color="FFFFFF" w:sz="0"/>
              <w:left w:val="none" w:color="FFFFFF" w:sz="0"/>
              <w:bottom w:val="none" w:color="FFFFFF" w:sz="0"/>
              <w:right w:val="none" w:color="FFFFFF" w:sz="0"/>
            </w:tcBorders>
            <w:shd w:fill="5A82C4" w:val="clear"/>
            <w:tcMar>
              <w:top w:type="dxa" w:w="80"/>
              <w:left w:type="dxa" w:w="200"/>
              <w:bottom w:type="dxa" w:w="80"/>
              <w:right w:type="dxa" w:w="200"/>
            </w:tcMar>
          </w:tcPr>
          <w:p>
            <w:pPr>
              <w:spacing w:before="0" w:after="0"/>
              <w:jc w:val="center"/>
            </w:pPr>
            <w:r>
              <w:rPr>
                <w:rFonts w:ascii="Arial" w:cs="Arial" w:eastAsia="Arial" w:hAnsi="Arial"/>
                <w:b w:val="false"/>
                <w:bCs w:val="false"/>
                <w:caps w:val="false"/>
                <w:color w:val="FFFFFF"/>
                <w:sz w:val="18"/>
                <w:szCs w:val="18"/>
              </w:rPr>
              <w:t xml:space="preserve">6 Trigger Types  ·  Per-Regime Evaluation  ·  Stress Tests  ·  Robustness Score  ·  Placebo Suite  ·  FDR Correction</w:t>
            </w:r>
          </w:p>
        </w:tc>
      </w:tr>
      <w:tr>
        <w:tc>
          <w:tcPr>
            <w:tcBorders>
              <w:top w:val="none" w:color="FFFFFF" w:sz="0"/>
              <w:left w:val="none" w:color="FFFFFF" w:sz="0"/>
              <w:bottom w:val="none" w:color="FFFFFF" w:sz="0"/>
              <w:right w:val="none" w:color="FFFFFF" w:sz="0"/>
            </w:tcBorders>
            <w:shd w:fill="44546A" w:val="clear"/>
            <w:tcMar>
              <w:top w:type="dxa" w:w="100"/>
              <w:left w:type="dxa" w:w="200"/>
              <w:bottom w:type="dxa" w:w="100"/>
              <w:right w:type="dxa" w:w="200"/>
            </w:tcMar>
          </w:tcPr>
          <w:p>
            <w:pPr>
              <w:spacing w:before="0" w:after="20"/>
              <w:jc w:val="center"/>
            </w:pPr>
            <w:r>
              <w:rPr>
                <w:rFonts w:ascii="Arial" w:cs="Arial" w:eastAsia="Arial" w:hAnsi="Arial"/>
                <w:b/>
                <w:bCs/>
                <w:caps/>
                <w:color w:val="FFFFFF"/>
                <w:sz w:val="19"/>
                <w:szCs w:val="19"/>
              </w:rPr>
              <w:t xml:space="preserve">LAYER 2 — DISCOVERY ENGINE &amp; MEMORY</w:t>
            </w:r>
          </w:p>
        </w:tc>
      </w:tr>
      <w:tr>
        <w:tc>
          <w:tcPr>
            <w:tcBorders>
              <w:top w:val="none" w:color="FFFFFF" w:sz="0"/>
              <w:left w:val="none" w:color="FFFFFF" w:sz="0"/>
              <w:bottom w:val="none" w:color="FFFFFF" w:sz="0"/>
              <w:right w:val="none" w:color="FFFFFF" w:sz="0"/>
            </w:tcBorders>
            <w:shd w:fill="5A6A7A" w:val="clear"/>
            <w:tcMar>
              <w:top w:type="dxa" w:w="80"/>
              <w:left w:type="dxa" w:w="200"/>
              <w:bottom w:type="dxa" w:w="80"/>
              <w:right w:type="dxa" w:w="200"/>
            </w:tcMar>
          </w:tcPr>
          <w:p>
            <w:pPr>
              <w:spacing w:before="0" w:after="0"/>
              <w:jc w:val="center"/>
            </w:pPr>
            <w:r>
              <w:rPr>
                <w:rFonts w:ascii="Arial" w:cs="Arial" w:eastAsia="Arial" w:hAnsi="Arial"/>
                <w:b w:val="false"/>
                <w:bCs w:val="false"/>
                <w:caps w:val="false"/>
                <w:color w:val="FFFFFF"/>
                <w:sz w:val="18"/>
                <w:szCs w:val="18"/>
              </w:rPr>
              <w:t xml:space="preserve">MI Scan  ·  Hypothesis Generator  ·  Campaign Controller  ·  Memory Store  ·  Reflection System  ·  Belief State</w:t>
            </w:r>
          </w:p>
        </w:tc>
      </w:tr>
      <w:tr>
        <w:tc>
          <w:tcPr>
            <w:tcBorders>
              <w:top w:val="none" w:color="FFFFFF" w:sz="0"/>
              <w:left w:val="none" w:color="FFFFFF" w:sz="0"/>
              <w:bottom w:val="none" w:color="FFFFFF" w:sz="0"/>
              <w:right w:val="none" w:color="FFFFFF" w:sz="0"/>
            </w:tcBorders>
            <w:shd w:fill="5D4037" w:val="clear"/>
            <w:tcMar>
              <w:top w:type="dxa" w:w="100"/>
              <w:left w:type="dxa" w:w="200"/>
              <w:bottom w:type="dxa" w:w="100"/>
              <w:right w:type="dxa" w:w="200"/>
            </w:tcMar>
          </w:tcPr>
          <w:p>
            <w:pPr>
              <w:spacing w:before="0" w:after="20"/>
              <w:jc w:val="center"/>
            </w:pPr>
            <w:r>
              <w:rPr>
                <w:rFonts w:ascii="Arial" w:cs="Arial" w:eastAsia="Arial" w:hAnsi="Arial"/>
                <w:b/>
                <w:bCs/>
                <w:caps/>
                <w:color w:val="FFFFFF"/>
                <w:sz w:val="19"/>
                <w:szCs w:val="19"/>
              </w:rPr>
              <w:t xml:space="preserve">LAYER 1 — DATA &amp; FEATURE FOUNDATION</w:t>
            </w:r>
          </w:p>
        </w:tc>
      </w:tr>
      <w:tr>
        <w:tc>
          <w:tcPr>
            <w:tcBorders>
              <w:top w:val="none" w:color="FFFFFF" w:sz="0"/>
              <w:left w:val="none" w:color="FFFFFF" w:sz="0"/>
              <w:bottom w:val="none" w:color="FFFFFF" w:sz="0"/>
              <w:right w:val="none" w:color="FFFFFF" w:sz="0"/>
            </w:tcBorders>
            <w:shd w:fill="6D5047" w:val="clear"/>
            <w:tcMar>
              <w:top w:type="dxa" w:w="80"/>
              <w:left w:type="dxa" w:w="200"/>
              <w:bottom w:type="dxa" w:w="80"/>
              <w:right w:type="dxa" w:w="200"/>
            </w:tcMar>
          </w:tcPr>
          <w:p>
            <w:pPr>
              <w:spacing w:before="0" w:after="0"/>
              <w:jc w:val="center"/>
            </w:pPr>
            <w:r>
              <w:rPr>
                <w:rFonts w:ascii="Arial" w:cs="Arial" w:eastAsia="Arial" w:hAnsi="Arial"/>
                <w:b w:val="false"/>
                <w:bCs w:val="false"/>
                <w:caps w:val="false"/>
                <w:color w:val="FFFFFF"/>
                <w:sz w:val="18"/>
                <w:szCs w:val="18"/>
              </w:rPr>
              <w:t xml:space="preserve">Cleaned Bars  ·  Feature Pipeline  ·  Event Detection  ·  Market State  ·  Synthetic Generator</w:t>
            </w:r>
          </w:p>
        </w:tc>
      </w:tr>
    </w:tbl>
    <w:p>
      <w:pPr>
        <w:spacing w:before="40" w:after="120"/>
        <w:jc w:val="center"/>
      </w:pPr>
      <w:r>
        <w:rPr>
          <w:rFonts w:ascii="Arial" w:cs="Arial" w:eastAsia="Arial" w:hAnsi="Arial"/>
          <w:i/>
          <w:iCs/>
          <w:color w:val="595959"/>
          <w:sz w:val="18"/>
          <w:szCs w:val="18"/>
        </w:rPr>
        <w:t xml:space="preserve">The five-layer architecture of the end-state EDGE system. Each layer consumes the layer below it; the campaign controller in Layer 2 drives the full loop by acting on outputs from Layers 3–4.</w:t>
      </w:r>
    </w:p>
    <w:p>
      <w:pPr>
        <w:spacing w:before="0" w:after="160"/>
      </w:pPr>
    </w:p>
    <w:p>
      <w:pPr>
        <w:pStyle w:val="Heading2"/>
        <w:spacing w:before="280" w:after="120"/>
      </w:pPr>
      <w:r>
        <w:rPr>
          <w:rFonts w:ascii="Arial" w:cs="Arial" w:eastAsia="Arial" w:hAnsi="Arial"/>
          <w:b/>
          <w:bCs/>
          <w:color w:val="2E75B6"/>
          <w:sz w:val="28"/>
          <w:szCs w:val="28"/>
        </w:rPr>
        <w:t xml:space="preserve">Layer 1 — Data and Feature Foundation</w:t>
      </w:r>
    </w:p>
    <w:p>
      <w:pPr>
        <w:spacing w:before="80" w:after="100"/>
        <w:jc w:val="left"/>
      </w:pPr>
      <w:r>
        <w:rPr>
          <w:rFonts w:ascii="Arial" w:cs="Arial" w:eastAsia="Arial" w:hAnsi="Arial"/>
          <w:color w:val="2F2F2F"/>
          <w:sz w:val="22"/>
          <w:szCs w:val="22"/>
        </w:rPr>
        <w:t xml:space="preserve">The feature foundation is the most complete layer in the current system. Cleaned bars, the feature pipeline, event detection, market-state derivation, and the synthetic generator all function correctly. The end state adds two components to this layer: the mutual information scan and the regime segmentation output.</w:t>
      </w:r>
    </w:p>
    <w:p>
      <w:pPr>
        <w:spacing w:before="0" w:after="60"/>
      </w:pPr>
    </w:p>
    <w:p>
      <w:pPr>
        <w:spacing w:before="80" w:after="100"/>
        <w:jc w:val="left"/>
      </w:pPr>
      <w:r>
        <w:rPr>
          <w:rFonts w:ascii="Arial" w:cs="Arial" w:eastAsia="Arial" w:hAnsi="Arial"/>
          <w:color w:val="2F2F2F"/>
          <w:sz w:val="22"/>
          <w:szCs w:val="22"/>
        </w:rPr>
        <w:t xml:space="preserve">The MI scan runs once per program after the feature pipeline completes and before hypothesis generation begins. It computes pairwise conditional mutual information between all 35 feature columns in spec/ontology/features/ and forward returns at candidate horizons, stratified by available regime labels. Its output — a ranked feature-horizon-MI table and a set of threshold-derived feature predicate candidates — becomes the data-driven input to the hypothesis generator that static specifications cannot provide.</w:t>
      </w:r>
    </w:p>
    <w:p>
      <w:pPr>
        <w:spacing w:before="0" w:after="60"/>
      </w:pPr>
    </w:p>
    <w:p>
      <w:pPr>
        <w:spacing w:before="80" w:after="100"/>
        <w:jc w:val="left"/>
      </w:pPr>
      <w:r>
        <w:rPr>
          <w:rFonts w:ascii="Arial" w:cs="Arial" w:eastAsia="Arial" w:hAnsi="Arial"/>
          <w:color w:val="2F2F2F"/>
          <w:sz w:val="22"/>
          <w:szCs w:val="22"/>
        </w:rPr>
        <w:t xml:space="preserve">The regime segmentation output is a lightweight addition to the market-state pipeline: a (timestamp, regime_id, regime_confidence) series derived from change-point detection over realised volatility, spread, and open interest. This output makes regime boundaries explicit and confident enough for the campaign controller to use when constructing context-conditioned proposals, rather than relying on the coarser ms_vol_state labels that the current context system provides.</w:t>
      </w:r>
    </w:p>
    <w:p>
      <w:pPr>
        <w:spacing w:before="0" w:after="120"/>
      </w:pPr>
    </w:p>
    <w:p>
      <w:pPr>
        <w:pStyle w:val="Heading2"/>
        <w:spacing w:before="280" w:after="120"/>
      </w:pPr>
      <w:r>
        <w:rPr>
          <w:rFonts w:ascii="Arial" w:cs="Arial" w:eastAsia="Arial" w:hAnsi="Arial"/>
          <w:b/>
          <w:bCs/>
          <w:color w:val="2E75B6"/>
          <w:sz w:val="28"/>
          <w:szCs w:val="28"/>
        </w:rPr>
        <w:t xml:space="preserve">Layer 2 — Discovery Engine and Memory</w:t>
      </w:r>
    </w:p>
    <w:p>
      <w:pPr>
        <w:spacing w:before="80" w:after="100"/>
        <w:jc w:val="left"/>
      </w:pPr>
      <w:r>
        <w:rPr>
          <w:rFonts w:ascii="Arial" w:cs="Arial" w:eastAsia="Arial" w:hAnsi="Arial"/>
          <w:color w:val="2F2F2F"/>
          <w:sz w:val="22"/>
          <w:szCs w:val="22"/>
        </w:rPr>
        <w:t xml:space="preserve">This is the layer with the largest gap between current state and end vision, and the highest leverage for improvement. In the end state, the campaign controller operates as a genuine research agent: it reads its own evidence, reasons about what to do next, and proposes experiments that build on prior results rather than running independently.</w:t>
      </w:r>
    </w:p>
    <w:p>
      <w:pPr>
        <w:spacing w:before="0" w:after="60"/>
      </w:pPr>
    </w:p>
    <w:p>
      <w:pPr>
        <w:spacing w:before="80" w:after="100"/>
        <w:jc w:val="left"/>
      </w:pPr>
      <w:r>
        <w:rPr>
          <w:rFonts w:ascii="Arial" w:cs="Arial" w:eastAsia="Arial" w:hAnsi="Arial"/>
          <w:color w:val="2F2F2F"/>
          <w:sz w:val="22"/>
          <w:szCs w:val="22"/>
        </w:rPr>
        <w:t xml:space="preserve">The intelligence loop is the core mechanism. After every run, the update_campaign_memory pipeline writes a structured reflection containing a mechanical outcome classification, a statistical outcome classification, a recommended next action, a recommended next experiment specification, and a confidence score for the run's conclusions. The belief_state.json file is updated with the latest promising regions, avoid list, open repairs, and current focus. The next_actions.json file receives entries in four queues: repair, exploit, explore_adjacent, and hold.</w:t>
      </w:r>
    </w:p>
    <w:p>
      <w:pPr>
        <w:spacing w:before="0" w:after="60"/>
      </w:pPr>
    </w:p>
    <w:p>
      <w:pPr>
        <w:spacing w:before="80" w:after="100"/>
        <w:jc w:val="left"/>
      </w:pPr>
      <w:r>
        <w:rPr>
          <w:rFonts w:ascii="Arial" w:cs="Arial" w:eastAsia="Arial" w:hAnsi="Arial"/>
          <w:color w:val="2F2F2F"/>
          <w:sz w:val="22"/>
          <w:szCs w:val="22"/>
        </w:rPr>
        <w:t xml:space="preserve">In the end state, the campaign controller reads these outputs as its first action on every proposal cycle. A pending repair takes absolute priority — proposing new experiments over a broken pipeline wastes compute and generates misleading artefacts. An exploit signal from a prior run's reflection generates a confirmatory proposal on the exact region that showed promise, with a broader date scope and promotion enabled. An explore_adjacent entry generates a proposal that varies one dimension of a near-miss region. Only after these queues are exhausted does the controller advance the untested event frontier, and it does so using quality-weighted ordering derived from the IG annotations already present in search_space.yaml.</w:t>
      </w:r>
    </w:p>
    <w:p>
      <w:pPr>
        <w:spacing w:before="0" w:after="60"/>
      </w:pPr>
    </w:p>
    <w:p>
      <w:pPr>
        <w:spacing w:before="80" w:after="100"/>
        <w:jc w:val="left"/>
      </w:pPr>
      <w:r>
        <w:rPr>
          <w:rFonts w:ascii="Arial" w:cs="Arial" w:eastAsia="Arial" w:hAnsi="Arial"/>
          <w:color w:val="2F2F2F"/>
          <w:sz w:val="22"/>
          <w:szCs w:val="22"/>
        </w:rPr>
        <w:t xml:space="preserve">The memory system in the end state is probabilistic rather than binary. Every failure record carries a confidence score, a cause classification (mechanical, insufficient_sample, cost, market, or overfitting), and the sample size at the time of failure. The avoidance logic conditions on all three fields: a high-confidence market failure with 300 events closes the region; a low-confidence mechanical failure with 15 events routes to repair and retry.</w:t>
      </w:r>
    </w:p>
    <w:p>
      <w:pPr>
        <w:spacing w:before="0" w:after="120"/>
      </w:pPr>
    </w:p>
    <w:p>
      <w:pPr>
        <w:pStyle w:val="Heading2"/>
        <w:spacing w:before="280" w:after="120"/>
      </w:pPr>
      <w:r>
        <w:rPr>
          <w:rFonts w:ascii="Arial" w:cs="Arial" w:eastAsia="Arial" w:hAnsi="Arial"/>
          <w:b/>
          <w:bCs/>
          <w:color w:val="2E75B6"/>
          <w:sz w:val="28"/>
          <w:szCs w:val="28"/>
        </w:rPr>
        <w:t xml:space="preserve">Layer 3 — Hypothesis Evaluation and Scoring</w:t>
      </w:r>
    </w:p>
    <w:p>
      <w:pPr>
        <w:spacing w:before="80" w:after="100"/>
        <w:jc w:val="left"/>
      </w:pPr>
      <w:r>
        <w:rPr>
          <w:rFonts w:ascii="Arial" w:cs="Arial" w:eastAsia="Arial" w:hAnsi="Arial"/>
          <w:color w:val="2F2F2F"/>
          <w:sz w:val="22"/>
          <w:szCs w:val="22"/>
        </w:rPr>
        <w:t xml:space="preserve">The evaluation layer is already the most sophisticated in the system. The evaluator performs per-regime breakdowns, stress scenario testing via predefined market conditions, kill-switch detection, robustness scoring, placebo testing (shift, random entry, direction reversal), deflated Sharpe correction, and multiplicity adjustment via Benjamini-Hochberg. The end state adds two targeted improvements.</w:t>
      </w:r>
    </w:p>
    <w:p>
      <w:pPr>
        <w:spacing w:before="0" w:after="60"/>
      </w:pPr>
    </w:p>
    <w:p>
      <w:pPr>
        <w:spacing w:before="80" w:after="100"/>
        <w:jc w:val="left"/>
      </w:pPr>
      <w:r>
        <w:rPr>
          <w:rFonts w:ascii="Arial" w:cs="Arial" w:eastAsia="Arial" w:hAnsi="Arial"/>
          <w:color w:val="2F2F2F"/>
          <w:sz w:val="22"/>
          <w:szCs w:val="22"/>
        </w:rPr>
        <w:t xml:space="preserve">The first is surfacing per-regime output as a discovery signal rather than collapsing it into a scalar robustness score. The per-regime DataFrame produced by evaluate_by_regime() already contains exactly the information needed to identify regime-specific alpha — hypotheses where overall performance is weak but within-regime performance is strong. Writing this to a dedicated artefact and having the campaign controller read it closes a feedback loop that currently discards some of the system's most valuable output.</w:t>
      </w:r>
    </w:p>
    <w:p>
      <w:pPr>
        <w:spacing w:before="0" w:after="60"/>
      </w:pPr>
    </w:p>
    <w:p>
      <w:pPr>
        <w:spacing w:before="80" w:after="100"/>
        <w:jc w:val="left"/>
      </w:pPr>
      <w:r>
        <w:rPr>
          <w:rFonts w:ascii="Arial" w:cs="Arial" w:eastAsia="Arial" w:hAnsi="Arial"/>
          <w:color w:val="2F2F2F"/>
          <w:sz w:val="22"/>
          <w:szCs w:val="22"/>
        </w:rPr>
        <w:t xml:space="preserve">The second is connecting alpha_clustering.py — a complete DBSCAN-based PnL correlation clustering implementation — to the evaluation pipeline. Near-duplicate hypotheses within a single run inflate the FDR correction family without contributing independent evidence. Running cluster deduplication before the BH adjustment step improves statistical power for the hypotheses that are genuinely distinct. This is especially important for context-wildcard proposals that will generate correlated vol_HIGH and vol_LOW variants of the same event.</w:t>
      </w:r>
    </w:p>
    <w:p>
      <w:pPr>
        <w:spacing w:before="0" w:after="120"/>
      </w:pPr>
    </w:p>
    <w:p>
      <w:pPr>
        <w:pStyle w:val="Heading2"/>
        <w:spacing w:before="280" w:after="120"/>
      </w:pPr>
      <w:r>
        <w:rPr>
          <w:rFonts w:ascii="Arial" w:cs="Arial" w:eastAsia="Arial" w:hAnsi="Arial"/>
          <w:b/>
          <w:bCs/>
          <w:color w:val="2E75B6"/>
          <w:sz w:val="28"/>
          <w:szCs w:val="28"/>
        </w:rPr>
        <w:t xml:space="preserve">Layer 4 — Promotion and Strategy Compilation</w:t>
      </w:r>
    </w:p>
    <w:p>
      <w:pPr>
        <w:spacing w:before="80" w:after="100"/>
        <w:jc w:val="left"/>
      </w:pPr>
      <w:r>
        <w:rPr>
          <w:rFonts w:ascii="Arial" w:cs="Arial" w:eastAsia="Arial" w:hAnsi="Arial"/>
          <w:color w:val="2F2F2F"/>
          <w:sz w:val="22"/>
          <w:szCs w:val="22"/>
        </w:rPr>
        <w:t xml:space="preserve">The promotion layer applies the most rigorous statistical gating in the system. In the end state, three targeted fixes close specific gaps identified in the current implementation. The OOS sample pass asymmetry — where candidates without split counts receive a passing OOS mark — is replaced with an explicit not-evaluated state that blocks deploy-mode promotion. A context complexity penalty is applied in the stability score, penalising hypotheses that only pass under high-dimensional context conjunctions. And the cluster deduplication from Layer 3 propagates forward so that the promotion-facing candidate set contains only cluster representatives, preventing redundant alpha from consuming capital allocation budget.</w:t>
      </w:r>
    </w:p>
    <w:p>
      <w:pPr>
        <w:spacing w:before="0" w:after="60"/>
      </w:pPr>
    </w:p>
    <w:p>
      <w:pPr>
        <w:spacing w:before="80" w:after="100"/>
        <w:jc w:val="left"/>
      </w:pPr>
      <w:r>
        <w:rPr>
          <w:rFonts w:ascii="Arial" w:cs="Arial" w:eastAsia="Arial" w:hAnsi="Arial"/>
          <w:color w:val="2F2F2F"/>
          <w:sz w:val="22"/>
          <w:szCs w:val="22"/>
        </w:rPr>
        <w:t xml:space="preserve">Strategy compilation in the end state populates AllocationSpec sizing inputs from promotion audit data — mean return and stressed expectancy — rather than requiring manual parameterisation. The marginal contribution check before writing a new promotion queries the existing promoted set for correlation, allowing the allocation spec generator to appropriately reduce position sizing for alpha that is substantially explained by existing strategies.</w:t>
      </w:r>
    </w:p>
    <w:p>
      <w:pPr>
        <w:spacing w:before="0" w:after="120"/>
      </w:pPr>
    </w:p>
    <w:p>
      <w:pPr>
        <w:pStyle w:val="Heading2"/>
        <w:spacing w:before="280" w:after="120"/>
      </w:pPr>
      <w:r>
        <w:rPr>
          <w:rFonts w:ascii="Arial" w:cs="Arial" w:eastAsia="Arial" w:hAnsi="Arial"/>
          <w:b/>
          <w:bCs/>
          <w:color w:val="2E75B6"/>
          <w:sz w:val="28"/>
          <w:szCs w:val="28"/>
        </w:rPr>
        <w:t xml:space="preserve">Layer 5 — Live Execution and Portfolio</w:t>
      </w:r>
    </w:p>
    <w:p>
      <w:pPr>
        <w:spacing w:before="80" w:after="100"/>
        <w:jc w:val="left"/>
      </w:pPr>
      <w:r>
        <w:rPr>
          <w:rFonts w:ascii="Arial" w:cs="Arial" w:eastAsia="Arial" w:hAnsi="Arial"/>
          <w:color w:val="2F2F2F"/>
          <w:sz w:val="22"/>
          <w:szCs w:val="22"/>
        </w:rPr>
        <w:t xml:space="preserve">The live execution layer is architecturally sound. The end state change is connecting it to the research pipeline via a portfolio state file that the live runner maintains and the allocation spec generator reads. This bidirectional connection means that sizing recommendations are made with awareness of what is already deployed — gross exposure, bucket exposures, realised volatility — rather than treating each new promotion as if the portfolio were empty.</w:t>
      </w:r>
    </w:p>
    <w:p>
      <w:pPr>
        <w:spacing w:before="0" w:after="80"/>
      </w:pPr>
    </w:p>
    <w:p>
      <w:pPr>
        <w:pBdr>
          <w:bottom w:val="single" w:color="D9D9D9" w:sz="3" w:space="1"/>
        </w:pBdr>
        <w:spacing w:before="60" w:after="60"/>
      </w:pPr>
    </w:p>
    <w:p>
      <w:pPr>
        <w:spacing w:before="0" w:after="80"/>
      </w:pPr>
    </w:p>
    <w:p>
      <w:r>
        <w:br w:type="page"/>
      </w:r>
    </w:p>
    <w:p>
      <w:pPr>
        <w:pStyle w:val="Heading1"/>
        <w:pBdr>
          <w:bottom w:val="single" w:color="1F3864" w:sz="6" w:space="4"/>
        </w:pBdr>
        <w:spacing w:before="400" w:after="160"/>
      </w:pPr>
      <w:r>
        <w:rPr>
          <w:rFonts w:ascii="Arial" w:cs="Arial" w:eastAsia="Arial" w:hAnsi="Arial"/>
          <w:b/>
          <w:bCs/>
          <w:color w:val="1F3864"/>
          <w:sz w:val="36"/>
          <w:szCs w:val="36"/>
        </w:rPr>
        <w:t xml:space="preserve">The Full Search Surface</w:t>
      </w:r>
    </w:p>
    <w:p>
      <w:pPr>
        <w:spacing w:before="80" w:after="100"/>
        <w:jc w:val="left"/>
      </w:pPr>
      <w:r>
        <w:rPr>
          <w:rFonts w:ascii="Arial" w:cs="Arial" w:eastAsia="Arial" w:hAnsi="Arial"/>
          <w:color w:val="2F2F2F"/>
          <w:sz w:val="22"/>
          <w:szCs w:val="22"/>
        </w:rPr>
        <w:t xml:space="preserve">The most concrete way to understand the end vision is to quantify the gap between what EDGE currently searches and what it is capable of searching. The current campaign controller stub produces approximately 320 hypotheses per run across EVENT triggers only, with no context conditioning and invalid entry lags. The full addressable search surface — using all implemented trigger types, context wildcards across the three primary regime families, the full template set, and correct parameter grids — is approximately 750,000 hypotheses.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Trigger Type</w:t>
            </w:r>
          </w:p>
        </w:tc>
        <w:tc>
          <w:tcPr>
            <w:tcW w:type="dxa" w:w="1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Current</w:t>
            </w:r>
          </w:p>
        </w:tc>
        <w:tc>
          <w:tcPr>
            <w:tcW w:type="dxa" w:w="1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End State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Alpha Character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EVENT (40 events)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005500"/>
                <w:sz w:val="19"/>
                <w:szCs w:val="19"/>
              </w:rPr>
              <w:t xml:space="preserve">Active — alphabetical, no context</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Active — quality-weighted, context-conditioned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Discrete market shocks and signal extremes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STATE (20+ states)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C00000"/>
                <w:sz w:val="19"/>
                <w:szCs w:val="19"/>
              </w:rPr>
              <w:t xml:space="preserve">Not proposed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Active — after event scan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Carry, persistence, regime-conditional mean reversion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TRANSITION (12 transitions)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C00000"/>
                <w:sz w:val="19"/>
                <w:szCs w:val="19"/>
              </w:rPr>
              <w:t xml:space="preserve">Not proposed</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Active — after state scan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Regime change plays; highest dislocation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FEATURE_PREDICATE (8+ predicates)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C00000"/>
                <w:sz w:val="19"/>
                <w:szCs w:val="19"/>
              </w:rPr>
              <w:t xml:space="preserve">Not proposed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Active — static + MI-generated candidates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Raw feature extremes not covered by event detectors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SEQUENCE (event pairs)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C00000"/>
                <w:sz w:val="19"/>
                <w:szCs w:val="19"/>
              </w:rPr>
              <w:t xml:space="preserve">Not proposed</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Active — seeded from weak-signal event pairs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Temporal co-occurrence alpha; neither event alone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INTERACTION (motifs)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C00000"/>
                <w:sz w:val="19"/>
                <w:szCs w:val="19"/>
              </w:rPr>
              <w:t xml:space="preserve">Not proposed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Active — from domain registry motifs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Cross-dimensional simultaneous signal combinations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Context conditioning</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005500"/>
                <w:sz w:val="19"/>
                <w:szCs w:val="19"/>
              </w:rPr>
              <w:t xml:space="preserve">None — all unconditional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vol × trend × liquidity wildcards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pPr>
            <w:r>
              <w:rPr>
                <w:rFonts w:ascii="Arial" w:cs="Arial" w:eastAsia="Arial" w:hAnsi="Arial"/>
                <w:color w:val="2F2F2F"/>
                <w:sz w:val="19"/>
                <w:szCs w:val="19"/>
              </w:rPr>
              <w:t xml:space="preserve">Regime-specific edges invisible without conditioning</w:t>
            </w:r>
          </w:p>
        </w:tc>
      </w:tr>
    </w:tbl>
    <w:p>
      <w:pPr>
        <w:spacing w:before="40" w:after="120"/>
        <w:jc w:val="center"/>
      </w:pPr>
      <w:r>
        <w:rPr>
          <w:rFonts w:ascii="Arial" w:cs="Arial" w:eastAsia="Arial" w:hAnsi="Arial"/>
          <w:i/>
          <w:iCs/>
          <w:color w:val="595959"/>
          <w:sz w:val="18"/>
          <w:szCs w:val="18"/>
        </w:rPr>
        <w:t xml:space="preserve">Trigger type coverage — current state versus end-state activation. Red denotes trigger types that exist in the codebase but are never proposed.</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pPr>
              <w:spacing w:before="0" w:after="0"/>
            </w:pPr>
          </w:p>
        </w:tc>
        <w:tc>
          <w:tcPr>
            <w:tcW w:type="dxa" w:w="9120"/>
            <w:tcBorders>
              <w:top w:val="none" w:color="FFFFFF" w:sz="0"/>
              <w:left w:val="single" w:color="C00000" w:sz="12"/>
              <w:bottom w:val="none" w:color="FFFFFF" w:sz="0"/>
              <w:right w:val="none" w:color="FFFFFF" w:sz="0"/>
            </w:tcBorders>
            <w:shd w:fill="F5F5F5" w:val="clear"/>
            <w:tcMar>
              <w:top w:type="dxa" w:w="120"/>
              <w:left w:type="dxa" w:w="240"/>
              <w:bottom w:type="dxa" w:w="120"/>
              <w:right w:type="dxa" w:w="240"/>
            </w:tcMar>
          </w:tcPr>
          <w:p>
            <w:pPr>
              <w:spacing w:before="0" w:after="0"/>
            </w:pPr>
            <w:r>
              <w:rPr>
                <w:rFonts w:ascii="Arial" w:cs="Arial" w:eastAsia="Arial" w:hAnsi="Arial"/>
                <w:i/>
                <w:iCs/>
                <w:color w:val="2F2F2F"/>
                <w:sz w:val="22"/>
                <w:szCs w:val="22"/>
              </w:rPr>
              <w:t xml:space="preserve">The search space accessible today is approximately 0.04% of the space the system is built to search. The remaining 99.96% is not missing infrastructure — it is missing orchestration.</w:t>
            </w:r>
          </w:p>
        </w:tc>
      </w:tr>
    </w:tbl>
    <w:p>
      <w:pPr>
        <w:spacing w:before="0" w:after="80"/>
      </w:pPr>
    </w:p>
    <w:p>
      <w:pPr>
        <w:pBdr>
          <w:bottom w:val="single" w:color="D9D9D9" w:sz="3" w:space="1"/>
        </w:pBdr>
        <w:spacing w:before="60" w:after="60"/>
      </w:pPr>
    </w:p>
    <w:p>
      <w:pPr>
        <w:spacing w:before="0" w:after="80"/>
      </w:pPr>
    </w:p>
    <w:p>
      <w:r>
        <w:br w:type="page"/>
      </w:r>
    </w:p>
    <w:p>
      <w:pPr>
        <w:pStyle w:val="Heading1"/>
        <w:pBdr>
          <w:bottom w:val="single" w:color="1F3864" w:sz="6" w:space="4"/>
        </w:pBdr>
        <w:spacing w:before="400" w:after="160"/>
      </w:pPr>
      <w:r>
        <w:rPr>
          <w:rFonts w:ascii="Arial" w:cs="Arial" w:eastAsia="Arial" w:hAnsi="Arial"/>
          <w:b/>
          <w:bCs/>
          <w:color w:val="1F3864"/>
          <w:sz w:val="36"/>
          <w:szCs w:val="36"/>
        </w:rPr>
        <w:t xml:space="preserve">Phased Implementation Plan</w:t>
      </w:r>
    </w:p>
    <w:p>
      <w:pPr>
        <w:spacing w:before="80" w:after="100"/>
        <w:jc w:val="left"/>
      </w:pPr>
      <w:r>
        <w:rPr>
          <w:rFonts w:ascii="Arial" w:cs="Arial" w:eastAsia="Arial" w:hAnsi="Arial"/>
          <w:color w:val="2F2F2F"/>
          <w:sz w:val="22"/>
          <w:szCs w:val="22"/>
        </w:rPr>
        <w:t xml:space="preserve">The seventeen improvements that constitute the full vision are organised into four phases. The ordering principle is: correctness before capability, and feedback loops before surface expansion. A bug running at higher volume over a broader search surface is more damaging than the same bug contained to a narrow one. A campaign controller that does not read its own evidence will waste an expanded search surface as efficiently as it wastes the current narrow one.</w:t>
      </w:r>
    </w:p>
    <w:p>
      <w:pPr>
        <w:spacing w:before="0" w:after="80"/>
      </w:pPr>
    </w:p>
    <w:p>
      <w:pPr>
        <w:pBdr>
          <w:bottom w:val="single" w:color="D9D9D9" w:sz="3" w:space="1"/>
        </w:pBdr>
        <w:spacing w:before="60" w:after="6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0000" w:val="clear"/>
            <w:tcMar>
              <w:top w:type="dxa" w:w="200"/>
              <w:left w:type="dxa" w:w="280"/>
              <w:bottom w:type="dxa" w:w="200"/>
              <w:right w:type="dxa" w:w="280"/>
            </w:tcMar>
          </w:tcPr>
          <w:p>
            <w:pPr>
              <w:spacing w:before="0" w:after="40"/>
            </w:pPr>
            <w:r>
              <w:rPr>
                <w:rFonts w:ascii="Arial" w:cs="Arial" w:eastAsia="Arial" w:hAnsi="Arial"/>
                <w:b/>
                <w:bCs/>
                <w:caps/>
                <w:color w:val="FFFFFF"/>
                <w:sz w:val="18"/>
                <w:szCs w:val="18"/>
              </w:rPr>
              <w:t xml:space="preserve">PHASE 1  </w:t>
            </w:r>
            <w:r>
              <w:rPr>
                <w:rFonts w:ascii="Arial" w:cs="Arial" w:eastAsia="Arial" w:hAnsi="Arial"/>
                <w:b/>
                <w:bCs/>
                <w:color w:val="FFFFFF"/>
                <w:sz w:val="32"/>
                <w:szCs w:val="32"/>
              </w:rPr>
              <w:t xml:space="preserve">Correctness</w:t>
            </w:r>
          </w:p>
          <w:p>
            <w:pPr>
              <w:spacing w:before="0" w:after="0"/>
            </w:pPr>
            <w:r>
              <w:rPr>
                <w:rFonts w:ascii="Arial" w:cs="Arial" w:eastAsia="Arial" w:hAnsi="Arial"/>
                <w:i/>
                <w:iCs/>
                <w:color w:val="FFFFFF"/>
                <w:sz w:val="20"/>
                <w:szCs w:val="20"/>
              </w:rPr>
              <w:t xml:space="preserve">Four items — prerequisite for all that follows</w:t>
            </w:r>
          </w:p>
        </w:tc>
      </w:tr>
    </w:tbl>
    <w:p>
      <w:pPr>
        <w:spacing w:before="0" w:after="120"/>
      </w:pPr>
    </w:p>
    <w:p>
      <w:pPr>
        <w:spacing w:before="80" w:after="100"/>
        <w:jc w:val="left"/>
      </w:pPr>
      <w:r>
        <w:rPr>
          <w:rFonts w:ascii="Arial" w:cs="Arial" w:eastAsia="Arial" w:hAnsi="Arial"/>
          <w:color w:val="2F2F2F"/>
          <w:sz w:val="22"/>
          <w:szCs w:val="22"/>
        </w:rPr>
        <w:t xml:space="preserve">Phase 1 contains the only items where work done in later phases cannot compensate for their absence. Registry divergence corrupts template selection. Invalid entry lags cause silent evaluation failures. Missing failure metadata makes intelligent avoidance impossible. The OOS asymmetry allows candidates without out-of-sample evidence to reach promotion. All four must be resolved before any capability work has clean inputs.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0000"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1.1</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C00000"/>
                <w:sz w:val="24"/>
                <w:szCs w:val="24"/>
              </w:rPr>
              <w:t xml:space="preserve">Registry consistency validation and reconciliation</w:t>
            </w:r>
          </w:p>
        </w:tc>
      </w:tr>
      <w:tr>
        <w:tc>
          <w:tcPr>
            <w:tcW w:type="dxa" w:w="600"/>
            <w:tcBorders>
              <w:top w:val="none" w:color="FFFFFF" w:sz="0"/>
              <w:left w:val="none" w:color="FFFFFF" w:sz="0"/>
              <w:bottom w:val="none" w:color="FFFFFF" w:sz="0"/>
              <w:right w:val="none" w:color="FFFFFF" w:sz="0"/>
            </w:tcBorders>
            <w:shd w:fill="C00000"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family_registry.yaml and template_registry.yaml define allowed templates per event family independently and have silently diverged — VOLATILITY_TRANSITION has 5 entries in one file and 6 in the other. Designate template_registry.yaml as the single source of truth. Reconcile both files. Add validate_registry_consistency() to experiment_engine_validators.py called inside build_experiment_plan(). Add a CI-enforced unit test. Estimated effort: 2–3 hours.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0000"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1.2</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C00000"/>
                <w:sz w:val="24"/>
                <w:szCs w:val="24"/>
              </w:rPr>
              <w:t xml:space="preserve">Fix entry_lag=0 in every campaign proposal</w:t>
            </w:r>
          </w:p>
        </w:tc>
      </w:tr>
      <w:tr>
        <w:tc>
          <w:tcPr>
            <w:tcW w:type="dxa" w:w="600"/>
            <w:tcBorders>
              <w:top w:val="none" w:color="FFFFFF" w:sz="0"/>
              <w:left w:val="none" w:color="FFFFFF" w:sz="0"/>
              <w:bottom w:val="none" w:color="FFFFFF" w:sz="0"/>
              <w:right w:val="none" w:color="FFFFFF" w:sz="0"/>
            </w:tcBorders>
            <w:shd w:fill="C00000"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The campaign controller stub sets entry_lags: [0] in every proposal (campaign_controller.py line 162). gating.py raises ValueError at evaluation time for lag=0, causing silent failures. Change the controller default to entry_lags: [1, 2]. Add a plan-time validation check in _validate_proposal_quality() that rejects any proposal containing 0. The constraint is a correctness requirement — enforce it at plan build, not at evaluation. Estimated effort: 1 hour.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0000"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1.3</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C00000"/>
                <w:sz w:val="24"/>
                <w:szCs w:val="24"/>
              </w:rPr>
              <w:t xml:space="preserve">Populate failure_confidence into tested_regions memory</w:t>
            </w:r>
          </w:p>
        </w:tc>
      </w:tr>
      <w:tr>
        <w:tc>
          <w:tcPr>
            <w:tcW w:type="dxa" w:w="600"/>
            <w:tcBorders>
              <w:top w:val="none" w:color="FFFFFF" w:sz="0"/>
              <w:left w:val="none" w:color="FFFFFF" w:sz="0"/>
              <w:bottom w:val="none" w:color="FFFFFF" w:sz="0"/>
              <w:right w:val="none" w:color="FFFFFF" w:sz="0"/>
            </w:tcBorders>
            <w:shd w:fill="C00000"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The _confidence() function in reflection.py computes a correct run-level confidence score that is written to reflections.parquet but never joined into tested_regions.parquet. Add failure_confidence, failure_cause_class, and failure_sample_size to TESTED_REGION_COLUMNS. Populate failure_cause_class by classifying primary_fail_gate values (gate_promo_retail_net_expectancy with train_n_obs &lt; 30 → insufficient_sample; stage failures → mechanical; etc.). Join reflection confidence back to tested regions in update_campaign_memory.py. This is the prerequisite for Phase 2's probabilistic avoidance logic. Estimated effort: half day.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0000"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1.4</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C00000"/>
                <w:sz w:val="24"/>
                <w:szCs w:val="24"/>
              </w:rPr>
              <w:t xml:space="preserve">Fix asymmetric OOS pass in promotion gate</w:t>
            </w:r>
          </w:p>
        </w:tc>
      </w:tr>
      <w:tr>
        <w:tc>
          <w:tcPr>
            <w:tcW w:type="dxa" w:w="600"/>
            <w:tcBorders>
              <w:top w:val="none" w:color="FFFFFF" w:sz="0"/>
              <w:left w:val="none" w:color="FFFFFF" w:sz="0"/>
              <w:bottom w:val="none" w:color="FFFFFF" w:sz="0"/>
              <w:right w:val="none" w:color="FFFFFF" w:sz="0"/>
            </w:tcBorders>
            <w:shd w:fill="C00000"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In _evaluate_deploy_oos_and_low_capital(), when _has_explicit_oos_samples() returns False, oos_pass defaults to True. Candidates without any split counts receive a passing OOS mark. Change this to oos_pass = None and introduce an oos_evaluated flag. In deploy mode, oos_not_evaluated is a hard block. Surface this state explicitly in the PromotionDecision output so researchers know whether OOS was tested. Estimated effort: 2 hours.</w:t>
            </w:r>
          </w:p>
        </w:tc>
      </w:tr>
    </w:tbl>
    <w:p>
      <w:pPr>
        <w:spacing w:before="0" w:after="120"/>
      </w:pPr>
    </w:p>
    <w:p>
      <w:pPr>
        <w:pBdr>
          <w:bottom w:val="single" w:color="D9D9D9" w:sz="3" w:space="1"/>
        </w:pBdr>
        <w:spacing w:before="60" w:after="6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6B08" w:val="clear"/>
            <w:tcMar>
              <w:top w:type="dxa" w:w="200"/>
              <w:left w:type="dxa" w:w="280"/>
              <w:bottom w:type="dxa" w:w="200"/>
              <w:right w:type="dxa" w:w="280"/>
            </w:tcMar>
          </w:tcPr>
          <w:p>
            <w:pPr>
              <w:spacing w:before="0" w:after="40"/>
            </w:pPr>
            <w:r>
              <w:rPr>
                <w:rFonts w:ascii="Arial" w:cs="Arial" w:eastAsia="Arial" w:hAnsi="Arial"/>
                <w:b/>
                <w:bCs/>
                <w:caps/>
                <w:color w:val="FFFFFF"/>
                <w:sz w:val="18"/>
                <w:szCs w:val="18"/>
              </w:rPr>
              <w:t xml:space="preserve">PHASE 2  </w:t>
            </w:r>
            <w:r>
              <w:rPr>
                <w:rFonts w:ascii="Arial" w:cs="Arial" w:eastAsia="Arial" w:hAnsi="Arial"/>
                <w:b/>
                <w:bCs/>
                <w:color w:val="FFFFFF"/>
                <w:sz w:val="32"/>
                <w:szCs w:val="32"/>
              </w:rPr>
              <w:t xml:space="preserve">Intelligence</w:t>
            </w:r>
          </w:p>
          <w:p>
            <w:pPr>
              <w:spacing w:before="0" w:after="0"/>
            </w:pPr>
            <w:r>
              <w:rPr>
                <w:rFonts w:ascii="Arial" w:cs="Arial" w:eastAsia="Arial" w:hAnsi="Arial"/>
                <w:i/>
                <w:iCs/>
                <w:color w:val="FFFFFF"/>
                <w:sz w:val="20"/>
                <w:szCs w:val="20"/>
              </w:rPr>
              <w:t xml:space="preserve">Four items — connect memory outputs to campaign decisions</w:t>
            </w:r>
          </w:p>
        </w:tc>
      </w:tr>
    </w:tbl>
    <w:p>
      <w:pPr>
        <w:spacing w:before="0" w:after="120"/>
      </w:pPr>
    </w:p>
    <w:p>
      <w:pPr>
        <w:spacing w:before="80" w:after="100"/>
        <w:jc w:val="left"/>
      </w:pPr>
      <w:r>
        <w:rPr>
          <w:rFonts w:ascii="Arial" w:cs="Arial" w:eastAsia="Arial" w:hAnsi="Arial"/>
          <w:color w:val="2F2F2F"/>
          <w:sz w:val="22"/>
          <w:szCs w:val="22"/>
        </w:rPr>
        <w:t xml:space="preserve">Phase 2 resolves the central structural gap. After Phase 1, the memory system writes accurate, confidence-weighted artefacts. Phase 2 ensures the campaign controller reads them. The four items in this phase transform the campaign from running N independent experiments to running N experiments that compound on each other. This is the highest-leverage phase in the plan — every subsequent improvement delivers more value because the controller can now act on what it learns.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6B08"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2.1</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D46B08"/>
                <w:sz w:val="24"/>
                <w:szCs w:val="24"/>
              </w:rPr>
              <w:t xml:space="preserve">Rewrite _propose_next_request() to read memory</w:t>
            </w:r>
          </w:p>
        </w:tc>
      </w:tr>
      <w:tr>
        <w:tc>
          <w:tcPr>
            <w:tcW w:type="dxa" w:w="600"/>
            <w:tcBorders>
              <w:top w:val="none" w:color="FFFFFF" w:sz="0"/>
              <w:left w:val="none" w:color="FFFFFF" w:sz="0"/>
              <w:bottom w:val="none" w:color="FFFFFF" w:sz="0"/>
              <w:right w:val="none" w:color="FFFFFF" w:sz="0"/>
            </w:tcBorders>
            <w:shd w:fill="D46B08"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Replace the sequential frontier pop (campaign_controller.py lines 99–170) with a four-step decision tree. Step 1: check next_actions.json repair queue — if non-empty, produce a targeted replay proposal. Step 2: read latest reflection — if recommended_next_action is exploit_promising_region, construct a confirmatory run from recommended_next_experiment. Step 3: read explore_adjacent queue — produce dimension-varying proposals for each entry. Step 4: advance quality-weighted untested frontier filtered against high-confidence avoid_regions. This rewrite of approximately 70 lines uses only infrastructure that already writes exactly what it needs to read. Estimated effort: 1–2 days.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6B08"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2.2</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D46B08"/>
                <w:sz w:val="24"/>
                <w:szCs w:val="24"/>
              </w:rPr>
              <w:t xml:space="preserve">Unify frontier systems and quality-weight event ordering</w:t>
            </w:r>
          </w:p>
        </w:tc>
      </w:tr>
      <w:tr>
        <w:tc>
          <w:tcPr>
            <w:tcW w:type="dxa" w:w="600"/>
            <w:tcBorders>
              <w:top w:val="none" w:color="FFFFFF" w:sz="0"/>
              <w:left w:val="none" w:color="FFFFFF" w:sz="0"/>
              <w:bottom w:val="none" w:color="FFFFFF" w:sz="0"/>
              <w:right w:val="none" w:color="FFFFFF" w:sz="0"/>
            </w:tcBorders>
            <w:shd w:fill="D46B08"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Replace the controller's _update_frontier() call with update_search_intelligence() from search_intelligence.py, unifying the two parallel frontier-building systems. Add a YAML loader in spec_registry that parses the [QUALITY: HIGH/MODERATE/LOW] and raw IG values from search_space.yaml comments into a priority weight dict. Three events in search_space.yaml already carry explicit quality annotations; these should determine ordering over alphabetical default. In _propose_next_request() Step 4, sort the untested frontier by descending priority weight before selecting. Estimated effort: half day.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6B08"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2.3</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D46B08"/>
                <w:sz w:val="24"/>
                <w:szCs w:val="24"/>
              </w:rPr>
              <w:t xml:space="preserve">Add research_mode flag to CampaignConfig</w:t>
            </w:r>
          </w:p>
        </w:tc>
      </w:tr>
      <w:tr>
        <w:tc>
          <w:tcPr>
            <w:tcW w:type="dxa" w:w="600"/>
            <w:tcBorders>
              <w:top w:val="none" w:color="FFFFFF" w:sz="0"/>
              <w:left w:val="none" w:color="FFFFFF" w:sz="0"/>
              <w:bottom w:val="none" w:color="FFFFFF" w:sz="0"/>
              <w:right w:val="none" w:color="FFFFFF" w:sz="0"/>
            </w:tcBorders>
            <w:shd w:fill="D46B08"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Add research_mode: Literal['exploit', 'explore', 'scan'] = 'scan' to CampaignConfig. In exploit mode, proposals are restricted exclusively to promising_regions from belief_state.json — used when following up on strong discovery signals. In explore mode, the single-family constraint is loosened to allow cross-family batches — used when the frontier within individual families is exhausted. Scan mode retains quality-weighted frontier behaviour. This gives operators explicit control over the exploration-exploitation tradeoff without changing the loop architecture. Estimated effort: 2–3 hours.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46B08"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2.4</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D46B08"/>
                <w:sz w:val="24"/>
                <w:szCs w:val="24"/>
              </w:rPr>
              <w:t xml:space="preserve">Wire supersession tracking for resolved failures</w:t>
            </w:r>
          </w:p>
        </w:tc>
      </w:tr>
      <w:tr>
        <w:tc>
          <w:tcPr>
            <w:tcW w:type="dxa" w:w="600"/>
            <w:tcBorders>
              <w:top w:val="none" w:color="FFFFFF" w:sz="0"/>
              <w:left w:val="none" w:color="FFFFFF" w:sz="0"/>
              <w:bottom w:val="none" w:color="FFFFFF" w:sz="0"/>
              <w:right w:val="none" w:color="FFFFFF" w:sz="0"/>
            </w:tcBorders>
            <w:shd w:fill="D46B08"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The superseded_by_run_id field exists in FAILURE_COLUMNS but is never populated. When a repair run completes successfully for a previously failed stage, query the failures table for matching stage and program_id records and set their superseded_by_run_id to the current run. Update the Phase 2.1 repair-check logic to skip failures where superseded_by_run_id is populated. Without this, the controller re-queues repair proposals for stages that are no longer broken. Estimated effort: 2 hours.</w:t>
            </w:r>
          </w:p>
        </w:tc>
      </w:tr>
    </w:tbl>
    <w:p>
      <w:pPr>
        <w:spacing w:before="0" w:after="120"/>
      </w:pPr>
    </w:p>
    <w:p>
      <w:pPr>
        <w:pBdr>
          <w:bottom w:val="single" w:color="D9D9D9" w:sz="3" w:space="1"/>
        </w:pBdr>
        <w:spacing w:before="60" w:after="6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5623" w:val="clear"/>
            <w:tcMar>
              <w:top w:type="dxa" w:w="200"/>
              <w:left w:type="dxa" w:w="280"/>
              <w:bottom w:type="dxa" w:w="200"/>
              <w:right w:type="dxa" w:w="280"/>
            </w:tcMar>
          </w:tcPr>
          <w:p>
            <w:pPr>
              <w:spacing w:before="0" w:after="40"/>
            </w:pPr>
            <w:r>
              <w:rPr>
                <w:rFonts w:ascii="Arial" w:cs="Arial" w:eastAsia="Arial" w:hAnsi="Arial"/>
                <w:b/>
                <w:bCs/>
                <w:caps/>
                <w:color w:val="FFFFFF"/>
                <w:sz w:val="18"/>
                <w:szCs w:val="18"/>
              </w:rPr>
              <w:t xml:space="preserve">PHASE 3  </w:t>
            </w:r>
            <w:r>
              <w:rPr>
                <w:rFonts w:ascii="Arial" w:cs="Arial" w:eastAsia="Arial" w:hAnsi="Arial"/>
                <w:b/>
                <w:bCs/>
                <w:color w:val="FFFFFF"/>
                <w:sz w:val="32"/>
                <w:szCs w:val="32"/>
              </w:rPr>
              <w:t xml:space="preserve">Discovery Surface</w:t>
            </w:r>
          </w:p>
          <w:p>
            <w:pPr>
              <w:spacing w:before="0" w:after="0"/>
            </w:pPr>
            <w:r>
              <w:rPr>
                <w:rFonts w:ascii="Arial" w:cs="Arial" w:eastAsia="Arial" w:hAnsi="Arial"/>
                <w:i/>
                <w:iCs/>
                <w:color w:val="FFFFFF"/>
                <w:sz w:val="20"/>
                <w:szCs w:val="20"/>
              </w:rPr>
              <w:t xml:space="preserve">Five items — activate unused infrastructure</w:t>
            </w:r>
          </w:p>
        </w:tc>
      </w:tr>
    </w:tbl>
    <w:p>
      <w:pPr>
        <w:spacing w:before="0" w:after="120"/>
      </w:pPr>
    </w:p>
    <w:p>
      <w:pPr>
        <w:spacing w:before="80" w:after="100"/>
        <w:jc w:val="left"/>
      </w:pPr>
      <w:r>
        <w:rPr>
          <w:rFonts w:ascii="Arial" w:cs="Arial" w:eastAsia="Arial" w:hAnsi="Arial"/>
          <w:color w:val="2F2F2F"/>
          <w:sz w:val="22"/>
          <w:szCs w:val="22"/>
        </w:rPr>
        <w:t xml:space="preserve">Phase 3 activates trigger types and search mechanisms that are fully implemented in the codebase but never proposed by the campaign controller. Every item in this phase is an activation, not a construction. The five items collectively expand the addressable search surface from approximately 320 hypotheses per run to approximately 750,000. They are ordered so that each activation builds on the stability of the previous one.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375623"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3.1</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375623"/>
                <w:sz w:val="24"/>
                <w:szCs w:val="24"/>
              </w:rPr>
              <w:t xml:space="preserve">Activate STATE and TRANSITION trigger types</w:t>
            </w:r>
          </w:p>
        </w:tc>
      </w:tr>
      <w:tr>
        <w:tc>
          <w:tcPr>
            <w:tcW w:type="dxa" w:w="600"/>
            <w:tcBorders>
              <w:top w:val="none" w:color="FFFFFF" w:sz="0"/>
              <w:left w:val="none" w:color="FFFFFF" w:sz="0"/>
              <w:bottom w:val="none" w:color="FFFFFF" w:sz="0"/>
              <w:right w:val="none" w:color="FFFFFF" w:sz="0"/>
            </w:tcBorders>
            <w:shd w:fill="375623"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Add scan_trigger_types: List[str] = ['EVENT'] to CampaignConfig. After the initial event scan completes, advance to include STATE, then TRANSITION. _expand_state_triggers() and _expand_transition_triggers() in experiment_engine_validators.py are complete. search_space.yaml lists 20+ states and 12 transitions with clear market rationale. State triggers capture carry, persistence, and regime-conditional mean reversion. Transition triggers fire at regime-change points where dislocation is highest. These are structurally distinct from event triggers and represent unexplored alpha surfaces. No changes to the evaluator or expansion functions are required. Estimated effort: 3–4 hours.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375623"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3.2</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375623"/>
                <w:sz w:val="24"/>
                <w:szCs w:val="24"/>
              </w:rPr>
              <w:t xml:space="preserve">Activate context conditioning via wildcards</w:t>
            </w:r>
          </w:p>
        </w:tc>
      </w:tr>
      <w:tr>
        <w:tc>
          <w:tcPr>
            <w:tcW w:type="dxa" w:w="600"/>
            <w:tcBorders>
              <w:top w:val="none" w:color="FFFFFF" w:sz="0"/>
              <w:left w:val="none" w:color="FFFFFF" w:sz="0"/>
              <w:bottom w:val="none" w:color="FFFFFF" w:sz="0"/>
              <w:right w:val="none" w:color="FFFFFF" w:sz="0"/>
            </w:tcBorders>
            <w:shd w:fill="375623"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Change the default context specification in _propose_next_request() from empty to {'vol': '*'}. The generator's _context_combinations() already expands '*' into all labels for a regime family. The evaluator already applies confidence filtering (ms_vol_confidence &gt;= 0.55) at evaluation time, automatically excluding low-confidence regime labels. A single-line change to the default proposal triples the regime-conditional hypothesis count at no additional pipeline cost — all context slices are evaluated in a single pass over the same feature table. After confirming correct behaviour, extend to {'vol': '*', 'trend': '*'} for a six-way expansion. Estimated effort: 1 hour.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375623"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3.3</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375623"/>
                <w:sz w:val="24"/>
                <w:szCs w:val="24"/>
              </w:rPr>
              <w:t xml:space="preserve">Activate alpha_clustering.py for within-run deduplication</w:t>
            </w:r>
          </w:p>
        </w:tc>
      </w:tr>
      <w:tr>
        <w:tc>
          <w:tcPr>
            <w:tcW w:type="dxa" w:w="600"/>
            <w:tcBorders>
              <w:top w:val="none" w:color="FFFFFF" w:sz="0"/>
              <w:left w:val="none" w:color="FFFFFF" w:sz="0"/>
              <w:bottom w:val="none" w:color="FFFFFF" w:sz="0"/>
              <w:right w:val="none" w:color="FFFFFF" w:sz="0"/>
            </w:tcBorders>
            <w:shd w:fill="375623"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After run_distributed_search() produces the metrics DataFrame in run_hypothesis_search.py, call cluster_hypotheses() from alpha_clustering.py on the PnL columns, select cluster representatives via select_cluster_representatives(), and mark non-representatives as redundant in the output. Pass only representatives to the BH adjustment step. This reduces FDR family size proportionally to the correlation structure in the hypothesis batch, improving statistical power for genuinely distinct hypotheses. The clustering code is complete. It requires only a pipeline wrapper and an output artefact contract. This is especially important for Phase 3.2 context-wildcard proposals, where vol_HIGH and vol_LOW variants of the same event will frequently correlate. Estimated effort: half day.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375623"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3.4</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375623"/>
                <w:sz w:val="24"/>
                <w:szCs w:val="24"/>
              </w:rPr>
              <w:t xml:space="preserve">Activate SEQUENCE trigger type from weak-signal event pairs</w:t>
            </w:r>
          </w:p>
        </w:tc>
      </w:tr>
      <w:tr>
        <w:tc>
          <w:tcPr>
            <w:tcW w:type="dxa" w:w="600"/>
            <w:tcBorders>
              <w:top w:val="none" w:color="FFFFFF" w:sz="0"/>
              <w:left w:val="none" w:color="FFFFFF" w:sz="0"/>
              <w:bottom w:val="none" w:color="FFFFFF" w:sz="0"/>
              <w:right w:val="none" w:color="FFFFFF" w:sz="0"/>
            </w:tcBorders>
            <w:shd w:fill="375623"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_expand_sequence_triggers() in experiment_engine_validators.py is complete. After the initial event scan, read region_statistics to identify event pairs that individually scored mean_return_bps &gt; 0 and t_stat &gt; 1.0 but did not pass promotion gates. Generate sequence hypotheses for these pairs with max_gap values of [6, 12] bars. The alpha in a sequence may not exist in either constituent event alone — temporal co-occurrence is a structurally distinct alpha channel. The evaluator, feasibility checker, and hypothesis generator all handle SEQUENCE triggers correctly. Estimated effort: 3–4 hours.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375623"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3.5</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375623"/>
                <w:sz w:val="24"/>
                <w:szCs w:val="24"/>
              </w:rPr>
              <w:t xml:space="preserve">Activate FEATURE_PREDICATE triggers from search_space.yaml</w:t>
            </w:r>
          </w:p>
        </w:tc>
      </w:tr>
      <w:tr>
        <w:tc>
          <w:tcPr>
            <w:tcW w:type="dxa" w:w="600"/>
            <w:tcBorders>
              <w:top w:val="none" w:color="FFFFFF" w:sz="0"/>
              <w:left w:val="none" w:color="FFFFFF" w:sz="0"/>
              <w:bottom w:val="none" w:color="FFFFFF" w:sz="0"/>
              <w:right w:val="none" w:color="FFFFFF" w:sz="0"/>
            </w:tcBorders>
            <w:shd w:fill="375623"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Eight manually specified feature predicates are listed in search_space.yaml (imbalance_zscore extremes, spread_pct threshold, volume_ratio and rv_percentile and oi_delta extremes). _expand_feature_predicate_triggers() is complete. Feature predicate triggers bypass the event detection pipeline entirely, firing directly on the feature table. They cover alpha in conditions the canonical event detectors do not classify. Add FEATURE_PREDICATE to scan_trigger_types after the initial event scan. The eight manually specified predicates provide immediate value. Phase 4.1 below describes the data-driven approach to generating additional candidates. Estimated effort: 2–3 hours.</w:t>
            </w:r>
          </w:p>
        </w:tc>
      </w:tr>
    </w:tbl>
    <w:p>
      <w:pPr>
        <w:spacing w:before="0" w:after="120"/>
      </w:pPr>
    </w:p>
    <w:p>
      <w:pPr>
        <w:pBdr>
          <w:bottom w:val="single" w:color="D9D9D9" w:sz="3" w:space="1"/>
        </w:pBdr>
        <w:spacing w:before="60" w:after="6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pPr>
              <w:spacing w:before="0" w:after="40"/>
            </w:pPr>
            <w:r>
              <w:rPr>
                <w:rFonts w:ascii="Arial" w:cs="Arial" w:eastAsia="Arial" w:hAnsi="Arial"/>
                <w:b/>
                <w:bCs/>
                <w:caps/>
                <w:color w:val="FFFFFF"/>
                <w:sz w:val="18"/>
                <w:szCs w:val="18"/>
              </w:rPr>
              <w:t xml:space="preserve">PHASE 4  </w:t>
            </w:r>
            <w:r>
              <w:rPr>
                <w:rFonts w:ascii="Arial" w:cs="Arial" w:eastAsia="Arial" w:hAnsi="Arial"/>
                <w:b/>
                <w:bCs/>
                <w:color w:val="FFFFFF"/>
                <w:sz w:val="32"/>
                <w:szCs w:val="32"/>
              </w:rPr>
              <w:t xml:space="preserve">Alpha Depth</w:t>
            </w:r>
          </w:p>
          <w:p>
            <w:pPr>
              <w:spacing w:before="0" w:after="0"/>
            </w:pPr>
            <w:r>
              <w:rPr>
                <w:rFonts w:ascii="Arial" w:cs="Arial" w:eastAsia="Arial" w:hAnsi="Arial"/>
                <w:i/>
                <w:iCs/>
                <w:color w:val="FFFFFF"/>
                <w:sz w:val="20"/>
                <w:szCs w:val="20"/>
              </w:rPr>
              <w:t xml:space="preserve">Four items — data-driven generation and portfolio integration</w:t>
            </w:r>
          </w:p>
        </w:tc>
      </w:tr>
    </w:tbl>
    <w:p>
      <w:pPr>
        <w:spacing w:before="0" w:after="120"/>
      </w:pPr>
    </w:p>
    <w:p>
      <w:pPr>
        <w:spacing w:before="80" w:after="100"/>
        <w:jc w:val="left"/>
      </w:pPr>
      <w:r>
        <w:rPr>
          <w:rFonts w:ascii="Arial" w:cs="Arial" w:eastAsia="Arial" w:hAnsi="Arial"/>
          <w:color w:val="2F2F2F"/>
          <w:sz w:val="22"/>
          <w:szCs w:val="22"/>
        </w:rPr>
        <w:t xml:space="preserve">Phase 4 represents the long-horizon productivity ceiling of the system: hypothesis generation that is driven by data structure rather than static specification, regime-conditional signals that are discovered and acted upon automatically, a promotion gate that penalises fragile over-conditioned strategies, and a research-to-live handoff where every promoted strategy arrives at the live runner with calibrated, portfolio-aware sizing parameters.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4.1</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1F3864"/>
                <w:sz w:val="24"/>
                <w:szCs w:val="24"/>
              </w:rPr>
              <w:t xml:space="preserve">Mutual information scan for data-driven feature predicate generation</w:t>
            </w:r>
          </w:p>
        </w:tc>
      </w:tr>
      <w:tr>
        <w:tc>
          <w:tcPr>
            <w:tcW w:type="dxa" w:w="600"/>
            <w:tcBorders>
              <w:top w:val="none" w:color="FFFFFF" w:sz="0"/>
              <w:left w:val="none" w:color="FFFFFF" w:sz="0"/>
              <w:bottom w:val="none" w:color="FFFFFF" w:sz="0"/>
              <w:right w:val="none" w:color="FFFFFF" w:sz="0"/>
            </w:tcBorders>
            <w:shd w:fill="1F3864"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Add pipeline stage feature_mi_scan.py that loads the cleaned feature table after the feature pipeline completes and computes mutual_info_regression (scikit-learn 1.5.0, already a dependency) between all 35+ feature columns and forward log returns at candidate horizons. Run the scan separately within each available regime label so that regime-conditional predictors generate context-conditioned predicates rather than unconditional ones. Write a ranked feature-horizon-MI table to data/reports/feature_mi/&lt;run_id&gt;/ and derive threshold candidates at the 25th, 75th, and 90th percentiles of each high-MI feature's empirical distribution. The campaign controller reads candidate_predicates.json when proposing FEATURE_PREDICATE runs, augmenting the static predicates from Phase 3.5. This closes the discovery-generation loop: the system proposes hypotheses based on what the data says is informative, not only on what was specified statically. Estimated effort: 1–2 days.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4.2</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1F3864"/>
                <w:sz w:val="24"/>
                <w:szCs w:val="24"/>
              </w:rPr>
              <w:t xml:space="preserve">Surface per-regime evaluation output as a discovery signal</w:t>
            </w:r>
          </w:p>
        </w:tc>
      </w:tr>
      <w:tr>
        <w:tc>
          <w:tcPr>
            <w:tcW w:type="dxa" w:w="600"/>
            <w:tcBorders>
              <w:top w:val="none" w:color="FFFFFF" w:sz="0"/>
              <w:left w:val="none" w:color="FFFFFF" w:sz="0"/>
              <w:bottom w:val="none" w:color="FFFFFF" w:sz="0"/>
              <w:right w:val="none" w:color="FFFFFF" w:sz="0"/>
            </w:tcBorders>
            <w:shd w:fill="1F3864"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evaluate_by_regime() in regime_evaluator.py already produces per-regime performance breakdowns for every hypothesis. This output is currently collapsed into the robustness_score scalar and discarded. Write the full per-regime DataFrame as regime_conditional_candidates.parquet alongside standard phase2 output. In the campaign controller, after reading reflections, check this artefact for hypotheses where overall t_stat &lt; 1.5 but per-regime t_stat &gt; 1.5 in a specific regime with n &gt;= 20. Add these to the explore_adjacent queue with the strong-performing regime pinned as a context filter in the follow-up proposal. Regime-specific edges are a distinct and real alpha category. The evaluator already computes everything needed — surfacing it as a discoverable artefact is the only change required. Estimated effort: half day.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4.3</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1F3864"/>
                <w:sz w:val="24"/>
                <w:szCs w:val="24"/>
              </w:rPr>
              <w:t xml:space="preserve">Context complexity penalty in promotion scoring</w:t>
            </w:r>
          </w:p>
        </w:tc>
      </w:tr>
      <w:tr>
        <w:tc>
          <w:tcPr>
            <w:tcW w:type="dxa" w:w="600"/>
            <w:tcBorders>
              <w:top w:val="none" w:color="FFFFFF" w:sz="0"/>
              <w:left w:val="none" w:color="FFFFFF" w:sz="0"/>
              <w:bottom w:val="none" w:color="FFFFFF" w:sz="0"/>
              <w:right w:val="none" w:color="FFFFFF" w:sz="0"/>
            </w:tcBorders>
            <w:shd w:fill="1F3864"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Add a context complexity penalty to stability_score() in promotion_scoring.py. Count non-trivial conditions in context_json for each candidate row. Apply: context_penalty = log(1 + max(0, dimension_count - 1)) × 0.05. Subtract from the stability score before gate thresholding. A zero-condition unconditional hypothesis pays no penalty; a four-condition conjunction pays approximately 0.07, meaningful relative to min_stability_score. Phase 3.2's context wildcards will generate multi-condition hypotheses for the first time — without this penalty, highly conditional strategies that pass promotion only under specific conjunctions of regime states will be scored identically to robust unconditional strategies. Estimated effort: 2 hours.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20"/>
              <w:left w:type="dxa" w:w="0"/>
              <w:bottom w:type="dxa" w:w="0"/>
              <w:right w:type="dxa" w:w="0"/>
            </w:tcMar>
            <w:vAlign w:val="center"/>
          </w:tcPr>
          <w:p>
            <w:pPr>
              <w:spacing w:before="0" w:after="0"/>
              <w:jc w:val="center"/>
            </w:pPr>
            <w:r>
              <w:rPr>
                <w:rFonts w:ascii="Arial" w:cs="Arial" w:eastAsia="Arial" w:hAnsi="Arial"/>
                <w:b/>
                <w:bCs/>
                <w:color w:val="FFFFFF"/>
                <w:sz w:val="28"/>
                <w:szCs w:val="28"/>
              </w:rPr>
              <w:t xml:space="preserve">4.4</w:t>
            </w:r>
          </w:p>
        </w:tc>
        <w:tc>
          <w:tcPr>
            <w:tcW w:type="dxa" w:w="8760"/>
            <w:tcBorders>
              <w:top w:val="none" w:color="FFFFFF" w:sz="0"/>
              <w:left w:val="none" w:color="FFFFFF" w:sz="0"/>
              <w:bottom w:val="none" w:color="FFFFFF" w:sz="0"/>
              <w:right w:val="none" w:color="FFFFFF" w:sz="0"/>
            </w:tcBorders>
            <w:shd w:fill="F5F5F5" w:val="clear"/>
            <w:tcMar>
              <w:top w:type="dxa" w:w="120"/>
              <w:left w:type="dxa" w:w="200"/>
              <w:bottom w:type="dxa" w:w="0"/>
              <w:right w:type="dxa" w:w="200"/>
            </w:tcMar>
          </w:tcPr>
          <w:p>
            <w:pPr>
              <w:spacing w:before="0" w:after="0"/>
            </w:pPr>
            <w:r>
              <w:rPr>
                <w:rFonts w:ascii="Arial" w:cs="Arial" w:eastAsia="Arial" w:hAnsi="Arial"/>
                <w:b/>
                <w:bCs/>
                <w:color w:val="1F3864"/>
                <w:sz w:val="24"/>
                <w:szCs w:val="24"/>
              </w:rPr>
              <w:t xml:space="preserve">Complete the research-to-live handoff via AllocationSpec</w:t>
            </w:r>
          </w:p>
        </w:tc>
      </w:tr>
      <w:tr>
        <w:tc>
          <w:tcPr>
            <w:tcW w:type="dxa" w:w="600"/>
            <w:tcBorders>
              <w:top w:val="none" w:color="FFFFFF" w:sz="0"/>
              <w:left w:val="none" w:color="FFFFFF" w:sz="0"/>
              <w:bottom w:val="none" w:color="FFFFFF" w:sz="0"/>
              <w:right w:val="none" w:color="FFFFFF" w:sz="0"/>
            </w:tcBorders>
            <w:shd w:fill="1F3864" w:val="clear"/>
            <w:tcMar>
              <w:top w:type="dxa" w:w="0"/>
              <w:left w:type="dxa" w:w="0"/>
              <w:bottom w:type="dxa" w:w="120"/>
              <w:right w:type="dxa" w:w="0"/>
            </w:tcMar>
          </w:tcPr>
          <w:p>
            <w:pPr>
              <w:spacing w:before="0" w:after="0"/>
            </w:pPr>
          </w:p>
        </w:tc>
        <w:tc>
          <w:tcPr>
            <w:tcW w:type="dxa" w:w="8760"/>
            <w:tcBorders>
              <w:top w:val="none" w:color="FFFFFF" w:sz="0"/>
              <w:left w:val="none" w:color="FFFFFF" w:sz="0"/>
              <w:bottom w:val="none" w:color="FFFFFF" w:sz="0"/>
              <w:right w:val="none" w:color="FFFFFF" w:sz="0"/>
            </w:tcBorders>
            <w:shd w:fill="F5F5F5" w:val="clear"/>
            <w:tcMar>
              <w:top w:type="dxa" w:w="60"/>
              <w:left w:type="dxa" w:w="200"/>
              <w:bottom w:type="dxa" w:w="120"/>
              <w:right w:type="dxa" w:w="200"/>
            </w:tcMar>
          </w:tcPr>
          <w:p>
            <w:pPr>
              <w:spacing w:before="0" w:after="0"/>
            </w:pPr>
            <w:r>
              <w:rPr>
                <w:rFonts w:ascii="Arial" w:cs="Arial" w:eastAsia="Arial" w:hAnsi="Arial"/>
                <w:color w:val="2F2F2F"/>
                <w:sz w:val="21"/>
                <w:szCs w:val="21"/>
              </w:rPr>
              <w:t xml:space="preserve">compile_strategy_blueprints.py already calls _build_allocation_spec() and writes AllocationSpec artefacts. The sizing inputs — expected_return_bps and expected_adverse_bps — are not populated from promotion audit data. In _build_allocation_spec(), read mean_return_bps and stressed_after_cost_expectancy from the promotion audit row and pass them as sizing inputs (using stressed_after_cost_expectancy × 1.5 as the adverse estimate). Add portfolio_state_path to CampaignConfig pointing to a JSON file maintained by the live runner. The allocation spec generator reads this file so sizing recommendations are conditioned on existing deployment — gross exposure, bucket exposures, realised volatility. Add a pre-promotion marginal contribution check using pnl_similarity.calculate_similarity_matrix() against the existing promoted set; candidates with correlation &gt; 0.8 to existing strategies receive a (1 − max_correlation) reduction on their risk_per_trade. Estimated effort: 1–2 days.</w:t>
            </w:r>
          </w:p>
        </w:tc>
      </w:tr>
    </w:tbl>
    <w:p>
      <w:pPr>
        <w:spacing w:before="0" w:after="80"/>
      </w:pPr>
    </w:p>
    <w:p>
      <w:pPr>
        <w:pBdr>
          <w:bottom w:val="single" w:color="D9D9D9" w:sz="3" w:space="1"/>
        </w:pBdr>
        <w:spacing w:before="60" w:after="60"/>
      </w:pPr>
    </w:p>
    <w:p>
      <w:pPr>
        <w:spacing w:before="0" w:after="80"/>
      </w:pPr>
    </w:p>
    <w:p>
      <w:r>
        <w:br w:type="page"/>
      </w:r>
    </w:p>
    <w:p>
      <w:pPr>
        <w:pStyle w:val="Heading1"/>
        <w:pBdr>
          <w:bottom w:val="single" w:color="1F3864" w:sz="6" w:space="4"/>
        </w:pBdr>
        <w:spacing w:before="400" w:after="160"/>
      </w:pPr>
      <w:r>
        <w:rPr>
          <w:rFonts w:ascii="Arial" w:cs="Arial" w:eastAsia="Arial" w:hAnsi="Arial"/>
          <w:b/>
          <w:bCs/>
          <w:color w:val="1F3864"/>
          <w:sz w:val="36"/>
          <w:szCs w:val="36"/>
        </w:rPr>
        <w:t xml:space="preserve">Success Metrics by Phase</w:t>
      </w:r>
    </w:p>
    <w:p>
      <w:pPr>
        <w:spacing w:before="80" w:after="100"/>
        <w:jc w:val="left"/>
      </w:pPr>
      <w:r>
        <w:rPr>
          <w:rFonts w:ascii="Arial" w:cs="Arial" w:eastAsia="Arial" w:hAnsi="Arial"/>
          <w:color w:val="2F2F2F"/>
          <w:sz w:val="22"/>
          <w:szCs w:val="22"/>
        </w:rPr>
        <w:t xml:space="preserve">Each phase has observable, measurable outcomes that can be verified before the next phase begins. The metrics below are operational — they reflect changes in how the system behaves, not subjective assessments of improvement.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before="0" w:after="0"/>
              <w:jc w:val="center"/>
            </w:pPr>
            <w:r>
              <w:rPr>
                <w:rFonts w:ascii="Arial" w:cs="Arial" w:eastAsia="Arial" w:hAnsi="Arial"/>
                <w:b/>
                <w:bCs/>
                <w:color w:val="FFFFFF"/>
                <w:sz w:val="19"/>
                <w:szCs w:val="19"/>
              </w:rPr>
              <w:t xml:space="preserve">Metric</w:t>
            </w:r>
          </w:p>
        </w:tc>
        <w:tc>
          <w:tcPr>
            <w:tcW w:type="dxa" w:w="144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tcPr>
          <w:p>
            <w:pPr>
              <w:spacing w:before="0" w:after="0"/>
              <w:jc w:val="center"/>
            </w:pPr>
            <w:r>
              <w:rPr>
                <w:rFonts w:ascii="Arial" w:cs="Arial" w:eastAsia="Arial" w:hAnsi="Arial"/>
                <w:b/>
                <w:bCs/>
                <w:color w:val="1F3864"/>
                <w:sz w:val="19"/>
                <w:szCs w:val="19"/>
              </w:rPr>
              <w:t xml:space="preserve">Now</w:t>
            </w:r>
          </w:p>
        </w:tc>
        <w:tc>
          <w:tcPr>
            <w:tcW w:type="dxa" w:w="1440"/>
            <w:tcBorders>
              <w:top w:val="single" w:color="CCCCCC" w:sz="1"/>
              <w:left w:val="single" w:color="CCCCCC" w:sz="1"/>
              <w:bottom w:val="single" w:color="CCCCCC" w:sz="1"/>
              <w:right w:val="single" w:color="CCCCCC" w:sz="1"/>
            </w:tcBorders>
            <w:shd w:fill="FFE0E0" w:val="clear"/>
            <w:tcMar>
              <w:top w:type="dxa" w:w="80"/>
              <w:left w:type="dxa" w:w="80"/>
              <w:bottom w:type="dxa" w:w="80"/>
              <w:right w:type="dxa" w:w="80"/>
            </w:tcMar>
          </w:tcPr>
          <w:p>
            <w:pPr>
              <w:spacing w:before="0" w:after="0"/>
              <w:jc w:val="center"/>
            </w:pPr>
            <w:r>
              <w:rPr>
                <w:rFonts w:ascii="Arial" w:cs="Arial" w:eastAsia="Arial" w:hAnsi="Arial"/>
                <w:b/>
                <w:bCs/>
                <w:color w:val="1F3864"/>
                <w:sz w:val="19"/>
                <w:szCs w:val="19"/>
              </w:rPr>
              <w:t xml:space="preserve">Ph 1</w:t>
            </w:r>
          </w:p>
        </w:tc>
        <w:tc>
          <w:tcPr>
            <w:tcW w:type="dxa" w:w="1440"/>
            <w:tcBorders>
              <w:top w:val="single" w:color="CCCCCC" w:sz="1"/>
              <w:left w:val="single" w:color="CCCCCC" w:sz="1"/>
              <w:bottom w:val="single" w:color="CCCCCC" w:sz="1"/>
              <w:right w:val="single" w:color="CCCCCC" w:sz="1"/>
            </w:tcBorders>
            <w:shd w:fill="FFE8D0" w:val="clear"/>
            <w:tcMar>
              <w:top w:type="dxa" w:w="80"/>
              <w:left w:type="dxa" w:w="80"/>
              <w:bottom w:type="dxa" w:w="80"/>
              <w:right w:type="dxa" w:w="80"/>
            </w:tcMar>
          </w:tcPr>
          <w:p>
            <w:pPr>
              <w:spacing w:before="0" w:after="0"/>
              <w:jc w:val="center"/>
            </w:pPr>
            <w:r>
              <w:rPr>
                <w:rFonts w:ascii="Arial" w:cs="Arial" w:eastAsia="Arial" w:hAnsi="Arial"/>
                <w:b/>
                <w:bCs/>
                <w:color w:val="1F3864"/>
                <w:sz w:val="19"/>
                <w:szCs w:val="19"/>
              </w:rPr>
              <w:t xml:space="preserve">Ph 2</w:t>
            </w:r>
          </w:p>
        </w:tc>
        <w:tc>
          <w:tcPr>
            <w:tcW w:type="dxa" w:w="1440"/>
            <w:tcBorders>
              <w:top w:val="single" w:color="CCCCCC" w:sz="1"/>
              <w:left w:val="single" w:color="CCCCCC" w:sz="1"/>
              <w:bottom w:val="single" w:color="CCCCCC" w:sz="1"/>
              <w:right w:val="single" w:color="CCCCCC" w:sz="1"/>
            </w:tcBorders>
            <w:shd w:fill="E8F5E0" w:val="clear"/>
            <w:tcMar>
              <w:top w:type="dxa" w:w="80"/>
              <w:left w:type="dxa" w:w="80"/>
              <w:bottom w:type="dxa" w:w="80"/>
              <w:right w:type="dxa" w:w="80"/>
            </w:tcMar>
          </w:tcPr>
          <w:p>
            <w:pPr>
              <w:spacing w:before="0" w:after="0"/>
              <w:jc w:val="center"/>
            </w:pPr>
            <w:r>
              <w:rPr>
                <w:rFonts w:ascii="Arial" w:cs="Arial" w:eastAsia="Arial" w:hAnsi="Arial"/>
                <w:b/>
                <w:bCs/>
                <w:color w:val="1F3864"/>
                <w:sz w:val="19"/>
                <w:szCs w:val="19"/>
              </w:rPr>
              <w:t xml:space="preserve">Ph 3</w:t>
            </w:r>
          </w:p>
        </w:tc>
        <w:tc>
          <w:tcPr>
            <w:tcW w:type="dxa" w:w="1440"/>
            <w:tcBorders>
              <w:top w:val="single" w:color="CCCCCC" w:sz="1"/>
              <w:left w:val="single" w:color="CCCCCC" w:sz="1"/>
              <w:bottom w:val="single" w:color="CCCCCC" w:sz="1"/>
              <w:right w:val="single" w:color="CCCCCC" w:sz="1"/>
            </w:tcBorders>
            <w:shd w:fill="E0EAFF" w:val="clear"/>
            <w:tcMar>
              <w:top w:type="dxa" w:w="80"/>
              <w:left w:type="dxa" w:w="80"/>
              <w:bottom w:type="dxa" w:w="80"/>
              <w:right w:type="dxa" w:w="80"/>
            </w:tcMar>
          </w:tcPr>
          <w:p>
            <w:pPr>
              <w:spacing w:before="0" w:after="0"/>
              <w:jc w:val="center"/>
            </w:pPr>
            <w:r>
              <w:rPr>
                <w:rFonts w:ascii="Arial" w:cs="Arial" w:eastAsia="Arial" w:hAnsi="Arial"/>
                <w:b/>
                <w:bCs/>
                <w:color w:val="1F3864"/>
                <w:sz w:val="19"/>
                <w:szCs w:val="19"/>
              </w:rPr>
              <w:t xml:space="preserve">Ph 4</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jc w:val="center"/>
            </w:pPr>
            <w:r>
              <w:rPr>
                <w:rFonts w:ascii="Arial" w:cs="Arial" w:eastAsia="Arial" w:hAnsi="Arial"/>
                <w:b/>
                <w:bCs/>
                <w:color w:val="2F2F2F"/>
                <w:sz w:val="19"/>
                <w:szCs w:val="19"/>
              </w:rPr>
              <w:t xml:space="preserve">Hypotheses per run (approx.)</w:t>
            </w:r>
          </w:p>
        </w:tc>
        <w:tc>
          <w:tcPr>
            <w:tcW w:type="dxa" w:w="14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~320</w:t>
            </w:r>
          </w:p>
        </w:tc>
        <w:tc>
          <w:tcPr>
            <w:tcW w:type="dxa" w:w="14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~300</w:t>
            </w:r>
          </w:p>
        </w:tc>
        <w:tc>
          <w:tcPr>
            <w:tcW w:type="dxa" w:w="144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~600</w:t>
            </w:r>
          </w:p>
        </w:tc>
        <w:tc>
          <w:tcPr>
            <w:tcW w:type="dxa" w:w="1440"/>
            <w:tcBorders>
              <w:top w:val="single" w:color="CCCCCC" w:sz="1"/>
              <w:left w:val="single" w:color="CCCCCC" w:sz="1"/>
              <w:bottom w:val="single" w:color="CCCCCC" w:sz="1"/>
              <w:right w:val="single" w:color="CCCCCC" w:sz="1"/>
            </w:tcBorders>
            <w:shd w:fill="E8F5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~12,000</w:t>
            </w:r>
          </w:p>
        </w:tc>
        <w:tc>
          <w:tcPr>
            <w:tcW w:type="dxa" w:w="1440"/>
            <w:tcBorders>
              <w:top w:val="single" w:color="CCCCCC" w:sz="1"/>
              <w:left w:val="single" w:color="CCCCCC" w:sz="1"/>
              <w:bottom w:val="single" w:color="CCCCCC" w:sz="1"/>
              <w:right w:val="single" w:color="CCCCCC" w:sz="1"/>
            </w:tcBorders>
            <w:shd w:fill="E0EAFF"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~50,000+</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jc w:val="center"/>
            </w:pPr>
            <w:r>
              <w:rPr>
                <w:rFonts w:ascii="Arial" w:cs="Arial" w:eastAsia="Arial" w:hAnsi="Arial"/>
                <w:b/>
                <w:bCs/>
                <w:color w:val="2F2F2F"/>
                <w:sz w:val="19"/>
                <w:szCs w:val="19"/>
              </w:rPr>
              <w:t xml:space="preserve">Trigger types active</w:t>
            </w:r>
          </w:p>
        </w:tc>
        <w:tc>
          <w:tcPr>
            <w:tcW w:type="dxa" w:w="14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1 of 6</w:t>
            </w:r>
          </w:p>
        </w:tc>
        <w:tc>
          <w:tcPr>
            <w:tcW w:type="dxa" w:w="14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1 of 6</w:t>
            </w:r>
          </w:p>
        </w:tc>
        <w:tc>
          <w:tcPr>
            <w:tcW w:type="dxa" w:w="144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1 of 6</w:t>
            </w:r>
          </w:p>
        </w:tc>
        <w:tc>
          <w:tcPr>
            <w:tcW w:type="dxa" w:w="1440"/>
            <w:tcBorders>
              <w:top w:val="single" w:color="CCCCCC" w:sz="1"/>
              <w:left w:val="single" w:color="CCCCCC" w:sz="1"/>
              <w:bottom w:val="single" w:color="CCCCCC" w:sz="1"/>
              <w:right w:val="single" w:color="CCCCCC" w:sz="1"/>
            </w:tcBorders>
            <w:shd w:fill="E8F5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5 of 6</w:t>
            </w:r>
          </w:p>
        </w:tc>
        <w:tc>
          <w:tcPr>
            <w:tcW w:type="dxa" w:w="1440"/>
            <w:tcBorders>
              <w:top w:val="single" w:color="CCCCCC" w:sz="1"/>
              <w:left w:val="single" w:color="CCCCCC" w:sz="1"/>
              <w:bottom w:val="single" w:color="CCCCCC" w:sz="1"/>
              <w:right w:val="single" w:color="CCCCCC" w:sz="1"/>
            </w:tcBorders>
            <w:shd w:fill="E0EAFF"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6 of 6</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jc w:val="center"/>
            </w:pPr>
            <w:r>
              <w:rPr>
                <w:rFonts w:ascii="Arial" w:cs="Arial" w:eastAsia="Arial" w:hAnsi="Arial"/>
                <w:b/>
                <w:bCs/>
                <w:color w:val="2F2F2F"/>
                <w:sz w:val="19"/>
                <w:szCs w:val="19"/>
              </w:rPr>
              <w:t xml:space="preserve">Context dimensions active</w:t>
            </w:r>
          </w:p>
        </w:tc>
        <w:tc>
          <w:tcPr>
            <w:tcW w:type="dxa" w:w="14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0</w:t>
            </w:r>
          </w:p>
        </w:tc>
        <w:tc>
          <w:tcPr>
            <w:tcW w:type="dxa" w:w="14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0</w:t>
            </w:r>
          </w:p>
        </w:tc>
        <w:tc>
          <w:tcPr>
            <w:tcW w:type="dxa" w:w="144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0</w:t>
            </w:r>
          </w:p>
        </w:tc>
        <w:tc>
          <w:tcPr>
            <w:tcW w:type="dxa" w:w="1440"/>
            <w:tcBorders>
              <w:top w:val="single" w:color="CCCCCC" w:sz="1"/>
              <w:left w:val="single" w:color="CCCCCC" w:sz="1"/>
              <w:bottom w:val="single" w:color="CCCCCC" w:sz="1"/>
              <w:right w:val="single" w:color="CCCCCC" w:sz="1"/>
            </w:tcBorders>
            <w:shd w:fill="E8F5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2–3</w:t>
            </w:r>
          </w:p>
        </w:tc>
        <w:tc>
          <w:tcPr>
            <w:tcW w:type="dxa" w:w="1440"/>
            <w:tcBorders>
              <w:top w:val="single" w:color="CCCCCC" w:sz="1"/>
              <w:left w:val="single" w:color="CCCCCC" w:sz="1"/>
              <w:bottom w:val="single" w:color="CCCCCC" w:sz="1"/>
              <w:right w:val="single" w:color="CCCCCC" w:sz="1"/>
            </w:tcBorders>
            <w:shd w:fill="E0EAFF"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3+ dynamic</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jc w:val="center"/>
            </w:pPr>
            <w:r>
              <w:rPr>
                <w:rFonts w:ascii="Arial" w:cs="Arial" w:eastAsia="Arial" w:hAnsi="Arial"/>
                <w:b/>
                <w:bCs/>
                <w:color w:val="2F2F2F"/>
                <w:sz w:val="19"/>
                <w:szCs w:val="19"/>
              </w:rPr>
              <w:t xml:space="preserve">Run-to-run evidence compounding</w:t>
            </w:r>
          </w:p>
        </w:tc>
        <w:tc>
          <w:tcPr>
            <w:tcW w:type="dxa" w:w="14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None</w:t>
            </w:r>
          </w:p>
        </w:tc>
        <w:tc>
          <w:tcPr>
            <w:tcW w:type="dxa" w:w="14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None</w:t>
            </w:r>
          </w:p>
        </w:tc>
        <w:tc>
          <w:tcPr>
            <w:tcW w:type="dxa" w:w="144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Full</w:t>
            </w:r>
          </w:p>
        </w:tc>
        <w:tc>
          <w:tcPr>
            <w:tcW w:type="dxa" w:w="1440"/>
            <w:tcBorders>
              <w:top w:val="single" w:color="CCCCCC" w:sz="1"/>
              <w:left w:val="single" w:color="CCCCCC" w:sz="1"/>
              <w:bottom w:val="single" w:color="CCCCCC" w:sz="1"/>
              <w:right w:val="single" w:color="CCCCCC" w:sz="1"/>
            </w:tcBorders>
            <w:shd w:fill="E8F5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Full</w:t>
            </w:r>
          </w:p>
        </w:tc>
        <w:tc>
          <w:tcPr>
            <w:tcW w:type="dxa" w:w="1440"/>
            <w:tcBorders>
              <w:top w:val="single" w:color="CCCCCC" w:sz="1"/>
              <w:left w:val="single" w:color="CCCCCC" w:sz="1"/>
              <w:bottom w:val="single" w:color="CCCCCC" w:sz="1"/>
              <w:right w:val="single" w:color="CCCCCC" w:sz="1"/>
            </w:tcBorders>
            <w:shd w:fill="E0EAFF"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Full</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jc w:val="center"/>
            </w:pPr>
            <w:r>
              <w:rPr>
                <w:rFonts w:ascii="Arial" w:cs="Arial" w:eastAsia="Arial" w:hAnsi="Arial"/>
                <w:b/>
                <w:bCs/>
                <w:color w:val="2F2F2F"/>
                <w:sz w:val="19"/>
                <w:szCs w:val="19"/>
              </w:rPr>
              <w:t xml:space="preserve">Failure blocking — cause-aware</w:t>
            </w:r>
          </w:p>
        </w:tc>
        <w:tc>
          <w:tcPr>
            <w:tcW w:type="dxa" w:w="14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Yes</w:t>
            </w:r>
          </w:p>
        </w:tc>
        <w:tc>
          <w:tcPr>
            <w:tcW w:type="dxa" w:w="144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Yes</w:t>
            </w:r>
          </w:p>
        </w:tc>
        <w:tc>
          <w:tcPr>
            <w:tcW w:type="dxa" w:w="1440"/>
            <w:tcBorders>
              <w:top w:val="single" w:color="CCCCCC" w:sz="1"/>
              <w:left w:val="single" w:color="CCCCCC" w:sz="1"/>
              <w:bottom w:val="single" w:color="CCCCCC" w:sz="1"/>
              <w:right w:val="single" w:color="CCCCCC" w:sz="1"/>
            </w:tcBorders>
            <w:shd w:fill="E8F5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Yes</w:t>
            </w:r>
          </w:p>
        </w:tc>
        <w:tc>
          <w:tcPr>
            <w:tcW w:type="dxa" w:w="1440"/>
            <w:tcBorders>
              <w:top w:val="single" w:color="CCCCCC" w:sz="1"/>
              <w:left w:val="single" w:color="CCCCCC" w:sz="1"/>
              <w:bottom w:val="single" w:color="CCCCCC" w:sz="1"/>
              <w:right w:val="single" w:color="CCCCCC" w:sz="1"/>
            </w:tcBorders>
            <w:shd w:fill="E0EAFF"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Yes</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jc w:val="center"/>
            </w:pPr>
            <w:r>
              <w:rPr>
                <w:rFonts w:ascii="Arial" w:cs="Arial" w:eastAsia="Arial" w:hAnsi="Arial"/>
                <w:b/>
                <w:bCs/>
                <w:color w:val="2F2F2F"/>
                <w:sz w:val="19"/>
                <w:szCs w:val="19"/>
              </w:rPr>
              <w:t xml:space="preserve">OOS required for promotion</w:t>
            </w:r>
          </w:p>
        </w:tc>
        <w:tc>
          <w:tcPr>
            <w:tcW w:type="dxa" w:w="14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Partial</w:t>
            </w:r>
          </w:p>
        </w:tc>
        <w:tc>
          <w:tcPr>
            <w:tcW w:type="dxa" w:w="14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Enforced</w:t>
            </w:r>
          </w:p>
        </w:tc>
        <w:tc>
          <w:tcPr>
            <w:tcW w:type="dxa" w:w="144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Enforced</w:t>
            </w:r>
          </w:p>
        </w:tc>
        <w:tc>
          <w:tcPr>
            <w:tcW w:type="dxa" w:w="1440"/>
            <w:tcBorders>
              <w:top w:val="single" w:color="CCCCCC" w:sz="1"/>
              <w:left w:val="single" w:color="CCCCCC" w:sz="1"/>
              <w:bottom w:val="single" w:color="CCCCCC" w:sz="1"/>
              <w:right w:val="single" w:color="CCCCCC" w:sz="1"/>
            </w:tcBorders>
            <w:shd w:fill="E8F5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Enforced</w:t>
            </w:r>
          </w:p>
        </w:tc>
        <w:tc>
          <w:tcPr>
            <w:tcW w:type="dxa" w:w="1440"/>
            <w:tcBorders>
              <w:top w:val="single" w:color="CCCCCC" w:sz="1"/>
              <w:left w:val="single" w:color="CCCCCC" w:sz="1"/>
              <w:bottom w:val="single" w:color="CCCCCC" w:sz="1"/>
              <w:right w:val="single" w:color="CCCCCC" w:sz="1"/>
            </w:tcBorders>
            <w:shd w:fill="E0EAFF"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Enforced</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jc w:val="center"/>
            </w:pPr>
            <w:r>
              <w:rPr>
                <w:rFonts w:ascii="Arial" w:cs="Arial" w:eastAsia="Arial" w:hAnsi="Arial"/>
                <w:b/>
                <w:bCs/>
                <w:color w:val="2F2F2F"/>
                <w:sz w:val="19"/>
                <w:szCs w:val="19"/>
              </w:rPr>
              <w:t xml:space="preserve">Template pairings — validated</w:t>
            </w:r>
          </w:p>
        </w:tc>
        <w:tc>
          <w:tcPr>
            <w:tcW w:type="dxa" w:w="14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Yes</w:t>
            </w:r>
          </w:p>
        </w:tc>
        <w:tc>
          <w:tcPr>
            <w:tcW w:type="dxa" w:w="144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Yes</w:t>
            </w:r>
          </w:p>
        </w:tc>
        <w:tc>
          <w:tcPr>
            <w:tcW w:type="dxa" w:w="1440"/>
            <w:tcBorders>
              <w:top w:val="single" w:color="CCCCCC" w:sz="1"/>
              <w:left w:val="single" w:color="CCCCCC" w:sz="1"/>
              <w:bottom w:val="single" w:color="CCCCCC" w:sz="1"/>
              <w:right w:val="single" w:color="CCCCCC" w:sz="1"/>
            </w:tcBorders>
            <w:shd w:fill="E8F5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Yes</w:t>
            </w:r>
          </w:p>
        </w:tc>
        <w:tc>
          <w:tcPr>
            <w:tcW w:type="dxa" w:w="1440"/>
            <w:tcBorders>
              <w:top w:val="single" w:color="CCCCCC" w:sz="1"/>
              <w:left w:val="single" w:color="CCCCCC" w:sz="1"/>
              <w:bottom w:val="single" w:color="CCCCCC" w:sz="1"/>
              <w:right w:val="single" w:color="CCCCCC" w:sz="1"/>
            </w:tcBorders>
            <w:shd w:fill="E0EAFF"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Yes</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jc w:val="center"/>
            </w:pPr>
            <w:r>
              <w:rPr>
                <w:rFonts w:ascii="Arial" w:cs="Arial" w:eastAsia="Arial" w:hAnsi="Arial"/>
                <w:b/>
                <w:bCs/>
                <w:color w:val="2F2F2F"/>
                <w:sz w:val="19"/>
                <w:szCs w:val="19"/>
              </w:rPr>
              <w:t xml:space="preserve">Quality-weighted frontier ordering</w:t>
            </w:r>
          </w:p>
        </w:tc>
        <w:tc>
          <w:tcPr>
            <w:tcW w:type="dxa" w:w="14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Yes</w:t>
            </w:r>
          </w:p>
        </w:tc>
        <w:tc>
          <w:tcPr>
            <w:tcW w:type="dxa" w:w="1440"/>
            <w:tcBorders>
              <w:top w:val="single" w:color="CCCCCC" w:sz="1"/>
              <w:left w:val="single" w:color="CCCCCC" w:sz="1"/>
              <w:bottom w:val="single" w:color="CCCCCC" w:sz="1"/>
              <w:right w:val="single" w:color="CCCCCC" w:sz="1"/>
            </w:tcBorders>
            <w:shd w:fill="E8F5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Yes</w:t>
            </w:r>
          </w:p>
        </w:tc>
        <w:tc>
          <w:tcPr>
            <w:tcW w:type="dxa" w:w="1440"/>
            <w:tcBorders>
              <w:top w:val="single" w:color="CCCCCC" w:sz="1"/>
              <w:left w:val="single" w:color="CCCCCC" w:sz="1"/>
              <w:bottom w:val="single" w:color="CCCCCC" w:sz="1"/>
              <w:right w:val="single" w:color="CCCCCC" w:sz="1"/>
            </w:tcBorders>
            <w:shd w:fill="E0EAFF"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Yes</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jc w:val="center"/>
            </w:pPr>
            <w:r>
              <w:rPr>
                <w:rFonts w:ascii="Arial" w:cs="Arial" w:eastAsia="Arial" w:hAnsi="Arial"/>
                <w:b/>
                <w:bCs/>
                <w:color w:val="2F2F2F"/>
                <w:sz w:val="19"/>
                <w:szCs w:val="19"/>
              </w:rPr>
              <w:t xml:space="preserve">Per-regime signals surfaced</w:t>
            </w:r>
          </w:p>
        </w:tc>
        <w:tc>
          <w:tcPr>
            <w:tcW w:type="dxa" w:w="14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E8F5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Partial</w:t>
            </w:r>
          </w:p>
        </w:tc>
        <w:tc>
          <w:tcPr>
            <w:tcW w:type="dxa" w:w="1440"/>
            <w:tcBorders>
              <w:top w:val="single" w:color="CCCCCC" w:sz="1"/>
              <w:left w:val="single" w:color="CCCCCC" w:sz="1"/>
              <w:bottom w:val="single" w:color="CCCCCC" w:sz="1"/>
              <w:right w:val="single" w:color="CCCCCC" w:sz="1"/>
            </w:tcBorders>
            <w:shd w:fill="E0EAFF"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Full</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jc w:val="center"/>
            </w:pPr>
            <w:r>
              <w:rPr>
                <w:rFonts w:ascii="Arial" w:cs="Arial" w:eastAsia="Arial" w:hAnsi="Arial"/>
                <w:b/>
                <w:bCs/>
                <w:color w:val="2F2F2F"/>
                <w:sz w:val="19"/>
                <w:szCs w:val="19"/>
              </w:rPr>
              <w:t xml:space="preserve">Data-driven predicate generation</w:t>
            </w:r>
          </w:p>
        </w:tc>
        <w:tc>
          <w:tcPr>
            <w:tcW w:type="dxa" w:w="14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E8F5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E0EAFF"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Yes</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before="0" w:after="0"/>
              <w:jc w:val="center"/>
            </w:pPr>
            <w:r>
              <w:rPr>
                <w:rFonts w:ascii="Arial" w:cs="Arial" w:eastAsia="Arial" w:hAnsi="Arial"/>
                <w:b/>
                <w:bCs/>
                <w:color w:val="2F2F2F"/>
                <w:sz w:val="19"/>
                <w:szCs w:val="19"/>
              </w:rPr>
              <w:t xml:space="preserve">Portfolio-aware sizing at promotion</w:t>
            </w:r>
          </w:p>
        </w:tc>
        <w:tc>
          <w:tcPr>
            <w:tcW w:type="dxa" w:w="14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E8F5E0"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No</w:t>
            </w:r>
          </w:p>
        </w:tc>
        <w:tc>
          <w:tcPr>
            <w:tcW w:type="dxa" w:w="1440"/>
            <w:tcBorders>
              <w:top w:val="single" w:color="CCCCCC" w:sz="1"/>
              <w:left w:val="single" w:color="CCCCCC" w:sz="1"/>
              <w:bottom w:val="single" w:color="CCCCCC" w:sz="1"/>
              <w:right w:val="single" w:color="CCCCCC" w:sz="1"/>
            </w:tcBorders>
            <w:shd w:fill="E0EAFF" w:val="clear"/>
            <w:tcMar>
              <w:top w:type="dxa" w:w="60"/>
              <w:left w:type="dxa" w:w="100"/>
              <w:bottom w:type="dxa" w:w="60"/>
              <w:right w:type="dxa" w:w="100"/>
            </w:tcMar>
          </w:tcPr>
          <w:p>
            <w:pPr>
              <w:spacing w:before="0" w:after="0"/>
              <w:jc w:val="center"/>
            </w:pPr>
            <w:r>
              <w:rPr>
                <w:rFonts w:ascii="Arial" w:cs="Arial" w:eastAsia="Arial" w:hAnsi="Arial"/>
                <w:b w:val="false"/>
                <w:bCs w:val="false"/>
                <w:color w:val="2F2F2F"/>
                <w:sz w:val="19"/>
                <w:szCs w:val="19"/>
              </w:rPr>
              <w:t xml:space="preserve">Yes</w:t>
            </w:r>
          </w:p>
        </w:tc>
      </w:tr>
    </w:tbl>
    <w:p>
      <w:pPr>
        <w:spacing w:before="0" w:after="160"/>
      </w:pPr>
    </w:p>
    <w:p>
      <w:pPr>
        <w:spacing w:before="80" w:after="100"/>
        <w:jc w:val="left"/>
      </w:pPr>
      <w:r>
        <w:rPr>
          <w:rFonts w:ascii="Arial" w:cs="Arial" w:eastAsia="Arial" w:hAnsi="Arial"/>
          <w:color w:val="2F2F2F"/>
          <w:sz w:val="22"/>
          <w:szCs w:val="22"/>
        </w:rPr>
        <w:t xml:space="preserve">Phase 1 metrics are verifiable by unit test — the registry consistency test passes, entry lag validation rejects lag=0 proposals, failure records carry confidence fields, and the promotion gate correctly classifies candidates without OOS evidence. Phase 2 metrics are verifiable by inspection of campaign artefacts — belief_state.json should reflect prior run outcomes, and proposals should reference prior recommendations rather than being independent of them. Phase 3 and 4 metrics are verifiable by observing hypothesis counts, trigger type distribution, and promotion audit outputs across campaign runs.</w:t>
      </w:r>
    </w:p>
    <w:p>
      <w:pPr>
        <w:spacing w:before="0" w:after="80"/>
      </w:pPr>
    </w:p>
    <w:p>
      <w:pPr>
        <w:pBdr>
          <w:bottom w:val="single" w:color="D9D9D9" w:sz="3" w:space="1"/>
        </w:pBdr>
        <w:spacing w:before="60" w:after="60"/>
      </w:pPr>
    </w:p>
    <w:p>
      <w:pPr>
        <w:spacing w:before="0" w:after="80"/>
      </w:pPr>
    </w:p>
    <w:p>
      <w:r>
        <w:br w:type="page"/>
      </w:r>
    </w:p>
    <w:p>
      <w:pPr>
        <w:pStyle w:val="Heading1"/>
        <w:pBdr>
          <w:bottom w:val="single" w:color="1F3864" w:sz="6" w:space="4"/>
        </w:pBdr>
        <w:spacing w:before="400" w:after="160"/>
      </w:pPr>
      <w:r>
        <w:rPr>
          <w:rFonts w:ascii="Arial" w:cs="Arial" w:eastAsia="Arial" w:hAnsi="Arial"/>
          <w:b/>
          <w:bCs/>
          <w:color w:val="1F3864"/>
          <w:sz w:val="36"/>
          <w:szCs w:val="36"/>
        </w:rPr>
        <w:t xml:space="preserve">What Must Not Change</w:t>
      </w:r>
    </w:p>
    <w:p>
      <w:pPr>
        <w:spacing w:before="80" w:after="100"/>
        <w:jc w:val="left"/>
      </w:pPr>
      <w:r>
        <w:rPr>
          <w:rFonts w:ascii="Arial" w:cs="Arial" w:eastAsia="Arial" w:hAnsi="Arial"/>
          <w:color w:val="2F2F2F"/>
          <w:sz w:val="22"/>
          <w:szCs w:val="22"/>
        </w:rPr>
        <w:t xml:space="preserve">Four constraints are sometimes proposed as candidates for relaxation. All four are load-bearing correctness invariants. Relaxing them would produce a system that runs faster but produces wrong results. The justification for each is given below so that this decision is explicit rather than implicit.</w:t>
      </w:r>
    </w:p>
    <w:p>
      <w:pPr>
        <w:spacing w:before="0" w:after="120"/>
      </w:pPr>
    </w:p>
    <w:p>
      <w:pPr>
        <w:pStyle w:val="Heading3"/>
        <w:spacing w:before="200" w:after="80"/>
      </w:pPr>
      <w:r>
        <w:rPr>
          <w:rFonts w:ascii="Arial" w:cs="Arial" w:eastAsia="Arial" w:hAnsi="Arial"/>
          <w:b/>
          <w:bCs/>
          <w:color w:val="44546A"/>
          <w:sz w:val="24"/>
          <w:szCs w:val="24"/>
        </w:rPr>
        <w:t xml:space="preserve">The nine canonical event families</w:t>
      </w:r>
    </w:p>
    <w:p>
      <w:pPr>
        <w:spacing w:before="80" w:after="100"/>
        <w:jc w:val="left"/>
      </w:pPr>
      <w:r>
        <w:rPr>
          <w:rFonts w:ascii="Arial" w:cs="Arial" w:eastAsia="Arial" w:hAnsi="Arial"/>
          <w:color w:val="2F2F2F"/>
          <w:sz w:val="22"/>
          <w:szCs w:val="22"/>
        </w:rPr>
        <w:t xml:space="preserve">The direction_semantics module's resolve_effect_sign() function depends on template_verb membership in typed sets that map to family semantics. The function determines whether a hypothesis should be evaluated long or short based on the event's directional character and the template's expected trade shape. Allowing undefined 'hybrid' or 'unknown' family membership breaks this chain, producing hypotheses with indeterminate direction — which means indeterminate returns, which means invalid evaluation metrics. The correct response to discovering edges that genuinely do not fit the current ontology is to define a new family properly, with explicit template eligibility and direction semantics, not to introduce a category with undefined behaviour.</w:t>
      </w:r>
    </w:p>
    <w:p>
      <w:pPr>
        <w:spacing w:before="0" w:after="80"/>
      </w:pPr>
    </w:p>
    <w:p>
      <w:pPr>
        <w:pStyle w:val="Heading3"/>
        <w:spacing w:before="200" w:after="80"/>
      </w:pPr>
      <w:r>
        <w:rPr>
          <w:rFonts w:ascii="Arial" w:cs="Arial" w:eastAsia="Arial" w:hAnsi="Arial"/>
          <w:b/>
          <w:bCs/>
          <w:color w:val="44546A"/>
          <w:sz w:val="24"/>
          <w:szCs w:val="24"/>
        </w:rPr>
        <w:t xml:space="preserve">The fully specified hypothesis requirement</w:t>
      </w:r>
    </w:p>
    <w:p>
      <w:pPr>
        <w:spacing w:before="80" w:after="100"/>
        <w:jc w:val="left"/>
      </w:pPr>
      <w:r>
        <w:rPr>
          <w:rFonts w:ascii="Arial" w:cs="Arial" w:eastAsia="Arial" w:hAnsi="Arial"/>
          <w:color w:val="2F2F2F"/>
          <w:sz w:val="22"/>
          <w:szCs w:val="22"/>
        </w:rPr>
        <w:t xml:space="preserve">The region_key() hash in schemas.py is computed from the full hypothesis tuple: symbol, event, trigger type, template, direction, horizon, entry lag, and context hash. This hash is the primary key for memory deduplication, FDR family definition, and tested-region tracking. Without it, Benjamini-Hochberg multiplicity correction in bh_adjust() cannot define the test family across runs — the statistical guarantee the system provides for q-values is only valid if the family is consistently defined. The correct response to wanting pre-hypothesis discovery is to add an upstream MI scan layer (Phase 4.1) that generates fully specified hypotheses from data signals. Weakening the specification contract would invalidate every q-value the system has ever produced.</w:t>
      </w:r>
    </w:p>
    <w:p>
      <w:pPr>
        <w:spacing w:before="0" w:after="80"/>
      </w:pPr>
    </w:p>
    <w:p>
      <w:pPr>
        <w:pStyle w:val="Heading3"/>
        <w:spacing w:before="200" w:after="80"/>
      </w:pPr>
      <w:r>
        <w:rPr>
          <w:rFonts w:ascii="Arial" w:cs="Arial" w:eastAsia="Arial" w:hAnsi="Arial"/>
          <w:b/>
          <w:bCs/>
          <w:color w:val="44546A"/>
          <w:sz w:val="24"/>
          <w:szCs w:val="24"/>
        </w:rPr>
        <w:t xml:space="preserve">The entry_lag_bars &gt;= 1 constraint</w:t>
      </w:r>
    </w:p>
    <w:p>
      <w:pPr>
        <w:spacing w:before="80" w:after="100"/>
        <w:jc w:val="left"/>
      </w:pPr>
      <w:r>
        <w:rPr>
          <w:rFonts w:ascii="Arial" w:cs="Arial" w:eastAsia="Arial" w:hAnsi="Arial"/>
          <w:color w:val="2F2F2F"/>
          <w:sz w:val="22"/>
          <w:szCs w:val="22"/>
        </w:rPr>
        <w:t xml:space="preserve">Same-bar entry produces a forward-looking return: the entry price is known at the same bar as the signal, but the price movement being predicted has already been incorporated into that bar's close. The constraint is enforced at two points in gating.py — both correctly. Phase 1.2 moves this enforcement to plan-build time so that invalid proposals are rejected before consuming pipeline compute. The constraint is not being tightened; it is being enforced earlier.</w:t>
      </w:r>
    </w:p>
    <w:p>
      <w:pPr>
        <w:spacing w:before="0" w:after="80"/>
      </w:pPr>
    </w:p>
    <w:p>
      <w:pPr>
        <w:pStyle w:val="Heading3"/>
        <w:spacing w:before="200" w:after="80"/>
      </w:pPr>
      <w:r>
        <w:rPr>
          <w:rFonts w:ascii="Arial" w:cs="Arial" w:eastAsia="Arial" w:hAnsi="Arial"/>
          <w:b/>
          <w:bCs/>
          <w:color w:val="44546A"/>
          <w:sz w:val="24"/>
          <w:szCs w:val="24"/>
        </w:rPr>
        <w:t xml:space="preserve">The narrow-before-broad research discipline</w:t>
      </w:r>
    </w:p>
    <w:p>
      <w:pPr>
        <w:spacing w:before="80" w:after="100"/>
        <w:jc w:val="left"/>
      </w:pPr>
      <w:r>
        <w:rPr>
          <w:rFonts w:ascii="Arial" w:cs="Arial" w:eastAsia="Arial" w:hAnsi="Arial"/>
          <w:color w:val="2F2F2F"/>
          <w:sz w:val="22"/>
          <w:szCs w:val="22"/>
        </w:rPr>
        <w:t xml:space="preserve">The purpose of requiring narrow attribution before broadening is not to constrain exploration — it is to ensure that results remain interpretable. A broad run that fails is ambiguous: it might reflect a genuine absence of edge, or it might reflect that a subset of the hypotheses were mechanically broken and contaminated the result. The correct response to wanting broader discovery is Phase 3's trigger type expansion and Phase 2.3's explore mode, both of which provide broad scans with defined attribution properties. The discipline that makes EDGE's results trustworthy is not a limitation to overcome — it is the mechanism by which the system distinguishes real alpha from noise.</w:t>
      </w:r>
    </w:p>
    <w:p>
      <w:pPr>
        <w:spacing w:before="0" w:after="80"/>
      </w:pPr>
    </w:p>
    <w:p>
      <w:pPr>
        <w:pBdr>
          <w:bottom w:val="single" w:color="D9D9D9" w:sz="3" w:space="1"/>
        </w:pBdr>
        <w:spacing w:before="60" w:after="60"/>
      </w:pPr>
    </w:p>
    <w:p>
      <w:pPr>
        <w:spacing w:before="0" w:after="80"/>
      </w:pPr>
    </w:p>
    <w:p>
      <w:r>
        <w:br w:type="page"/>
      </w:r>
    </w:p>
    <w:p>
      <w:pPr>
        <w:pStyle w:val="Heading1"/>
        <w:pBdr>
          <w:bottom w:val="single" w:color="1F3864" w:sz="6" w:space="4"/>
        </w:pBdr>
        <w:spacing w:before="400" w:after="160"/>
      </w:pPr>
      <w:r>
        <w:rPr>
          <w:rFonts w:ascii="Arial" w:cs="Arial" w:eastAsia="Arial" w:hAnsi="Arial"/>
          <w:b/>
          <w:bCs/>
          <w:color w:val="1F3864"/>
          <w:sz w:val="36"/>
          <w:szCs w:val="36"/>
        </w:rPr>
        <w:t xml:space="preserve">Implementation Timeline and Dependencies</w:t>
      </w:r>
    </w:p>
    <w:p>
      <w:pPr>
        <w:spacing w:before="80" w:after="100"/>
        <w:jc w:val="left"/>
      </w:pPr>
      <w:r>
        <w:rPr>
          <w:rFonts w:ascii="Arial" w:cs="Arial" w:eastAsia="Arial" w:hAnsi="Arial"/>
          <w:color w:val="2F2F2F"/>
          <w:sz w:val="22"/>
          <w:szCs w:val="22"/>
        </w:rPr>
        <w:t xml:space="preserve">The dependency structure of the four phases is strict: Phase 1 must be complete before Phase 2, and Phase 2 before Phase 3. Phase 4 items are each independent of each other but require Phase 3 to be active. Within phases, most items are parallelisable — Phase 1's four items can be worked simultaneously by different engineers.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2160"/>
        <w:gridCol w:w="22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9"/>
                <w:szCs w:val="19"/>
              </w:rPr>
              <w:t xml:space="preserve">Phase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9"/>
                <w:szCs w:val="19"/>
              </w:rPr>
              <w:t xml:space="preserve">Focus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9"/>
                <w:szCs w:val="19"/>
              </w:rPr>
              <w:t xml:space="preserve">Estimated Effort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9"/>
                <w:szCs w:val="19"/>
              </w:rPr>
              <w:t xml:space="preserve">Hard Dependencies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9"/>
                <w:szCs w:val="19"/>
              </w:rPr>
              <w:t xml:space="preserve">Verification Method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Phase 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Correctness — 4 items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2–4 days total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None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Unit tests; CI passes; zero silent eval failures in campaign run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Intelligence — 4 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3–5 days total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Phase 1 complete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belief_state reflects prior runs; proposals reference prior recommendations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Phase 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Discovery surface — 5 items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4–6 days total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Phase 2 complete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Trigger type distribution in campaign output; hypothesis count &gt;1,000 per run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Phase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Alpha depth — 4 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5–8 days total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Phase 3 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2F2F2F"/>
                <w:sz w:val="19"/>
                <w:szCs w:val="19"/>
              </w:rPr>
              <w:t xml:space="preserve">MI scan artefact present; regime conditional candidates written; AllocationSpec has sizing inputs</w:t>
            </w:r>
          </w:p>
        </w:tc>
      </w:tr>
    </w:tbl>
    <w:p>
      <w:pPr>
        <w:spacing w:before="0" w:after="160"/>
      </w:pPr>
    </w:p>
    <w:p>
      <w:pPr>
        <w:spacing w:before="80" w:after="100"/>
        <w:jc w:val="left"/>
      </w:pPr>
      <w:r>
        <w:rPr>
          <w:rFonts w:ascii="Arial" w:cs="Arial" w:eastAsia="Arial" w:hAnsi="Arial"/>
          <w:color w:val="2F2F2F"/>
          <w:sz w:val="22"/>
          <w:szCs w:val="22"/>
        </w:rPr>
        <w:t xml:space="preserve">The total estimated implementation effort across all seventeen items is twelve to twenty-three developer days. The wide range reflects uncertainty in the Phase 4 items, where the scope of the MI scan integration and the AllocationSpec portfolio wiring depends on the exact state of surrounding infrastructure at the time of implementation. Phase 1 and Phase 2 effort estimates are tight because every component they need to read already exists and is correctly populated.</w:t>
      </w:r>
    </w:p>
    <w:p>
      <w:pPr>
        <w:spacing w:before="0" w:after="80"/>
      </w:pPr>
    </w:p>
    <w:p>
      <w:pPr>
        <w:spacing w:before="80" w:after="100"/>
        <w:jc w:val="left"/>
      </w:pPr>
      <w:r>
        <w:rPr>
          <w:rFonts w:ascii="Arial" w:cs="Arial" w:eastAsia="Arial" w:hAnsi="Arial"/>
          <w:color w:val="2F2F2F"/>
          <w:sz w:val="22"/>
          <w:szCs w:val="22"/>
        </w:rPr>
        <w:t xml:space="preserve">A critical path observation: Phase 2 item 2.1 — the rewrite of _propose_next_request() — is the single highest-leverage change in the entire plan. It is also the change most likely to surface latent issues in memory artefact formatting, since it is the first time the campaign controller will actively consume what the memory system writes. Allocating additional testing time around this item is well-justified.</w:t>
      </w:r>
    </w:p>
    <w:p>
      <w:pPr>
        <w:spacing w:before="0" w:after="80"/>
      </w:pPr>
    </w:p>
    <w:p>
      <w:pPr>
        <w:pBdr>
          <w:bottom w:val="single" w:color="D9D9D9" w:sz="3" w:space="1"/>
        </w:pBdr>
        <w:spacing w:before="60" w:after="60"/>
      </w:pPr>
    </w:p>
    <w:p>
      <w:pPr>
        <w:spacing w:before="0" w:after="80"/>
      </w:pPr>
    </w:p>
    <w:p>
      <w:r>
        <w:br w:type="page"/>
      </w:r>
    </w:p>
    <w:p>
      <w:pPr>
        <w:pStyle w:val="Heading1"/>
        <w:pBdr>
          <w:bottom w:val="single" w:color="1F3864" w:sz="6" w:space="4"/>
        </w:pBdr>
        <w:spacing w:before="400" w:after="160"/>
      </w:pPr>
      <w:r>
        <w:rPr>
          <w:rFonts w:ascii="Arial" w:cs="Arial" w:eastAsia="Arial" w:hAnsi="Arial"/>
          <w:b/>
          <w:bCs/>
          <w:color w:val="1F3864"/>
          <w:sz w:val="36"/>
          <w:szCs w:val="36"/>
        </w:rPr>
        <w:t xml:space="preserve">The End Vision in One Statement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F3864" w:val="clear"/>
            <w:tcMar>
              <w:top w:type="dxa" w:w="0"/>
              <w:left w:type="dxa" w:w="0"/>
              <w:bottom w:type="dxa" w:w="0"/>
              <w:right w:type="dxa" w:w="0"/>
            </w:tcMar>
          </w:tcPr>
          <w:p>
            <w:pPr>
              <w:spacing w:before="0" w:after="0"/>
            </w:pPr>
          </w:p>
        </w:tc>
        <w:tc>
          <w:tcPr>
            <w:tcW w:type="dxa" w:w="9120"/>
            <w:tcBorders>
              <w:top w:val="none" w:color="FFFFFF" w:sz="0"/>
              <w:left w:val="single" w:color="1F3864" w:sz="12"/>
              <w:bottom w:val="none" w:color="FFFFFF" w:sz="0"/>
              <w:right w:val="none" w:color="FFFFFF" w:sz="0"/>
            </w:tcBorders>
            <w:shd w:fill="F5F5F5" w:val="clear"/>
            <w:tcMar>
              <w:top w:type="dxa" w:w="120"/>
              <w:left w:type="dxa" w:w="240"/>
              <w:bottom w:type="dxa" w:w="120"/>
              <w:right w:type="dxa" w:w="240"/>
            </w:tcMar>
          </w:tcPr>
          <w:p>
            <w:pPr>
              <w:spacing w:before="0" w:after="0"/>
            </w:pPr>
            <w:r>
              <w:rPr>
                <w:rFonts w:ascii="Arial" w:cs="Arial" w:eastAsia="Arial" w:hAnsi="Arial"/>
                <w:i/>
                <w:iCs/>
                <w:color w:val="2F2F2F"/>
                <w:sz w:val="22"/>
                <w:szCs w:val="22"/>
              </w:rPr>
              <w:t xml:space="preserve">EDGE becomes a system that reasons about its own evidence — generating hypotheses from data structure, searching across the full space of implemented trigger types and regime conditions, learning from every run, and delivering confirmed alpha directly to the live runner with portfolio-aware sizing parameters. That system exists component by component today. The work is seventeen integration tasks.</w:t>
            </w:r>
          </w:p>
        </w:tc>
      </w:tr>
    </w:tbl>
    <w:p>
      <w:pPr>
        <w:spacing w:before="0" w:after="160"/>
      </w:pPr>
    </w:p>
    <w:p>
      <w:pPr>
        <w:spacing w:before="80" w:after="100"/>
        <w:jc w:val="left"/>
      </w:pPr>
      <w:r>
        <w:rPr>
          <w:rFonts w:ascii="Arial" w:cs="Arial" w:eastAsia="Arial" w:hAnsi="Arial"/>
          <w:color w:val="2F2F2F"/>
          <w:sz w:val="22"/>
          <w:szCs w:val="22"/>
        </w:rPr>
        <w:t xml:space="preserve">When all four phases are complete, a researcher running a new campaign does not need to specify which events to test, which templates to pair them with, or which regime conditions to condition on. The system determines what to search next from its own accumulated evidence. The researcher's role shifts from specifying experiments to reviewing and validating what the system discovers — the work that requires genuine market expertise, rather than the mechanical work of navigating a static search space.</w:t>
      </w:r>
    </w:p>
    <w:p>
      <w:pPr>
        <w:spacing w:before="0" w:after="80"/>
      </w:pPr>
    </w:p>
    <w:p>
      <w:pPr>
        <w:spacing w:before="80" w:after="100"/>
        <w:jc w:val="left"/>
      </w:pPr>
      <w:r>
        <w:rPr>
          <w:rFonts w:ascii="Arial" w:cs="Arial" w:eastAsia="Arial" w:hAnsi="Arial"/>
          <w:color w:val="2F2F2F"/>
          <w:sz w:val="22"/>
          <w:szCs w:val="22"/>
        </w:rPr>
        <w:t xml:space="preserve">The system also becomes self-calibrating in promotion. A strategy that only survives under a four-way context conjunction receives a lower stability score than an equivalent unconditional strategy. A strategy whose alpha is substantially already represented in the existing promoted set receives reduced capital allocation. A strategy with genuine regime-specific alpha that would have been discarded as 'weak signal' is now surfaced from the per-regime evaluation output and given a targeted confirmatory run in the specific conditions where it works.</w:t>
      </w:r>
    </w:p>
    <w:p>
      <w:pPr>
        <w:spacing w:before="0" w:after="80"/>
      </w:pPr>
    </w:p>
    <w:p>
      <w:pPr>
        <w:spacing w:before="80" w:after="100"/>
        <w:jc w:val="left"/>
      </w:pPr>
      <w:r>
        <w:rPr>
          <w:rFonts w:ascii="Arial" w:cs="Arial" w:eastAsia="Arial" w:hAnsi="Arial"/>
          <w:color w:val="2F2F2F"/>
          <w:sz w:val="22"/>
          <w:szCs w:val="22"/>
        </w:rPr>
        <w:t xml:space="preserve">The quality of what reaches the live runner improves not because the promotion gate becomes stricter, but because the research process that feeds it becomes more systematic about finding the right candidates and more honest about the conditions under which each candidate works.</w:t>
      </w:r>
    </w:p>
    <w:p>
      <w:pPr>
        <w:spacing w:before="0" w:after="160"/>
      </w:pPr>
    </w:p>
    <w:p>
      <w:pPr>
        <w:pBdr>
          <w:bottom w:val="single" w:color="1F3864" w:sz="3" w:space="1"/>
        </w:pBdr>
        <w:spacing w:before="60" w:after="60"/>
      </w:pPr>
    </w:p>
    <w:p>
      <w:pPr>
        <w:spacing w:before="0" w:after="80"/>
      </w:pPr>
    </w:p>
    <w:p>
      <w:pPr>
        <w:spacing w:before="0" w:after="40"/>
        <w:jc w:val="center"/>
      </w:pPr>
      <w:r>
        <w:rPr>
          <w:rFonts w:ascii="Arial" w:cs="Arial" w:eastAsia="Arial" w:hAnsi="Arial"/>
          <w:color w:val="595959"/>
          <w:sz w:val="18"/>
          <w:szCs w:val="18"/>
        </w:rPr>
        <w:t xml:space="preserve">EDGE Future Vision Plan  ·  17 items across 4 phases  ·  March 2026</w:t>
      </w:r>
    </w:p>
    <w:p>
      <w:pPr>
        <w:spacing w:before="0" w:after="0"/>
        <w:jc w:val="center"/>
      </w:pPr>
      <w:r>
        <w:rPr>
          <w:rFonts w:ascii="Arial" w:cs="Arial" w:eastAsia="Arial" w:hAnsi="Arial"/>
          <w:i/>
          <w:iCs/>
          <w:color w:val="595959"/>
          <w:sz w:val="18"/>
          <w:szCs w:val="18"/>
        </w:rPr>
        <w:t xml:space="preserve">Based on complete analysis of 1,117 Python source files, all documentation, and all specifications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2026-03-22T10:11:51.917Z</dcterms:created>
  <dcterms:modified xsi:type="dcterms:W3CDTF">2026-03-22T10:11:51.917Z</dcterms:modified>
</cp:coreProperties>
</file>

<file path=docProps/custom.xml><?xml version="1.0" encoding="utf-8"?>
<Properties xmlns="http://schemas.openxmlformats.org/officeDocument/2006/custom-properties" xmlns:vt="http://schemas.openxmlformats.org/officeDocument/2006/docPropsVTypes"/>
</file>