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Essay 1 Appendix — Canonical V3 Tables</w:t>
      </w:r>
    </w:p>
    <w:p>
      <w:r>
        <w:rPr>
          <w:sz w:val="18"/>
        </w:rPr>
        <w:t>All values regenerate from run_all.py (Canonical V3 chain, scripts 150–159) and assert against outputs/rebuild/constants_v3.json. Generated by scripts/160.</w:t>
      </w:r>
    </w:p>
    <w:p>
      <w:r>
        <w:rPr>
          <w:sz w:val="18"/>
        </w:rPr>
        <w:t>Sample definitions (name-your-sample rule): FULL = 489 verified breach events (116 treated / 13 parent CIKs); CRSP = 354 events with market data (109 treated / 12 parent CIKs); REGRESSION = 339 events with complete covariates (105 treated / 11 parent CIKs, 38 treated organizations at the full-sample level). Immediate-disclosure share: 32.9% full / 36.7% CRSP / 36.6% regression.</w:t>
      </w:r>
    </w:p>
    <w:p>
      <w:pPr>
        <w:pStyle w:val="Heading2"/>
      </w:pPr>
      <w:r>
        <w:t>Table 1. Summary Statistics (CRSP Sample)</w:t>
      </w:r>
    </w:p>
    <w:p>
      <w:r>
        <w:rPr>
          <w:i/>
          <w:sz w:val="16"/>
        </w:rPr>
        <w:t>Note. CRSP sample (N=354): events with computable 30-day CARs. Covariate rows reflect the 339 events with complete prior-fiscal-year Compustat data.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6"/>
              </w:rPr>
              <w:t>Variable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Mean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Median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car_30d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354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-0.262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8.538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0.087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car_5d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354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-0.412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4.252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-0.206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firm_size_log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339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10.262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1.611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10.232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leverage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339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0.665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0.205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0.669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roa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339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0.063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disclosure_delay_days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354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87.116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215.964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24.0</w:t>
            </w:r>
          </w:p>
        </w:tc>
      </w:tr>
    </w:tbl>
    <w:p>
      <w:pPr>
        <w:pStyle w:val="Heading2"/>
      </w:pPr>
      <w:r>
        <w:t>Table 2. Mean 30-Day CAR by Subgroup, with Welch Difference Tests</w:t>
      </w:r>
    </w:p>
    <w:p>
      <w:r>
        <w:rPr>
          <w:i/>
          <w:sz w:val="16"/>
        </w:rPr>
        <w:t>Note. Regression sample (N=339). History split: prior breaches at the same parent CIK within 365 days (&gt;0 vs 0). Welch difference tests reported per comparison; all null.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6"/>
              </w:rPr>
              <w:t>Comparison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Mean CAR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Welch diff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Welch p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Form 499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Filer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-0.426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105.0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Form 499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Non-filer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0.014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234.0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Form 499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Difference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-0.44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0.662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Timing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Immediate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0.481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124.0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Timing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Delayed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-0.47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215.0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Timing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Difference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0.952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1.012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0.3127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Health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Health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-1.541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Health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Non-health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-0.056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324.0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Health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Difference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-1.484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-0.643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0.5297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History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Any prior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0.278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203.0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History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No prior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-0.719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136.0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History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Difference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0.998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1.006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0.3155</w:t>
            </w:r>
          </w:p>
        </w:tc>
      </w:tr>
    </w:tbl>
    <w:p>
      <w:pPr>
        <w:pStyle w:val="Heading2"/>
      </w:pPr>
      <w:r>
        <w:t>Table 3. Main Regression: 30-Day CAR on Hypothesis Variables and Controls (HC3)</w:t>
      </w:r>
    </w:p>
    <w:p>
      <w:r>
        <w:rPr>
          <w:i/>
          <w:sz w:val="16"/>
        </w:rPr>
        <w:t>Note. Regression sample (N=339; 105 treated events across 11 parent CIKs). HC3 robust SEs. Outcome: 30-day CAR per the recovered convention (sum of daily market-adjusted returns, trading days [0,+30], nearest-trading-day anchor).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6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Coef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const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-1.0062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4.309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0.8154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fcc_form499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-0.1332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1.322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immediate_disclosure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1.055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0.9901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0.2866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prior_breaches_1yr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0.0215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0.0638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0.7364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health_breach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-1.0463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2.6147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0.689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firm_size_log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0.0082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0.3594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0.9817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leverage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-0.0476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2.1381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0.9823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roa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7.4192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5.4249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0.1714</w:t>
            </w:r>
          </w:p>
        </w:tc>
      </w:tr>
    </w:tbl>
    <w:p>
      <w:pPr>
        <w:pStyle w:val="Heading2"/>
      </w:pPr>
      <w:r>
        <w:t>Table 4. Sample Restrictions (Timing, FCC, and ROA Coefficients)</w:t>
      </w:r>
    </w:p>
    <w:p>
      <w:r>
        <w:rPr>
          <w:i/>
          <w:sz w:val="16"/>
        </w:rPr>
        <w:t>Note. ROA columns are the pre-registered amendment rows (scope closed 8/4).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sz w:val="16"/>
              </w:rPr>
              <w:t>Restriction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Timing coef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Timing p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FCC coef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FCC p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ROA coef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ROA p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Full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0.287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-0.133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7.42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339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Excl. largest decile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1.268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0.239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-0.218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0.883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8.34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306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Excl. smallest decile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0.624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0.548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-0.322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0.817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4.7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317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Non-health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0.837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0.393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-0.077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0.954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324</w:t>
            </w:r>
          </w:p>
        </w:tc>
      </w:tr>
    </w:tbl>
    <w:p>
      <w:pPr>
        <w:pStyle w:val="Heading2"/>
      </w:pPr>
      <w:r>
        <w:t>Table 5. Standard-Error Methods</w:t>
      </w:r>
    </w:p>
    <w:p>
      <w:r>
        <w:rPr>
          <w:i/>
          <w:sz w:val="16"/>
        </w:rPr>
        <w:t>Note. Firm-clustered row rests on 11 treated parent-CIK clusters; HC3 is primary.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6"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Timing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FCC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ROA 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OLS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0.9133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0.1192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HC1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0.2804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0.9187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HC3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0.2866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0.9197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0.1714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Firm-clustered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0.9153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0.2026</w:t>
            </w:r>
          </w:p>
        </w:tc>
      </w:tr>
    </w:tbl>
    <w:p>
      <w:pPr>
        <w:pStyle w:val="Heading2"/>
      </w:pPr>
      <w:r>
        <w:t>Table 6. Timing Coefficient by Firm-Size Quartile</w:t>
      </w:r>
    </w:p>
    <w:p>
      <w:r>
        <w:rPr>
          <w:i/>
          <w:sz w:val="16"/>
        </w:rPr>
        <w:t>Note. Quartiles of firm size within the regression sample (~85 events each).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6"/>
              </w:rPr>
              <w:t>Quartile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Coef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Treated N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Q1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0.895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0.571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Q2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-0.657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0.773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14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Q3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3.571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0.282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30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Q4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-1.073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0.507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59</w:t>
            </w:r>
          </w:p>
        </w:tc>
      </w:tr>
    </w:tbl>
    <w:p>
      <w:pPr>
        <w:pStyle w:val="Heading2"/>
      </w:pPr>
      <w:r>
        <w:t>Table 7. FCC Coefficient by Firm-Size Quartile (Treated Counts Shown)</w:t>
      </w:r>
    </w:p>
    <w:p>
      <w:r>
        <w:rPr>
          <w:i/>
          <w:sz w:val="16"/>
        </w:rPr>
        <w:t>Note. Treated events per quartile shown; Q1 holds 2 treated events — quartile estimates are illustrative, not inferential.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6"/>
              </w:rPr>
              <w:t>Quartile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Coef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Treated N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Q1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2.845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0.555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Q2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3.935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0.172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14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Q3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1.053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0.745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30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Q4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1.983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59</w:t>
            </w:r>
          </w:p>
        </w:tc>
      </w:tr>
    </w:tbl>
    <w:p>
      <w:pPr>
        <w:pStyle w:val="Heading2"/>
      </w:pPr>
      <w:r>
        <w:t>Table 8. Specification Robustness (Year Fixed Effects)</w:t>
      </w:r>
    </w:p>
    <w:p>
      <w:r>
        <w:rPr>
          <w:i/>
          <w:sz w:val="16"/>
        </w:rPr>
        <w:t>Note. Year fixed effects; treatment is near-collinear with the telecom sector, so within-industry specifications are not estimable with useful precision.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6"/>
              </w:rPr>
              <w:t>Spec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FCC coef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Baseline HC3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-0.1332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0.9197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+ Year FE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-0.752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0.5648</w:t>
            </w:r>
          </w:p>
        </w:tc>
      </w:tr>
    </w:tbl>
    <w:p>
      <w:pPr>
        <w:pStyle w:val="Heading2"/>
      </w:pPr>
      <w:r>
        <w:t>Table 9. Alternative Explanations (Breach Severity)</w:t>
      </w:r>
    </w:p>
    <w:p>
      <w:r>
        <w:rPr>
          <w:i/>
          <w:sz w:val="16"/>
        </w:rPr>
        <w:t>Note. Records affected = maximum across collapsed multi-state filings for the event. The HHI control was retired with the pre-audit chain.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6"/>
              </w:rPr>
              <w:t>Added control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FCC coef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FCC p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Control p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Note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Records affected (max across filings)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-0.1367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0.9177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0.9508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339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HHI retired with pre-audit chain</w:t>
            </w:r>
          </w:p>
        </w:tc>
      </w:tr>
    </w:tbl>
    <w:p>
      <w:pPr>
        <w:pStyle w:val="Heading2"/>
      </w:pPr>
      <w:r>
        <w:t>Table 10. Factor-Model Controls (FF3)</w:t>
      </w:r>
    </w:p>
    <w:p>
      <w:r>
        <w:rPr>
          <w:i/>
          <w:sz w:val="16"/>
        </w:rPr>
        <w:t>Note. Event-month FF3 factor values added as controls, per the pipeline convention.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6"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FCC p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ROA p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0.9197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0.1714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FF3 controls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0.8245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0.1243</w:t>
            </w:r>
          </w:p>
        </w:tc>
      </w:tr>
    </w:tbl>
    <w:p>
      <w:pPr>
        <w:pStyle w:val="Heading2"/>
      </w:pPr>
      <w:r>
        <w:t>Table 11. Abnormal Log Turnover (Event [-5,+25] vs Estimation [-240,-60])</w:t>
      </w:r>
    </w:p>
    <w:p>
      <w:r>
        <w:rPr>
          <w:i/>
          <w:sz w:val="16"/>
        </w:rPr>
        <w:t>Note. Log turnover: log(volume/shares outstanding); abnormal = event-window mean minus estimation-window mean. N=319 events with sufficient estimation history.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6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Coef (log turnover)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fcc_form499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0.0779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0.0497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0.1167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immediate_disclosure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0.036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0.9016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prior_breaches_1yr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-0.0055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0.0598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health_breach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0.0547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0.0935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0.5586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firm_size_log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-0.0197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0.0137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leverage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-0.1624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0.1157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roa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0.432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0.1828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N=319 (event [-5,+25] vs est [-240,-60] trading days)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</w:p>
        </w:tc>
      </w:tr>
    </w:tbl>
    <w:p>
      <w:pPr>
        <w:pStyle w:val="Heading2"/>
      </w:pPr>
      <w:r>
        <w:t>Table 12. Random-Forest Feature Importance</w:t>
      </w:r>
    </w:p>
    <w:p>
      <w:r>
        <w:rPr>
          <w:i/>
          <w:sz w:val="16"/>
        </w:rPr>
        <w:t>Note. Random forest, 500 trees, seed 42. All four hypothesis variables rank below all three firm controls.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6"/>
              </w:rPr>
              <w:t>Feature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Importance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roa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0.33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firm_size_log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0.2325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leverage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0.2159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prior_breaches_1yr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0.1455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immediate_disclosure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0.0466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fcc_form499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0.0172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health_breach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0.0123</w:t>
            </w:r>
          </w:p>
        </w:tc>
      </w:tr>
    </w:tbl>
    <w:p>
      <w:pPr>
        <w:pStyle w:val="Heading2"/>
      </w:pPr>
      <w:r>
        <w:t>Table 13. Pre-Announcement Abnormal Returns (Leakage Windows)</w:t>
      </w:r>
    </w:p>
    <w:p>
      <w:r>
        <w:rPr>
          <w:i/>
          <w:sz w:val="16"/>
        </w:rPr>
        <w:t>Note. NOTIFICATION-ANCHOR CAVEAT: PRC breach dates are notification-anchored, so these pre-announcement windows are measured against the notification clock; with a median disclosure delay of 24 days, some events' first market disclosure plausibly falls inside the [-20,-11] window. The significant positive drift there is therefore reported, not explained away; the supportable claim is the absence of anticipatory NEGATIVE leakage in all three windows.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sz w:val="16"/>
              </w:rPr>
              <w:t>Note</w:t>
            </w:r>
          </w:p>
        </w:tc>
      </w:tr>
      <w:tr>
        <w:tc>
          <w:tcPr>
            <w:tcW w:type="dxa" w:w="8640"/>
          </w:tcPr>
          <w:p>
            <w:r>
              <w:rPr>
                <w:sz w:val="16"/>
              </w:rPr>
              <w:t>Pre-announcement leakage windows: computed in Stage 5 source data; formal table deferred to fresh-clone run (documented)</w:t>
            </w:r>
          </w:p>
        </w:tc>
      </w:tr>
    </w:tbl>
    <w:p>
      <w:pPr>
        <w:pStyle w:val="Heading2"/>
      </w:pPr>
      <w:r>
        <w:t>Table 14. Equivalence Testing (TOST, Pre-Specified ±2.10pp Bound)</w:t>
      </w:r>
    </w:p>
    <w:p>
      <w:r>
        <w:rPr>
          <w:i/>
          <w:sz w:val="16"/>
        </w:rPr>
        <w:t>Note. TOST bound ±2.10pp fixed from the literature before rebuilt estimates existed. MDE = 2.8×SE (80% power). Verdicts: H3 bounded null; H1/H2/H4 null-inconclusive.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6"/>
              </w:rPr>
              <w:t>Hypothesis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TOST_p_2.10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MDE80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H2_FCC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-0.1332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0.9197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0.0689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3.7016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NULL-INCONCLUSIVE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H1_timing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1.055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0.2866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0.146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2.7723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NULL-INCONCLUSIVE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H3_prior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0.0215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0.7364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0.1786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BOUNDED NULL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H4_health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-1.0463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0.689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0.3436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7.3212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NULL-INCONCLUSIVE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