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In-Text Tables (Results section) — Canonical V3</w:t>
      </w:r>
    </w:p>
    <w:p>
      <w:pPr>
        <w:pStyle w:val="Heading2"/>
      </w:pPr>
      <w:r>
        <w:t>Table 3 (in-text). Main Regression Results</w:t>
      </w:r>
    </w:p>
    <w:p>
      <w:r>
        <w:rPr>
          <w:i/>
          <w:sz w:val="16"/>
        </w:rPr>
        <w:t>Note. Regression sample (N=339; 105 treated events across 11 parent CIKs). HC3 robust SEs. Outcome: 30-day CAR per the recovered convention (sum of daily market-adjusted returns, trading days [0,+30], nearest-trading-day anchor).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-1.0062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4.309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0.8154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fcc_form499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-0.1332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0.9197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immediate_disclosure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0.9901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0.2866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prior_breaches_1yr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0.0638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0.7364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health_breach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-1.0463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2.6147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0.689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firm_size_log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0.3594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0.9817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-0.0476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2.1381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0.9823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7.4192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5.4249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0.1714</w:t>
            </w:r>
          </w:p>
        </w:tc>
      </w:tr>
    </w:tbl>
    <w:p>
      <w:pPr>
        <w:pStyle w:val="Heading2"/>
      </w:pPr>
      <w:r>
        <w:t>Table 14 (in-text). Equivalence Testing Summary</w:t>
      </w:r>
    </w:p>
    <w:p>
      <w:r>
        <w:rPr>
          <w:i/>
          <w:sz w:val="16"/>
        </w:rPr>
        <w:t>Note. TOST bound ±2.10pp fixed from the literature before rebuilt estimates existed. MDE = 2.8×SE (80% power). Verdicts: H3 bounded null; H1/H2/H4 null-inconclusive.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Hypothesis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TOST_p_2.10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MDE80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H2_FCC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-0.1332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3.7016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NULL-INCONCLUSIVE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H1_timing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0.2866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2.7723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NULL-INCONCLUSIVE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H3_prior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0.1786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BOUNDED 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H4_health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-1.0463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0.3436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7.3212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NULL-INCONCLUSIVE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