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TABLE B7: ALTERNATIVE EXPLANATIONS ROBUSTNESS</w:t>
      </w:r>
    </w:p>
    <w:p>
      <w:pPr>
        <w:jc w:val="center"/>
      </w:pPr>
      <w:r>
        <w:rPr>
          <w:i/>
          <w:sz w:val="22"/>
        </w:rPr>
        <w:t>Dependent Variable: 30-Day Cumulative Abnormal Returns (CAR)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2"/>
              </w:rPr>
              <w:t>Variable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Model 1 (CPNI)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Model 2 (HHI)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2"/>
              </w:rPr>
              <w:t>Model 3 (Both)</w:t>
            </w:r>
          </w:p>
        </w:tc>
      </w:tr>
      <w:tr>
        <w:tc>
          <w:tcPr>
            <w:tcW w:type="dxa" w:w="2880"/>
          </w:tcPr>
          <w:p>
            <w:r>
              <w:t>FCC Regulated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-1.1497**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-2.4437***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-1.2218***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i/>
              </w:rPr>
              <w:t>(0.4467)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i/>
              </w:rPr>
              <w:t>(0.8958)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i/>
              </w:rPr>
              <w:t>(0.4479)</w:t>
            </w:r>
          </w:p>
        </w:tc>
      </w:tr>
      <w:tr>
        <w:tc>
          <w:tcPr>
            <w:tcW w:type="dxa" w:w="2880"/>
          </w:tcPr>
          <w:p>
            <w:r>
              <w:t>CPNI Breach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-1.1497**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-1.2218***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i/>
              </w:rPr>
              <w:t>(0.4467)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i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i/>
              </w:rPr>
              <w:t>(0.4479)</w:t>
            </w:r>
          </w:p>
        </w:tc>
      </w:tr>
      <w:tr>
        <w:tc>
          <w:tcPr>
            <w:tcW w:type="dxa" w:w="2880"/>
          </w:tcPr>
          <w:p>
            <w:r>
              <w:t>HHI (Market Concentration)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-0.000210**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-0.000210**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i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i/>
              </w:rPr>
              <w:t>(0.000090)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i/>
              </w:rPr>
              <w:t>(0.000090)</w:t>
            </w:r>
          </w:p>
        </w:tc>
      </w:tr>
    </w:tbl>
    <w:p/>
    <w:p>
      <w:r>
        <w:rPr>
          <w:b/>
        </w:rPr>
        <w:t>N</w:t>
      </w:r>
      <w:r>
        <w:t xml:space="preserve">: 898 (all models) | </w:t>
      </w:r>
      <w:r>
        <w:rPr>
          <w:b/>
        </w:rPr>
        <w:t>R²</w:t>
      </w:r>
      <w:r>
        <w:t>: Model 1 = 0.0201, Model 2 = 0.0251, Model 3 = 0.0251</w:t>
      </w:r>
    </w:p>
    <w:p/>
    <w:p>
      <w:r>
        <w:rPr>
          <w:b/>
          <w:sz w:val="20"/>
        </w:rPr>
        <w:t xml:space="preserve">Notes: </w:t>
      </w:r>
      <w:r>
        <w:rPr>
          <w:sz w:val="20"/>
        </w:rPr>
        <w:t>Model 1 tests CPNI sensitivity (Customer Proprietary Network Information) - telecom-specific data regulated by FCC. Model 2 tests market concentration (HHI - Herfindahl-Hirschman Index by 3-digit SIC code and year). Model 3 includes both CPNI and HHI controls in full specification. FCC coefficient remains statistically significant across all three models (p &lt; 0.01), demonstrating robustness of main FCC penalty to alternative explanations of data sensitivity and industry concentration. Standard errors (HC3 heteroskedasticity-consistent) shown in parentheses. Significance levels: * p&lt;0.10, ** p&lt;0.05, *** p&lt;0.01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