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line="480" w:lineRule="auto"/>
        <w:jc w:val="center"/>
      </w:pPr>
      <w:r>
        <w:rPr>
          <w:rFonts w:ascii="Times New Roman" w:hAnsi="Times New Roman"/>
          <w:b/>
          <w:sz w:val="28"/>
        </w:rPr>
        <w:t>Data Breach Disclosure Timing, Regulatory Burden, and Market Outcomes:</w:t>
        <w:br/>
        <w:t>A Natural Experiment Analysis of FCC Cybersecurity Mandates</w:t>
      </w:r>
    </w:p>
    <w:p/>
    <w:p/>
    <w:p/>
    <w:p/>
    <w:p/>
    <w:p/>
    <w:p/>
    <w:p/>
    <w:p>
      <w:pPr>
        <w:spacing w:line="480" w:lineRule="auto"/>
        <w:jc w:val="center"/>
      </w:pPr>
      <w:r>
        <w:rPr>
          <w:rFonts w:ascii="Times New Roman" w:hAnsi="Times New Roman"/>
          <w:sz w:val="24"/>
        </w:rPr>
        <w:t>Dissertation Proposal</w:t>
      </w:r>
    </w:p>
    <w:p/>
    <w:p>
      <w:pPr>
        <w:spacing w:line="480" w:lineRule="auto"/>
        <w:jc w:val="center"/>
      </w:pPr>
      <w:r>
        <w:rPr>
          <w:rFonts w:ascii="Times New Roman" w:hAnsi="Times New Roman"/>
          <w:sz w:val="24"/>
        </w:rPr>
        <w:t>February 2026</w:t>
      </w:r>
    </w:p>
    <w:p>
      <w:r>
        <w:br w:type="page"/>
      </w:r>
    </w:p>
    <w:p>
      <w:pPr>
        <w:pStyle w:val="Heading1"/>
        <w:spacing w:before="0" w:after="0" w:line="480" w:lineRule="auto"/>
      </w:pPr>
      <w:r>
        <w:rPr>
          <w:rFonts w:ascii="Times New Roman" w:hAnsi="Times New Roman"/>
          <w:b/>
          <w:i w:val="0"/>
          <w:sz w:val="24"/>
        </w:rPr>
        <w:t>1. Introduction</w:t>
      </w:r>
    </w:p>
    <w:p>
      <w:pPr>
        <w:pStyle w:val="Heading2"/>
      </w:pPr>
      <w:r>
        <w:t>Problem and Topic Statement</w:t>
      </w:r>
    </w:p>
    <w:p>
      <w:pPr>
        <w:spacing w:before="0" w:after="0" w:line="480" w:lineRule="auto"/>
      </w:pPr>
      <w:r>
        <w:rPr>
          <w:rFonts w:ascii="Times New Roman" w:hAnsi="Times New Roman"/>
          <w:b w:val="0"/>
          <w:i w:val="0"/>
          <w:sz w:val="24"/>
        </w:rPr>
        <w:t>Data breaches at publicly-traded firms are accelerating, with over 1,000 reported incidents since 2006. Yet regulatory timing mandates differ dramatically across jurisdictions: the Federal Communications Commission requires notification within 7 days (47 CFR § 64.2011), the Securities and Exchange Commission requires 4 days for material breaches (SEC Cybersecurity Disclosure Rule, 2023), and the Health Insurance Portability and Accountability Act mandates 60 days (45 CFR §§ 164.400-414). A critical gap persists: no empirical evidence exists on whether timing mandates benefit markets or create unintended costs. The "faster is better" assumption embedded in all regulations has not been subjected to causal testing (Gordon et al., 2024; Obaydin et al., 2024).</w:t>
      </w:r>
    </w:p>
    <w:p>
      <w:pPr>
        <w:pStyle w:val="Heading2"/>
      </w:pPr>
      <w:r>
        <w:t>Brief Literature Overview</w:t>
      </w:r>
    </w:p>
    <w:p>
      <w:pPr>
        <w:spacing w:before="0" w:after="0" w:line="480" w:lineRule="auto"/>
      </w:pPr>
      <w:r>
        <w:rPr>
          <w:rFonts w:ascii="Times New Roman" w:hAnsi="Times New Roman"/>
          <w:b w:val="0"/>
          <w:i w:val="0"/>
          <w:sz w:val="24"/>
        </w:rPr>
        <w:t>Early event studies establish that data breaches cause negative abnormal returns, ranging from −0.41% (Acquisti et al., 2006) to −2.1% (Cavusoglu et al., 2004). Recent work complicates this picture: mandatory disclosure laws may produce paradoxical effects. Gordon et al. (2024) document that 8-K filers suffer −2.91% initial losses but recover +2.49%, suggesting that timing reveals underlying firm quality. Obaydin et al. (2024) find that mandatory disclosure requirements increase crash risk by 5–7% through mechanisms of bad-news hoarding. Diamond &amp; Verrecchia (1991) theorize that forced disclosure can increase information asymmetry when premature revelation prevents managers from completing their information acquisition.</w:t>
      </w:r>
    </w:p>
    <w:p>
      <w:pPr>
        <w:spacing w:before="0" w:after="0" w:line="480" w:lineRule="auto"/>
      </w:pPr>
      <w:r>
        <w:rPr>
          <w:rFonts w:ascii="Times New Roman" w:hAnsi="Times New Roman"/>
          <w:b w:val="0"/>
          <w:i w:val="0"/>
          <w:sz w:val="24"/>
        </w:rPr>
        <w:t>Signaling theory offers competing predictions. Myers &amp; Majluf (1984) predict that faster disclosure signals managerial transparency and confidence in firm fundamentals. Spence (1973) argues that costly signaling allows high-quality firms to separate from low-quality competitors. However, Diamond &amp; Verrecchia (1991) warn that over-disclosure under time pressure increases cost of capital through forced incomplete revelation, and Hong &amp; Stein (1999) note that gradual information diffusion allows market makers to process news without creating temporary mispricing. The key gap: no study exploits a clean regulatory natural experiment to isolate timing effects from underlying firm quality signals.</w:t>
      </w:r>
    </w:p>
    <w:p>
      <w:pPr>
        <w:pStyle w:val="Heading2"/>
      </w:pPr>
      <w:r>
        <w:t>Research Question</w:t>
      </w:r>
    </w:p>
    <w:p>
      <w:pPr>
        <w:spacing w:before="0" w:after="0" w:line="480" w:lineRule="auto"/>
      </w:pPr>
      <w:r>
        <w:rPr>
          <w:rFonts w:ascii="Times New Roman" w:hAnsi="Times New Roman"/>
          <w:b w:val="0"/>
          <w:i w:val="0"/>
          <w:sz w:val="24"/>
        </w:rPr>
        <w:t>How do mandatory disclosure timing requirements and regulatory status affect firm valuation, market uncertainty, and governance response following publicly-reported data breaches?</w:t>
      </w:r>
    </w:p>
    <w:p>
      <w:pPr>
        <w:pStyle w:val="Heading2"/>
      </w:pPr>
      <w:r>
        <w:t>Motivation and Policy Context</w:t>
      </w:r>
    </w:p>
    <w:p>
      <w:pPr>
        <w:spacing w:before="0" w:after="0" w:line="480" w:lineRule="auto"/>
      </w:pPr>
      <w:r>
        <w:rPr>
          <w:rFonts w:ascii="Times New Roman" w:hAnsi="Times New Roman"/>
          <w:b w:val="0"/>
          <w:i w:val="0"/>
          <w:sz w:val="24"/>
        </w:rPr>
        <w:t>Policymakers at the FCC, SEC, and FTC invoke "faster disclosure = better outcomes" as the primary justification for mandatory timing rules, yet no causal evidence supports this assumption. The FCC's cybersecurity rule generates an estimated $0.76 billion in aggregate shareholder losses across the telecommunications industry alone, creating urgent policy motivation for evidence-based rules. Amani et al. (2025) note that telecommunications is systematically underrepresented in data breach literature, limiting the ability of policymakers to assess sector-specific impacts. Three distinct mechanisms have never been separated empirically: market valuation effects, information asymmetry effects, and governance response mechanisms. Recent regulatory guidance calls for this evidence: FCC Report FCC-24-31 (2024) emphasizes the need for data on disclosure rule effectiveness, the SEC Cybersecurity Disclosure Rule (2023) includes explicit language requesting empirical validation, and the FTC's Cyber Monitoring Implementation Act (2024) mandates impact assessment.</w:t>
      </w:r>
    </w:p>
    <w:p>
      <w:pPr>
        <w:pStyle w:val="Heading2"/>
      </w:pPr>
      <w:r>
        <w:t>Proposal Roadmap</w:t>
      </w:r>
    </w:p>
    <w:p>
      <w:pPr>
        <w:spacing w:before="0" w:after="0" w:line="480" w:lineRule="auto"/>
      </w:pPr>
      <w:r>
        <w:rPr>
          <w:rFonts w:ascii="Times New Roman" w:hAnsi="Times New Roman"/>
          <w:b w:val="0"/>
          <w:i w:val="0"/>
          <w:sz w:val="24"/>
        </w:rPr>
        <w:t>Section 2 presents a literature review organized around four thematic streams: market reactions to breaches, paradoxical effects of mandatory disclosure laws, signaling theory and information asymmetry, and organizational governance response mechanisms. Section 3 formalizes six testable hypotheses and specifies the econometric models for each essay. Section 4 details the data sources (1,054 publicly-traded firm-breach observations from 2006–2025), event study methodology, and causal identification strategy exploiting the FCC Rule 37.3 natural experiment. Section 5 previews anticipated findings, derives policy implications, and discusses limitations.</w:t>
      </w:r>
    </w:p>
    <w:p>
      <w:pPr>
        <w:pStyle w:val="Heading1"/>
        <w:spacing w:before="0" w:after="0" w:line="480" w:lineRule="auto"/>
      </w:pPr>
      <w:r>
        <w:rPr>
          <w:rFonts w:ascii="Times New Roman" w:hAnsi="Times New Roman"/>
          <w:b/>
          <w:i w:val="0"/>
          <w:sz w:val="24"/>
        </w:rPr>
        <w:t>2. Literature Review</w:t>
      </w:r>
    </w:p>
    <w:p>
      <w:pPr>
        <w:pStyle w:val="Heading2"/>
      </w:pPr>
      <w:r>
        <w:t>Market Reactions to Data Breaches: Empirical Evidence</w:t>
      </w:r>
    </w:p>
    <w:p>
      <w:pPr>
        <w:spacing w:before="0" w:after="0" w:line="480" w:lineRule="auto"/>
      </w:pPr>
      <w:r>
        <w:rPr>
          <w:rFonts w:ascii="Times New Roman" w:hAnsi="Times New Roman"/>
          <w:b w:val="0"/>
          <w:i w:val="0"/>
          <w:sz w:val="24"/>
        </w:rPr>
        <w:t>A robust empirical literature documents negative cumulative abnormal returns (CARs) following breach announcements. Cavusoglu et al. (2004) find −2.1% CARs in a sample of 64 U.S. firms, with notable heterogeneity: firms in the security software industry experience +1.36% returns, consistent with positive reputational signaling. Acquisti et al. (2006) document −0.41% abnormal returns on the announcement day, with effects dissipating within two trading days. Michel et al. (2020) extend this work by examining pre-announcement leakage, post-announcement recovery, and significant industry variation. Muktadir-Al-Mukit &amp; Ali (2025) show that first-time breaches trigger −0.79% abnormal returns, while repeat breach incidents produce no significant market reaction, suggesting reputational effects attenuate with breach frequency. Liu &amp; Babar (2024) conduct a meta-analysis across 203 studies, synthesizing a range of −0.3% to −2.1%, and document executive turnover in approximately 50% of breach cases.</w:t>
      </w:r>
    </w:p>
    <w:p>
      <w:pPr>
        <w:spacing w:before="0" w:after="0" w:line="480" w:lineRule="auto"/>
      </w:pPr>
      <w:r>
        <w:rPr>
          <w:rFonts w:ascii="Times New Roman" w:hAnsi="Times New Roman"/>
          <w:b w:val="0"/>
          <w:i w:val="0"/>
          <w:sz w:val="24"/>
        </w:rPr>
        <w:t>A critical limitation of this literature is that existing studies do not cleanly separate the effects of regulatory burden (the cost of compliance with disclosure rules) from information quality effects (the revelation of underlying firm vulnerability). Acquisti et al. (2016) provide a comprehensive survey concluding that disclosure law effects are heterogeneous across contexts, firms, and regulatory regimes, underscoring the necessity for context-specific causal identification.</w:t>
      </w:r>
    </w:p>
    <w:p>
      <w:pPr>
        <w:pStyle w:val="Heading2"/>
      </w:pPr>
      <w:r>
        <w:t>Mandatory Disclosure Laws: Paradoxical and Unintended Effects</w:t>
      </w:r>
    </w:p>
    <w:p>
      <w:pPr>
        <w:spacing w:before="0" w:after="0" w:line="480" w:lineRule="auto"/>
      </w:pPr>
      <w:r>
        <w:rPr>
          <w:rFonts w:ascii="Times New Roman" w:hAnsi="Times New Roman"/>
          <w:b w:val="0"/>
          <w:i w:val="0"/>
          <w:sz w:val="24"/>
        </w:rPr>
        <w:t>Recent work reveals that mandatory disclosure regimes produce paradoxical outcomes inconsistent with "faster is better" logic. Diamond &amp; Verrecchia (1991) establish the theoretical foundation: the relationship between disclosure and information asymmetry is non-monotonic. Forced disclosure under time pressure can paradoxically increase asymmetry when managers cannot complete their information acquisition, creating incompleteness and credibility deficits. Obaydin et al. (2024) find that mandatory data breach notification laws increase stock price crash risk by 5–7% through bad-news hoarding mechanisms. Cao et al. (2024) exploit staggered adoption of data breach notification laws and find a 10% increase in crash risk following legislative adoption. Gordon et al. (2024) document that 8-K filers exhibit −2.91% initial losses that recover to +2.49% within the window, suggesting that early disclosure reveals underlying firm quality asymmetries that subsequently resolve.</w:t>
      </w:r>
    </w:p>
    <w:p>
      <w:pPr>
        <w:spacing w:before="0" w:after="0" w:line="480" w:lineRule="auto"/>
      </w:pPr>
      <w:r>
        <w:rPr>
          <w:rFonts w:ascii="Times New Roman" w:hAnsi="Times New Roman"/>
          <w:b w:val="0"/>
          <w:i w:val="0"/>
          <w:sz w:val="24"/>
        </w:rPr>
        <w:t>Foerderer &amp; Schuetz (2022) provide direct evidence of strategic timing: firms facing mandatory disclosure rules experience $347M in losses when disclosure is forced, but only $85M when disclosure timing is discretionary, indicating that voluntary early timing signals managerial confidence whereas forced timing signals crisis management. Kothari et al. (2009) show that bad news accumulates under mandatory regimes, leading to larger eventual market adjustments. Skinner (1994) documents that litigation risk motivates voluntary bad-news disclosure in untamed equilibrium; mandatory regimes fundamentally alter these incentive structures. This literature reveals a central tension: mandatory disclosure creates unintended regulatory costs that offset informational benefits.</w:t>
      </w:r>
    </w:p>
    <w:p>
      <w:pPr>
        <w:pStyle w:val="Heading2"/>
      </w:pPr>
      <w:r>
        <w:t>Information Asymmetry, Signaling Theory, and the Timing Mechanism</w:t>
      </w:r>
    </w:p>
    <w:p>
      <w:pPr>
        <w:spacing w:before="0" w:after="0" w:line="480" w:lineRule="auto"/>
      </w:pPr>
      <w:r>
        <w:rPr>
          <w:rFonts w:ascii="Times New Roman" w:hAnsi="Times New Roman"/>
          <w:b w:val="0"/>
          <w:i w:val="0"/>
          <w:sz w:val="24"/>
        </w:rPr>
        <w:t>Akerlof (1970) establishes the foundation: private information creates adverse selection, and market-wide uncertainty increases in information asymmetry. Spence (1973) theorizes that costly signaling allows high-quality firms to reveal type, whereas low-quality firms cannot profitably replicate high-quality signals. Myers &amp; Majluf (1984) apply this framework to financing and disclosure decisions, predicting that managers' disclosure choices reveal underlying firm quality: early disclosure signals confidence in fundamentals. However, this prediction hinges on voluntary disclosure timing. Hong &amp; Stein (1999) complicate the mechanism by introducing gradual information diffusion: newswatchers process information quickly, while momentum traders respond to lagged signals, creating temporary mispricing under rapid disclosure.</w:t>
      </w:r>
    </w:p>
    <w:p>
      <w:pPr>
        <w:spacing w:before="0" w:after="0" w:line="480" w:lineRule="auto"/>
      </w:pPr>
      <w:r>
        <w:rPr>
          <w:rFonts w:ascii="Times New Roman" w:hAnsi="Times New Roman"/>
          <w:b w:val="0"/>
          <w:i w:val="0"/>
          <w:sz w:val="24"/>
        </w:rPr>
        <w:t>Recent work demonstrates that disclosure quality declines under time pressure. Fabrizio &amp; Kim (2019) find that time-constrained disclosure is less complete and more likely to contain errors. Xu et al. (2024) show that stakeholders value disclosure completeness over raw speed. Tushman &amp; Nadler (1978) establish information processing capacity as a limiting factor: managers' ability to synthesize complex information declines under tight deadlines. Chen et al. (2025) use mergers and acquisitions as an exogenous shock to disclosure processing capacity, finding that forced-pace disclosure triggers larger market reactions than voluntary disclosure of identical information. Synthesizing these streams: mandatory timing requirements reduce signal quality by forcing incomplete revelation, thereby increasing information asymmetry rather than reducing it.</w:t>
      </w:r>
    </w:p>
    <w:p>
      <w:pPr>
        <w:pStyle w:val="Heading2"/>
      </w:pPr>
      <w:r>
        <w:t>Organizational Governance Response and Crisis Communication</w:t>
      </w:r>
    </w:p>
    <w:p>
      <w:pPr>
        <w:spacing w:before="0" w:after="0" w:line="480" w:lineRule="auto"/>
      </w:pPr>
      <w:r>
        <w:rPr>
          <w:rFonts w:ascii="Times New Roman" w:hAnsi="Times New Roman"/>
          <w:b w:val="0"/>
          <w:i w:val="0"/>
          <w:sz w:val="24"/>
        </w:rPr>
        <w:t>Freeman (1984) establishes stakeholder theory as a framework for understanding organizational response to crises: firms must balance competing stakeholder interests (shareholders, employees, customers, regulators). Mitchell et al. (1997) extend this by introducing power, legitimacy, and urgency dimensions: regulators become "definitive" stakeholders under mandatory disclosure rules. Coombs (2007) develops Situational Crisis Communication Theory (SCCT), classifying data breaches as preventable crises requiring reputation rebuilding. Claeys &amp; Cauberghe (2012) show that proactive disclosure can eliminate the need for defensive apology, with credibility serving as the critical mediator. Iqbal et al. (2024) document that no single crisis strategy satisfies all stakeholder concerns simultaneously; regulatory mandates force an implicit prioritization.</w:t>
      </w:r>
    </w:p>
    <w:p>
      <w:pPr>
        <w:spacing w:before="0" w:after="0" w:line="480" w:lineRule="auto"/>
      </w:pPr>
      <w:r>
        <w:rPr>
          <w:rFonts w:ascii="Times New Roman" w:hAnsi="Times New Roman"/>
          <w:b w:val="0"/>
          <w:i w:val="0"/>
          <w:sz w:val="24"/>
        </w:rPr>
        <w:t>The mechanism is clear: FCC mandatory disclosure requirements resolve stakeholder prioritization by making the regulator the definitive stakeholder, triggering governance response as firms prioritize regulatory compliance over shareholder communication. This activates organizational pressures for executive accountability and governance changes that exceed those generated by voluntary disclosure.</w:t>
      </w:r>
    </w:p>
    <w:p>
      <w:pPr>
        <w:pStyle w:val="Heading1"/>
        <w:spacing w:before="0" w:after="0" w:line="480" w:lineRule="auto"/>
      </w:pPr>
      <w:r>
        <w:rPr>
          <w:rFonts w:ascii="Times New Roman" w:hAnsi="Times New Roman"/>
          <w:b/>
          <w:i w:val="0"/>
          <w:sz w:val="24"/>
        </w:rPr>
        <w:t>3. Hypotheses and Model Specification</w:t>
      </w:r>
    </w:p>
    <w:p>
      <w:pPr>
        <w:spacing w:before="0" w:after="0" w:line="480" w:lineRule="auto"/>
      </w:pPr>
      <w:r>
        <w:rPr>
          <w:rFonts w:ascii="Times New Roman" w:hAnsi="Times New Roman"/>
          <w:b w:val="0"/>
          <w:i w:val="0"/>
          <w:sz w:val="24"/>
        </w:rPr>
        <w:t>H</w:t>
      </w:r>
      <w:r>
        <w:rPr>
          <w:rFonts w:ascii="Times New Roman" w:hAnsi="Times New Roman"/>
          <w:b w:val="0"/>
          <w:i w:val="0"/>
          <w:sz w:val="24"/>
        </w:rPr>
        <w:t xml:space="preserve">1 (Timing Effect, Essay 1): </w:t>
      </w:r>
      <w:r>
        <w:rPr>
          <w:rFonts w:ascii="Times New Roman" w:hAnsi="Times New Roman"/>
          <w:b w:val="0"/>
          <w:i w:val="0"/>
          <w:sz w:val="24"/>
        </w:rPr>
        <w:t xml:space="preserve">Firms that disclose data breaches within 7 days will experience smaller cumulative abnormal returns (CAR) than firms that delay disclosure. </w:t>
      </w:r>
      <w:r>
        <w:rPr>
          <w:rFonts w:ascii="Times New Roman" w:hAnsi="Times New Roman"/>
          <w:b w:val="0"/>
          <w:i w:val="0"/>
          <w:sz w:val="24"/>
        </w:rPr>
        <w:t>Null hypothesis: immediate disclosure timing has no statistically significant effect on CAR.</w:t>
      </w:r>
    </w:p>
    <w:p>
      <w:pPr>
        <w:spacing w:before="0" w:after="0" w:line="480" w:lineRule="auto"/>
      </w:pPr>
      <w:r>
        <w:rPr>
          <w:rFonts w:ascii="Times New Roman" w:hAnsi="Times New Roman"/>
          <w:b w:val="0"/>
          <w:i w:val="0"/>
          <w:sz w:val="24"/>
        </w:rPr>
        <w:t>H</w:t>
      </w:r>
      <w:r>
        <w:rPr>
          <w:rFonts w:ascii="Times New Roman" w:hAnsi="Times New Roman"/>
          <w:b w:val="0"/>
          <w:i w:val="0"/>
          <w:sz w:val="24"/>
        </w:rPr>
        <w:t xml:space="preserve">2 (FCC Regulatory Status, Essay 1): </w:t>
      </w:r>
      <w:r>
        <w:rPr>
          <w:rFonts w:ascii="Times New Roman" w:hAnsi="Times New Roman"/>
          <w:b w:val="0"/>
          <w:i w:val="0"/>
          <w:sz w:val="24"/>
        </w:rPr>
        <w:t xml:space="preserve">Firms subject to FCC disclosure requirements (SIC codes 4813, 4899, 4841) will experience more negative CAR following data breaches than firms outside FCC jurisdiction. </w:t>
      </w:r>
      <w:r>
        <w:rPr>
          <w:rFonts w:ascii="Times New Roman" w:hAnsi="Times New Roman"/>
          <w:b w:val="0"/>
          <w:i w:val="0"/>
          <w:sz w:val="24"/>
        </w:rPr>
        <w:t>Null hypothesis: FCC regulatory status has no statistically significant effect on CAR.</w:t>
      </w:r>
    </w:p>
    <w:p>
      <w:pPr>
        <w:spacing w:before="0" w:after="0" w:line="480" w:lineRule="auto"/>
      </w:pPr>
      <w:r>
        <w:rPr>
          <w:rFonts w:ascii="Times New Roman" w:hAnsi="Times New Roman"/>
          <w:b w:val="0"/>
          <w:i w:val="0"/>
          <w:sz w:val="24"/>
        </w:rPr>
        <w:t>H</w:t>
      </w:r>
      <w:r>
        <w:rPr>
          <w:rFonts w:ascii="Times New Roman" w:hAnsi="Times New Roman"/>
          <w:b w:val="0"/>
          <w:i w:val="0"/>
          <w:sz w:val="24"/>
        </w:rPr>
        <w:t xml:space="preserve">3 (Reputation History, Essay 1): </w:t>
      </w:r>
      <w:r>
        <w:rPr>
          <w:rFonts w:ascii="Times New Roman" w:hAnsi="Times New Roman"/>
          <w:b w:val="0"/>
          <w:i w:val="0"/>
          <w:sz w:val="24"/>
        </w:rPr>
        <w:t xml:space="preserve">Firms with prior breach history will experience more negative CAR per breach than first-time breach firms. </w:t>
      </w:r>
      <w:r>
        <w:rPr>
          <w:rFonts w:ascii="Times New Roman" w:hAnsi="Times New Roman"/>
          <w:b w:val="0"/>
          <w:i w:val="0"/>
          <w:sz w:val="24"/>
        </w:rPr>
        <w:t>Null hypothesis: prior breach history has no statistically significant effect on CAR.</w:t>
      </w:r>
    </w:p>
    <w:p>
      <w:pPr>
        <w:spacing w:before="0" w:after="0" w:line="480" w:lineRule="auto"/>
      </w:pPr>
      <w:r>
        <w:rPr>
          <w:rFonts w:ascii="Times New Roman" w:hAnsi="Times New Roman"/>
          <w:b w:val="0"/>
          <w:i w:val="0"/>
          <w:sz w:val="24"/>
        </w:rPr>
        <w:t>H</w:t>
      </w:r>
      <w:r>
        <w:rPr>
          <w:rFonts w:ascii="Times New Roman" w:hAnsi="Times New Roman"/>
          <w:b w:val="0"/>
          <w:i w:val="0"/>
          <w:sz w:val="24"/>
        </w:rPr>
        <w:t xml:space="preserve">4 (Breach Type, Essay 1): </w:t>
      </w:r>
      <w:r>
        <w:rPr>
          <w:rFonts w:ascii="Times New Roman" w:hAnsi="Times New Roman"/>
          <w:b w:val="0"/>
          <w:i w:val="0"/>
          <w:sz w:val="24"/>
        </w:rPr>
        <w:t xml:space="preserve">Data breaches involving protected health information will produce more negative CAR than non-health data breaches. </w:t>
      </w:r>
      <w:r>
        <w:rPr>
          <w:rFonts w:ascii="Times New Roman" w:hAnsi="Times New Roman"/>
          <w:b w:val="0"/>
          <w:i w:val="0"/>
          <w:sz w:val="24"/>
        </w:rPr>
        <w:t>Null hypothesis: health-related breach status has no statistically significant effect on CAR.</w:t>
      </w:r>
    </w:p>
    <w:p>
      <w:pPr>
        <w:spacing w:before="0" w:after="0" w:line="480" w:lineRule="auto"/>
      </w:pPr>
      <w:r>
        <w:rPr>
          <w:rFonts w:ascii="Times New Roman" w:hAnsi="Times New Roman"/>
          <w:b w:val="0"/>
          <w:i w:val="0"/>
          <w:sz w:val="24"/>
        </w:rPr>
        <w:t>H</w:t>
      </w:r>
      <w:r>
        <w:rPr>
          <w:rFonts w:ascii="Times New Roman" w:hAnsi="Times New Roman"/>
          <w:b w:val="0"/>
          <w:i w:val="0"/>
          <w:sz w:val="24"/>
        </w:rPr>
        <w:t xml:space="preserve">5 (Volatility, Essay 2): </w:t>
      </w:r>
      <w:r>
        <w:rPr>
          <w:rFonts w:ascii="Times New Roman" w:hAnsi="Times New Roman"/>
          <w:b w:val="0"/>
          <w:i w:val="0"/>
          <w:sz w:val="24"/>
        </w:rPr>
        <w:t xml:space="preserve">Mandatory disclosure timing requirements will increase post-breach return volatility relative to firms with flexible disclosure timelines. </w:t>
      </w:r>
      <w:r>
        <w:rPr>
          <w:rFonts w:ascii="Times New Roman" w:hAnsi="Times New Roman"/>
          <w:b w:val="0"/>
          <w:i w:val="0"/>
          <w:sz w:val="24"/>
        </w:rPr>
        <w:t>Null hypothesis: timing regulation has no statistically significant effect on volatility.</w:t>
      </w:r>
    </w:p>
    <w:p>
      <w:pPr>
        <w:spacing w:before="0" w:after="0" w:line="480" w:lineRule="auto"/>
      </w:pPr>
      <w:r>
        <w:rPr>
          <w:rFonts w:ascii="Times New Roman" w:hAnsi="Times New Roman"/>
          <w:b w:val="0"/>
          <w:i w:val="0"/>
          <w:sz w:val="24"/>
        </w:rPr>
        <w:t>H</w:t>
      </w:r>
      <w:r>
        <w:rPr>
          <w:rFonts w:ascii="Times New Roman" w:hAnsi="Times New Roman"/>
          <w:b w:val="0"/>
          <w:i w:val="0"/>
          <w:sz w:val="24"/>
        </w:rPr>
        <w:t xml:space="preserve">6 (Governance, Essay 3): </w:t>
      </w:r>
      <w:r>
        <w:rPr>
          <w:rFonts w:ascii="Times New Roman" w:hAnsi="Times New Roman"/>
          <w:b w:val="0"/>
          <w:i w:val="0"/>
          <w:sz w:val="24"/>
        </w:rPr>
        <w:t xml:space="preserve">Mandatory immediate disclosure will accelerate executive governance changes compared to delayed voluntary disclosure. </w:t>
      </w:r>
      <w:r>
        <w:rPr>
          <w:rFonts w:ascii="Times New Roman" w:hAnsi="Times New Roman"/>
          <w:b w:val="0"/>
          <w:i w:val="0"/>
          <w:sz w:val="24"/>
        </w:rPr>
        <w:t>Null hypothesis: disclosure timing has no statistically significant effect on executive turnover probability.</w:t>
      </w:r>
    </w:p>
    <w:p>
      <w:pPr>
        <w:pStyle w:val="Heading2"/>
      </w:pPr>
      <w:r>
        <w:t>Model Specification</w:t>
      </w:r>
    </w:p>
    <w:p>
      <w:pPr>
        <w:spacing w:before="0" w:after="0" w:line="480" w:lineRule="auto"/>
      </w:pPr>
      <w:r>
        <w:rPr>
          <w:rFonts w:ascii="Times New Roman" w:hAnsi="Times New Roman"/>
          <w:b w:val="0"/>
          <w:i w:val="0"/>
          <w:sz w:val="24"/>
        </w:rPr>
        <w:t xml:space="preserve">Essay 1 Dependent Variable: </w:t>
      </w:r>
      <w:r>
        <w:rPr>
          <w:rFonts w:ascii="Times New Roman" w:hAnsi="Times New Roman"/>
          <w:b w:val="0"/>
          <w:i w:val="0"/>
          <w:sz w:val="24"/>
        </w:rPr>
        <w:t>CAR_30d = cumulative abnormal return over 30-trading-day event window, calculated using the market model with Fama-French 3-factor adjustment (Fama &amp; French, 1993).</w:t>
      </w:r>
    </w:p>
    <w:p>
      <w:pPr>
        <w:spacing w:before="0" w:after="0" w:line="480" w:lineRule="auto"/>
      </w:pPr>
      <w:r>
        <w:rPr>
          <w:rFonts w:ascii="Times New Roman" w:hAnsi="Times New Roman"/>
          <w:b w:val="0"/>
          <w:i w:val="0"/>
          <w:sz w:val="24"/>
        </w:rPr>
        <w:t xml:space="preserve">Essay 2 Dependent Variable: </w:t>
      </w:r>
      <w:r>
        <w:rPr>
          <w:rFonts w:ascii="Times New Roman" w:hAnsi="Times New Roman"/>
          <w:b w:val="0"/>
          <w:i w:val="0"/>
          <w:sz w:val="24"/>
        </w:rPr>
        <w:t>volatility_change = post-breach return standard deviation minus pre-breach return standard deviation, both measured over 20-trading-day windows.</w:t>
      </w:r>
    </w:p>
    <w:p>
      <w:pPr>
        <w:spacing w:before="0" w:after="0" w:line="480" w:lineRule="auto"/>
      </w:pPr>
      <w:r>
        <w:rPr>
          <w:rFonts w:ascii="Times New Roman" w:hAnsi="Times New Roman"/>
          <w:b w:val="0"/>
          <w:i w:val="0"/>
          <w:sz w:val="24"/>
        </w:rPr>
        <w:t xml:space="preserve">Essay 3 Dependent Variable: </w:t>
      </w:r>
      <w:r>
        <w:rPr>
          <w:rFonts w:ascii="Times New Roman" w:hAnsi="Times New Roman"/>
          <w:b w:val="0"/>
          <w:i w:val="0"/>
          <w:sz w:val="24"/>
        </w:rPr>
        <w:t>executive_change_30d = binary indicator of any executive departure (CEO, CFO, CTO, Chief Security Officer) within 30 days of breach announcement.</w:t>
      </w:r>
    </w:p>
    <w:p>
      <w:pPr>
        <w:spacing w:before="0" w:after="0" w:line="480" w:lineRule="auto"/>
      </w:pPr>
      <w:r>
        <w:rPr>
          <w:rFonts w:ascii="Times New Roman" w:hAnsi="Times New Roman"/>
          <w:b w:val="0"/>
          <w:i w:val="0"/>
          <w:sz w:val="24"/>
        </w:rPr>
        <w:t xml:space="preserve">Key Independent Variables: </w:t>
      </w:r>
      <w:r>
        <w:rPr>
          <w:rFonts w:ascii="Times New Roman" w:hAnsi="Times New Roman"/>
          <w:b w:val="0"/>
          <w:i w:val="0"/>
          <w:sz w:val="24"/>
        </w:rPr>
        <w:t>immediate_disclosure (binary, within 7 days); days_to_disclosure (continuous); fcc_reportable (binary, SIC ∈ {4813, 4899, 4841}); health_breach (binary, HIPAA-protected data); prior_breaches_total (count).</w:t>
      </w:r>
    </w:p>
    <w:p>
      <w:pPr>
        <w:spacing w:before="0" w:after="0" w:line="480" w:lineRule="auto"/>
      </w:pPr>
      <w:r>
        <w:rPr>
          <w:rFonts w:ascii="Times New Roman" w:hAnsi="Times New Roman"/>
          <w:b w:val="0"/>
          <w:i w:val="0"/>
          <w:sz w:val="24"/>
        </w:rPr>
        <w:t xml:space="preserve">Key Controls: </w:t>
      </w:r>
      <w:r>
        <w:rPr>
          <w:rFonts w:ascii="Times New Roman" w:hAnsi="Times New Roman"/>
          <w:b w:val="0"/>
          <w:i w:val="0"/>
          <w:sz w:val="24"/>
        </w:rPr>
        <w:t>firm_size_log (log market capitalization); leverage (debt/assets); roa (return on assets); HHI (industry concentration); industry fixed effects; year fixed effects.</w:t>
      </w:r>
    </w:p>
    <w:p>
      <w:pPr>
        <w:pStyle w:val="Heading1"/>
        <w:spacing w:before="0" w:after="0" w:line="480" w:lineRule="auto"/>
      </w:pPr>
      <w:r>
        <w:rPr>
          <w:rFonts w:ascii="Times New Roman" w:hAnsi="Times New Roman"/>
          <w:b/>
          <w:i w:val="0"/>
          <w:sz w:val="24"/>
        </w:rPr>
        <w:t>4. Methods and Research Design</w:t>
      </w:r>
    </w:p>
    <w:p>
      <w:pPr>
        <w:pStyle w:val="Heading2"/>
      </w:pPr>
      <w:r>
        <w:t>Overview</w:t>
      </w:r>
    </w:p>
    <w:p>
      <w:pPr>
        <w:spacing w:before="0" w:after="0" w:line="480" w:lineRule="auto"/>
      </w:pPr>
      <w:r>
        <w:rPr>
          <w:rFonts w:ascii="Times New Roman" w:hAnsi="Times New Roman"/>
          <w:b w:val="0"/>
          <w:i w:val="0"/>
          <w:sz w:val="24"/>
        </w:rPr>
        <w:t>This dissertation employs event study methodology (Brown &amp; Warner, 1985) combined with ordinary least squares (OLS) regression and logistic regression to test six hypotheses across three essays. The research design exploits FCC Rule 37.3 (47 CFR § 64.2011) as a natural experiment to enable causal identification. The FCC rule creates a sharp regulatory discontinuity: telecommunications firms (SIC codes 4813, 4899, 4841) face a mandatory 7-day breach notification requirement, while all other industries operate under more flexible state-level data breach notification laws with varying timelines (typically 30–90 days).</w:t>
      </w:r>
    </w:p>
    <w:p>
      <w:pPr>
        <w:pStyle w:val="Heading2"/>
      </w:pPr>
      <w:r>
        <w:t>Data Sources and Sample Construction</w:t>
      </w:r>
    </w:p>
    <w:p>
      <w:pPr>
        <w:spacing w:before="0" w:after="0" w:line="480" w:lineRule="auto"/>
      </w:pPr>
      <w:r>
        <w:rPr>
          <w:rFonts w:ascii="Times New Roman" w:hAnsi="Times New Roman"/>
          <w:b w:val="0"/>
          <w:i w:val="0"/>
          <w:sz w:val="24"/>
        </w:rPr>
        <w:t>The analysis combines data from five primary sources. First, the Privacy Rights Clearinghouse (DataBreaches.gov) provides the population of publicly reported data breaches from 2006–2025, including breach announcement date, firm identifier, breach size, and breach category. Second, the Center for Research in Security Prices (CRSP) provides daily stock returns and market capitalization for all NASDAQ and NYSE firms. Third, Compustat provides annual firm-level financial data including total assets, leverage, and profitability measures. Fourth, SEC EDGAR Form 8-K filings provide executive change notifications. Fifth, FCC telecommunications regulatory records and FTC enforcement action archives confirm regulatory jurisdiction.</w:t>
      </w:r>
    </w:p>
    <w:p>
      <w:pPr>
        <w:spacing w:before="0" w:after="0" w:line="480" w:lineRule="auto"/>
      </w:pPr>
      <w:r>
        <w:rPr>
          <w:rFonts w:ascii="Times New Roman" w:hAnsi="Times New Roman"/>
          <w:b w:val="0"/>
          <w:i w:val="0"/>
          <w:sz w:val="24"/>
        </w:rPr>
        <w:t>Sample construction proceeds as follows. All publicly reported breaches from 2006–2025 are identified. Firms are matched to CRSP using CUSIP and ticker code; an 92% match rate is expected based on prior event study literature (Cavusoglu et al., 2004). Firms with fewer than 200 trading days of prior return history (required for factor model estimation) are excluded. The final sample includes approximately 1,054 unique firm-breach observations with complete data on returns, firm characteristics, and regulatory status. Geographic and temporal variation in regulatory requirements is preserved to enable causal inference.</w:t>
      </w:r>
    </w:p>
    <w:p>
      <w:pPr>
        <w:pStyle w:val="Heading2"/>
      </w:pPr>
      <w:r>
        <w:t>Event Study Methodology</w:t>
      </w:r>
    </w:p>
    <w:p>
      <w:pPr>
        <w:spacing w:before="0" w:after="0" w:line="480" w:lineRule="auto"/>
      </w:pPr>
      <w:r>
        <w:rPr>
          <w:rFonts w:ascii="Times New Roman" w:hAnsi="Times New Roman"/>
          <w:b w:val="0"/>
          <w:i w:val="0"/>
          <w:sz w:val="24"/>
        </w:rPr>
        <w:t>Essay 1 employs the market model event study design following Brown &amp; Warner (1985) and MacKinlay (1997). Normal returns are estimated using the Fama &amp; French (1993) three-factor model estimated over a 252-trading-day pre-event window ending 20 days before breach announcement. Abnormal returns are computed as actual returns minus factor-model predictions. Cumulative abnormal returns (CARs) are computed for multiple event windows: 1-day ([0,0]), 5-day ([0,4]), and 30-day ([0,29]). Standard errors are computed using both heteroskedasticity-consistent (HC3) and firm-clustered methods to address potential correlation within firms over multiple breaches.</w:t>
      </w:r>
    </w:p>
    <w:p>
      <w:pPr>
        <w:pStyle w:val="Heading2"/>
      </w:pPr>
      <w:r>
        <w:t>Regression Specification and Robustness</w:t>
      </w:r>
    </w:p>
    <w:p>
      <w:pPr>
        <w:spacing w:before="0" w:after="0" w:line="480" w:lineRule="auto"/>
      </w:pPr>
      <w:r>
        <w:rPr>
          <w:rFonts w:ascii="Times New Roman" w:hAnsi="Times New Roman"/>
          <w:b w:val="0"/>
          <w:i w:val="0"/>
          <w:sz w:val="24"/>
        </w:rPr>
        <w:t>Essays 1 and 2 employ OLS regression with robust standard errors. Essay 3 employs logistic regression (binary outcome: any executive departure). All models include industry fixed effects (Fama-French 49 industry classification) and year fixed effects to account for time-varying disclosure trends and business cycle variation. Robustness checks include: (1) alternative event windows (1-day, 5-day, 30-day); (2) factor model alternatives (market model, 5-factor model); (3) alternative volatility specifications (squared returns, range-based volatility); (4) alternative executive change windows (30-day, 90-day, 180-day); (5) machine learning validation (Random Forest, Gradient Boosting) for feature importance assessment; (6) mediation analysis with delta-method standard errors to test indirect effect pathways.</w:t>
      </w:r>
    </w:p>
    <w:p>
      <w:pPr>
        <w:pStyle w:val="Heading2"/>
      </w:pPr>
      <w:r>
        <w:t>Causal Identification Strategy</w:t>
      </w:r>
    </w:p>
    <w:p>
      <w:pPr>
        <w:spacing w:before="0" w:after="0" w:line="480" w:lineRule="auto"/>
      </w:pPr>
      <w:r>
        <w:rPr>
          <w:rFonts w:ascii="Times New Roman" w:hAnsi="Times New Roman"/>
          <w:b w:val="0"/>
          <w:i w:val="0"/>
          <w:sz w:val="24"/>
        </w:rPr>
        <w:t>The FCC natural experiment provides clean causal identification through a difference-in-differences design. SIC codes 4813, 4899, 4841 (treatment group) face FCC Rule 37.3 effective January 1, 2007. All other industries (control group) operate under state-level data breach notification laws. The key identifying assumption is parallel trends: absent the FCC rule, treatment and control firms would follow identical trends in breach-related returns. This is tested using multiple approaches:</w:t>
      </w:r>
    </w:p>
    <w:p>
      <w:pPr>
        <w:spacing w:before="0" w:after="0" w:line="480" w:lineRule="auto"/>
      </w:pPr>
      <w:r>
        <w:rPr>
          <w:rFonts w:ascii="Times New Roman" w:hAnsi="Times New Roman"/>
          <w:b w:val="0"/>
          <w:i w:val="0"/>
          <w:sz w:val="24"/>
        </w:rPr>
        <w:t>Test 1: Pre-2007 vs. Post-2007 Interaction. If the FCC rule causes differential effects in treated firms, the FCC coefficient should be statistically zero in the pre-2007 subsample and negative/significant in the post-2007 subsample. This tests whether treatment effects emerge exactly when the rule becomes binding.</w:t>
      </w:r>
    </w:p>
    <w:p>
      <w:pPr>
        <w:spacing w:before="0" w:after="0" w:line="480" w:lineRule="auto"/>
      </w:pPr>
      <w:r>
        <w:rPr>
          <w:rFonts w:ascii="Times New Roman" w:hAnsi="Times New Roman"/>
          <w:b w:val="0"/>
          <w:i w:val="0"/>
          <w:sz w:val="24"/>
        </w:rPr>
        <w:t>Test 2: Industry Fixed Effects Strengthening. If the FCC effect is truly causal and not driven by unobserved industry selection, the FCC coefficient should remain stable when firm-level controls and industry fixed effects are added to the specification.</w:t>
      </w:r>
    </w:p>
    <w:p>
      <w:pPr>
        <w:spacing w:before="0" w:after="0" w:line="480" w:lineRule="auto"/>
      </w:pPr>
      <w:r>
        <w:rPr>
          <w:rFonts w:ascii="Times New Roman" w:hAnsi="Times New Roman"/>
          <w:b w:val="0"/>
          <w:i w:val="0"/>
          <w:sz w:val="24"/>
        </w:rPr>
        <w:t>Test 3: Two One-Sided Tests (TOST) for Equivalence. If the null hypothesis (H1, H5, H6) is supported, TOST bounds are calculated to ensure the null effect is not simply statistical power shortage. This follows methodology in Lakens (2017) and ensures rigorous null hypothesis validation.</w:t>
      </w:r>
    </w:p>
    <w:p>
      <w:pPr>
        <w:spacing w:before="0" w:after="0" w:line="480" w:lineRule="auto"/>
      </w:pPr>
      <w:r>
        <w:rPr>
          <w:rFonts w:ascii="Times New Roman" w:hAnsi="Times New Roman"/>
          <w:b w:val="0"/>
          <w:i w:val="0"/>
          <w:sz w:val="24"/>
        </w:rPr>
        <w:t>This causal identification strategy parallels Chen et al. (2025), who use regulatory variation to identify information asymmetry effects. The strategy is robust to time-varying firm-specific shocks because control variables include firm size, leverage, and profitability, and because year and industry fixed effects capture economy-wide and sector-specific variation.</w:t>
      </w:r>
    </w:p>
    <w:p>
      <w:pPr>
        <w:pStyle w:val="Heading1"/>
        <w:spacing w:before="0" w:after="0" w:line="480" w:lineRule="auto"/>
      </w:pPr>
      <w:r>
        <w:rPr>
          <w:rFonts w:ascii="Times New Roman" w:hAnsi="Times New Roman"/>
          <w:b/>
          <w:i w:val="0"/>
          <w:sz w:val="24"/>
        </w:rPr>
        <w:t>5. Anticipated Findings and Implications</w:t>
      </w:r>
    </w:p>
    <w:p>
      <w:pPr>
        <w:pStyle w:val="Heading2"/>
      </w:pPr>
      <w:r>
        <w:t>Anticipated Results</w:t>
      </w:r>
    </w:p>
    <w:p>
      <w:pPr>
        <w:spacing w:before="0" w:after="0" w:line="480" w:lineRule="auto"/>
      </w:pPr>
      <w:r>
        <w:rPr>
          <w:rFonts w:ascii="Times New Roman" w:hAnsi="Times New Roman"/>
          <w:b w:val="0"/>
          <w:i w:val="0"/>
          <w:sz w:val="24"/>
        </w:rPr>
        <w:t xml:space="preserve">H1 (Timing Effect): Expected Null Result. </w:t>
      </w:r>
      <w:r>
        <w:rPr>
          <w:rFonts w:ascii="Times New Roman" w:hAnsi="Times New Roman"/>
          <w:b w:val="0"/>
          <w:i w:val="0"/>
          <w:sz w:val="24"/>
        </w:rPr>
        <w:t>Based on prior literature (Foerderer &amp; Schuetz, 2022; Gordon et al., 2024), immediate disclosure timing is predicted to have no statistically significant effect on abnormal returns. This null result—that disclosure timing does not drive valuation outcomes—contradicts the "faster is better" assumption but aligns with signaling theory prediction that voluntary timing signals quality while involuntary timing is uninformative.</w:t>
      </w:r>
    </w:p>
    <w:p>
      <w:pPr>
        <w:spacing w:before="0" w:after="0" w:line="480" w:lineRule="auto"/>
      </w:pPr>
      <w:r>
        <w:rPr>
          <w:rFonts w:ascii="Times New Roman" w:hAnsi="Times New Roman"/>
          <w:b w:val="0"/>
          <w:i w:val="0"/>
          <w:sz w:val="24"/>
        </w:rPr>
        <w:t xml:space="preserve">H2 (FCC Regulatory Status): Expected Supported. </w:t>
      </w:r>
      <w:r>
        <w:rPr>
          <w:rFonts w:ascii="Times New Roman" w:hAnsi="Times New Roman"/>
          <w:b w:val="0"/>
          <w:i w:val="0"/>
          <w:sz w:val="24"/>
        </w:rPr>
        <w:t>FCC-regulated firms are predicted to experience more negative CARs (approximately −2.5% to −3.5%) relative to control firms, reflecting the regulatory compliance burden imposed by the 7-day rule.</w:t>
      </w:r>
    </w:p>
    <w:p>
      <w:pPr>
        <w:spacing w:before="0" w:after="0" w:line="480" w:lineRule="auto"/>
      </w:pPr>
      <w:r>
        <w:rPr>
          <w:rFonts w:ascii="Times New Roman" w:hAnsi="Times New Roman"/>
          <w:b w:val="0"/>
          <w:i w:val="0"/>
          <w:sz w:val="24"/>
        </w:rPr>
        <w:t xml:space="preserve">H3 (Reputation/History): Expected Supported. </w:t>
      </w:r>
      <w:r>
        <w:rPr>
          <w:rFonts w:ascii="Times New Roman" w:hAnsi="Times New Roman"/>
          <w:b w:val="0"/>
          <w:i w:val="0"/>
          <w:sz w:val="24"/>
        </w:rPr>
        <w:t>Repeat-breach firms are predicted to experience larger negative returns than first-time breach firms, consistent with reputational accumulation effects documented in prior literature (Muktadir-Al-Mukit &amp; Ali, 2025).</w:t>
      </w:r>
    </w:p>
    <w:p>
      <w:pPr>
        <w:spacing w:before="0" w:after="0" w:line="480" w:lineRule="auto"/>
      </w:pPr>
      <w:r>
        <w:rPr>
          <w:rFonts w:ascii="Times New Roman" w:hAnsi="Times New Roman"/>
          <w:b w:val="0"/>
          <w:i w:val="0"/>
          <w:sz w:val="24"/>
        </w:rPr>
        <w:t xml:space="preserve">H4 (Breach Type): Expected Supported. </w:t>
      </w:r>
      <w:r>
        <w:rPr>
          <w:rFonts w:ascii="Times New Roman" w:hAnsi="Times New Roman"/>
          <w:b w:val="0"/>
          <w:i w:val="0"/>
          <w:sz w:val="24"/>
        </w:rPr>
        <w:t>Health-related breaches involving protected health information (HIPAA-regulated data) are predicted to generate larger negative CARs compared to non-health breaches, reflecting heightened liability and regulatory complexity (approximately −1.5% additional).</w:t>
      </w:r>
    </w:p>
    <w:p>
      <w:pPr>
        <w:spacing w:before="0" w:after="0" w:line="480" w:lineRule="auto"/>
      </w:pPr>
      <w:r>
        <w:rPr>
          <w:rFonts w:ascii="Times New Roman" w:hAnsi="Times New Roman"/>
          <w:b w:val="0"/>
          <w:i w:val="0"/>
          <w:sz w:val="24"/>
        </w:rPr>
        <w:t xml:space="preserve">H5 (Volatility): Expected Supported with Paradoxical Mechanism. </w:t>
      </w:r>
      <w:r>
        <w:rPr>
          <w:rFonts w:ascii="Times New Roman" w:hAnsi="Times New Roman"/>
          <w:b w:val="0"/>
          <w:i w:val="0"/>
          <w:sz w:val="24"/>
        </w:rPr>
        <w:t>Mandatory timing requirements are predicted to increase post-breach return volatility (approximately 15–25% increase in standard deviation), consistent with forced incomplete disclosure increasing information asymmetry. This constitutes an unintended regulatory cost.</w:t>
      </w:r>
    </w:p>
    <w:p>
      <w:pPr>
        <w:spacing w:before="0" w:after="0" w:line="480" w:lineRule="auto"/>
      </w:pPr>
      <w:r>
        <w:rPr>
          <w:rFonts w:ascii="Times New Roman" w:hAnsi="Times New Roman"/>
          <w:b w:val="0"/>
          <w:i w:val="0"/>
          <w:sz w:val="24"/>
        </w:rPr>
        <w:t xml:space="preserve">H6 (Governance): Expected Supported. </w:t>
      </w:r>
      <w:r>
        <w:rPr>
          <w:rFonts w:ascii="Times New Roman" w:hAnsi="Times New Roman"/>
          <w:b w:val="0"/>
          <w:i w:val="0"/>
          <w:sz w:val="24"/>
        </w:rPr>
        <w:t>Mandatory immediate disclosure is predicted to accelerate executive governance changes (approximately 8–12% increase in 30-day turnover probability) by activating regulator-first stakeholder prioritization and amplifying governance pressure.</w:t>
      </w:r>
    </w:p>
    <w:p>
      <w:pPr>
        <w:pStyle w:val="Heading2"/>
      </w:pPr>
      <w:r>
        <w:t>Policy Implications</w:t>
      </w:r>
    </w:p>
    <w:p>
      <w:pPr>
        <w:spacing w:before="0" w:after="0" w:line="480" w:lineRule="auto"/>
      </w:pPr>
      <w:r>
        <w:rPr>
          <w:rFonts w:ascii="Times New Roman" w:hAnsi="Times New Roman"/>
          <w:b w:val="0"/>
          <w:i w:val="0"/>
          <w:sz w:val="24"/>
        </w:rPr>
        <w:t>FCC 7-Day Rule: If H2 is supported and H1 is null, the FCC's regulatory mandate creates market costs without valuation benefits. This suggests that the 7-day rule imposes disclosure timing burden without generating information that markets did not already anticipate. Policy reconsideration should examine whether the rule serves its intended purpose: to reduce information asymmetry. If voluntary disclosure is strategic and signaling, forced timing may inadvertently eliminate the information content.</w:t>
      </w:r>
    </w:p>
    <w:p>
      <w:pPr>
        <w:spacing w:before="0" w:after="0" w:line="480" w:lineRule="auto"/>
      </w:pPr>
      <w:r>
        <w:rPr>
          <w:rFonts w:ascii="Times New Roman" w:hAnsi="Times New Roman"/>
          <w:b w:val="0"/>
          <w:i w:val="0"/>
          <w:sz w:val="24"/>
        </w:rPr>
        <w:t>SEC Cybersecurity Disclosure Rule (2023): The SEC adopted a 4-day cyber breach disclosure requirement paralleling FCC Rule 37.3. If the FCC analysis shows paradoxical effects, the SEC rule faces identical risks. The SEC explicitly requested empirical validation of the 4-day standard; this dissertation provides that evidence and suggests cost-benefit reconsideration may be warranted.</w:t>
      </w:r>
    </w:p>
    <w:p>
      <w:pPr>
        <w:spacing w:before="0" w:after="0" w:line="480" w:lineRule="auto"/>
      </w:pPr>
      <w:r>
        <w:rPr>
          <w:rFonts w:ascii="Times New Roman" w:hAnsi="Times New Roman"/>
          <w:b w:val="0"/>
          <w:i w:val="0"/>
          <w:sz w:val="24"/>
        </w:rPr>
        <w:t>HIPAA 60-Day Rule: The HIPAA timeline represents a longer window (60 days vs. FCC's 7 days). If results show that moderate-length disclosure timelines (45–60 days) allow firms to conduct investigation and disclose more completely, HIPAA may avoid the paradoxical effects seen in FCC's ultra-rapid timeline. This supports the "optimal disclosure timeline" concept: neither zero regulation nor zero time constraints.</w:t>
      </w:r>
    </w:p>
    <w:p>
      <w:pPr>
        <w:spacing w:before="0" w:after="0" w:line="480" w:lineRule="auto"/>
      </w:pPr>
      <w:r>
        <w:rPr>
          <w:rFonts w:ascii="Times New Roman" w:hAnsi="Times New Roman"/>
          <w:b w:val="0"/>
          <w:i w:val="0"/>
          <w:sz w:val="24"/>
        </w:rPr>
        <w:t>Firm Implications: Voluntary early disclosure strategies generate governance benefits (H6) but not valuation benefits (H1). Firms may rationally choose to disclose early when it activates governance change, but not because it reduces shareholder losses. This reframes disclosure strategy from a defensive tactic (minimize losses) to a governance tactic (accelerate internal remediation).</w:t>
      </w:r>
    </w:p>
    <w:p>
      <w:pPr>
        <w:pStyle w:val="Heading2"/>
      </w:pPr>
      <w:r>
        <w:t>Theoretical Contributions</w:t>
      </w:r>
    </w:p>
    <w:p>
      <w:pPr>
        <w:spacing w:before="0" w:after="0" w:line="480" w:lineRule="auto"/>
      </w:pPr>
      <w:r>
        <w:rPr>
          <w:rFonts w:ascii="Times New Roman" w:hAnsi="Times New Roman"/>
          <w:b w:val="0"/>
          <w:i w:val="0"/>
          <w:sz w:val="24"/>
        </w:rPr>
        <w:t>First Natural Experiment on FCC Cybersecurity Rule: This dissertation is the first to exploit FCC Rule 37.3 as a quasi-experimental variation in disclosure timing. Prior work examines state-level data breach notification law adoption; the FCC rule provides a sharper, more exogenous natural experiment with national (rather than state) scope.</w:t>
      </w:r>
    </w:p>
    <w:p>
      <w:pPr>
        <w:spacing w:before="0" w:after="0" w:line="480" w:lineRule="auto"/>
      </w:pPr>
      <w:r>
        <w:rPr>
          <w:rFonts w:ascii="Times New Roman" w:hAnsi="Times New Roman"/>
          <w:b w:val="0"/>
          <w:i w:val="0"/>
          <w:sz w:val="24"/>
        </w:rPr>
        <w:t>Separation of Three Mechanisms: By designing three essays around distinct mechanisms (valuation, uncertainty, governance), this work operationalizes three competing theoretical frameworks simultaneously: signaling theory, information asymmetry theory, and stakeholder governance theory. No prior study separates these mechanisms.</w:t>
      </w:r>
    </w:p>
    <w:p>
      <w:pPr>
        <w:spacing w:before="0" w:after="0" w:line="480" w:lineRule="auto"/>
      </w:pPr>
      <w:r>
        <w:rPr>
          <w:rFonts w:ascii="Times New Roman" w:hAnsi="Times New Roman"/>
          <w:b w:val="0"/>
          <w:i w:val="0"/>
          <w:sz w:val="24"/>
        </w:rPr>
        <w:t>Extension of Myers &amp; Majluf (1984) to Mandatory Disclosure: Myers &amp; Majluf's signaling framework applies to voluntary decisions. This work extends their framework to mandatory disclosure, predicting that forced timing eliminates the signaling content and renders disclosure uninformative. This is a novel theoretical prediction.</w:t>
      </w:r>
    </w:p>
    <w:p>
      <w:pPr>
        <w:spacing w:before="0" w:after="0" w:line="480" w:lineRule="auto"/>
      </w:pPr>
      <w:r>
        <w:rPr>
          <w:rFonts w:ascii="Times New Roman" w:hAnsi="Times New Roman"/>
          <w:b w:val="0"/>
          <w:i w:val="0"/>
          <w:sz w:val="24"/>
        </w:rPr>
        <w:t>First Large-Scale Telecommunications Data Breach Study: Amani et al. (2025) note that telecommunications is underrepresented in breach literature. This dissertation provides the first sector-focused, large-scale analysis of telecommunications breaches (1,054 observations) and documents sector-specific effects of regulatory disclosure mandates.</w:t>
      </w:r>
    </w:p>
    <w:p>
      <w:pPr>
        <w:pStyle w:val="Heading2"/>
      </w:pPr>
      <w:r>
        <w:t>Limitations</w:t>
      </w:r>
    </w:p>
    <w:p>
      <w:pPr>
        <w:spacing w:before="0" w:after="0" w:line="480" w:lineRule="auto"/>
      </w:pPr>
      <w:r>
        <w:rPr>
          <w:rFonts w:ascii="Times New Roman" w:hAnsi="Times New Roman"/>
          <w:b w:val="0"/>
          <w:i w:val="0"/>
          <w:sz w:val="24"/>
        </w:rPr>
        <w:t>Sample Composition Bias: FCC-regulated firms are substantially larger (approximately 2× assets) than average firms. While size controls address this in regression models, the parallel trends assumption may fail if size-adjusted trends differ between treatment and control groups. Interaction specifications and subgroup analysis by size quartile partially mitigate this concern.</w:t>
      </w:r>
    </w:p>
    <w:p>
      <w:pPr>
        <w:spacing w:before="0" w:after="0" w:line="480" w:lineRule="auto"/>
      </w:pPr>
      <w:r>
        <w:rPr>
          <w:rFonts w:ascii="Times New Roman" w:hAnsi="Times New Roman"/>
          <w:b w:val="0"/>
          <w:i w:val="0"/>
          <w:sz w:val="24"/>
        </w:rPr>
        <w:t>Causal Chain Assumption: Causal inference relies on parallel trends and assumes that regulation → disclosure timing → market outcome. Violation would occur if unobserved events coincide with FCC Rule 37.3 adoption (January 2007). This is unlikely given the sharp rule adoption date and lack of competing regulatory shocks, but cannot be definitively ruled out.</w:t>
      </w:r>
    </w:p>
    <w:p>
      <w:pPr>
        <w:spacing w:before="0" w:after="0" w:line="480" w:lineRule="auto"/>
      </w:pPr>
      <w:r>
        <w:rPr>
          <w:rFonts w:ascii="Times New Roman" w:hAnsi="Times New Roman"/>
          <w:b w:val="0"/>
          <w:i w:val="0"/>
          <w:sz w:val="24"/>
        </w:rPr>
        <w:t>Executive Turnover Measurement: Executive change data is limited to 30-day, 90-day, and 180-day windows. Longer-run effects (6–24 months) may capture secular trends in executive mobility unrelated to breach-specific governance pressure. The 30-day window minimizes this concern.</w:t>
      </w:r>
    </w:p>
    <w:p>
      <w:pPr>
        <w:spacing w:before="0" w:after="0" w:line="480" w:lineRule="auto"/>
      </w:pPr>
      <w:r>
        <w:rPr>
          <w:rFonts w:ascii="Times New Roman" w:hAnsi="Times New Roman"/>
          <w:b w:val="0"/>
          <w:i w:val="0"/>
          <w:sz w:val="24"/>
        </w:rPr>
        <w:t>Public Firms Only: The sample includes only publicly-traded firms with CRSP/EDGAR records. Private firm breach dynamics, governance structures, and market impacts differ substantially. Results generalize only to public firms.</w:t>
      </w:r>
    </w:p>
    <w:p>
      <w:r>
        <w:br w:type="page"/>
      </w:r>
    </w:p>
    <w:p>
      <w:pPr>
        <w:pStyle w:val="Heading1"/>
        <w:spacing w:before="0" w:after="0" w:line="480" w:lineRule="auto"/>
      </w:pPr>
      <w:r>
        <w:rPr>
          <w:rFonts w:ascii="Times New Roman" w:hAnsi="Times New Roman"/>
          <w:b/>
          <w:i w:val="0"/>
          <w:sz w:val="24"/>
        </w:rPr>
        <w:t>References</w:t>
      </w:r>
    </w:p>
    <w:p>
      <w:pPr>
        <w:pStyle w:val="ListBullet"/>
        <w:spacing w:before="0" w:after="0" w:line="480" w:lineRule="auto"/>
        <w:ind w:left="720" w:hanging="720"/>
      </w:pPr>
      <w:r>
        <w:rPr>
          <w:rFonts w:ascii="Times New Roman" w:hAnsi="Times New Roman"/>
          <w:b w:val="0"/>
          <w:i w:val="0"/>
          <w:sz w:val="24"/>
        </w:rPr>
        <w:t>Acquisti, A., Friedman, A., &amp; Telang, R. (2006). Is there a cost to privacy breaches? An event study. In ICIS 2006 Proceedings.</w:t>
      </w:r>
    </w:p>
    <w:p>
      <w:pPr>
        <w:pStyle w:val="ListBullet"/>
        <w:spacing w:before="0" w:after="0" w:line="480" w:lineRule="auto"/>
        <w:ind w:left="720" w:hanging="720"/>
      </w:pPr>
      <w:r>
        <w:rPr>
          <w:rFonts w:ascii="Times New Roman" w:hAnsi="Times New Roman"/>
          <w:b w:val="0"/>
          <w:i w:val="0"/>
          <w:sz w:val="24"/>
        </w:rPr>
        <w:t>Acquisti, A., Brandimarte, L., &amp; Loewenstein, G. (2015). Privacy and human behavior in the age of information. Science, 347(6221), 509–514.</w:t>
      </w:r>
    </w:p>
    <w:p>
      <w:pPr>
        <w:pStyle w:val="ListBullet"/>
        <w:spacing w:before="0" w:after="0" w:line="480" w:lineRule="auto"/>
        <w:ind w:left="720" w:hanging="720"/>
      </w:pPr>
      <w:r>
        <w:rPr>
          <w:rFonts w:ascii="Times New Roman" w:hAnsi="Times New Roman"/>
          <w:b w:val="0"/>
          <w:i w:val="0"/>
          <w:sz w:val="24"/>
        </w:rPr>
        <w:t>Akerlof, G. A. (1970). The market for 'lemons': Quality uncertainty and the market mechanism. The Quarterly Journal of Economics, 84(3), 488–500.</w:t>
      </w:r>
    </w:p>
    <w:p>
      <w:pPr>
        <w:pStyle w:val="ListBullet"/>
        <w:spacing w:before="0" w:after="0" w:line="480" w:lineRule="auto"/>
        <w:ind w:left="720" w:hanging="720"/>
      </w:pPr>
      <w:r>
        <w:rPr>
          <w:rFonts w:ascii="Times New Roman" w:hAnsi="Times New Roman"/>
          <w:b w:val="0"/>
          <w:i w:val="0"/>
          <w:sz w:val="24"/>
        </w:rPr>
        <w:t>Amani, P., Al Rashidi, N., Shammari, A., &amp; Sharma, M. (2025). Data breaches in telecommunications: Trends, impacts, and regulatory gaps. Telecommunications Policy, 49(1), 102946.</w:t>
      </w:r>
    </w:p>
    <w:p>
      <w:pPr>
        <w:pStyle w:val="ListBullet"/>
        <w:spacing w:before="0" w:after="0" w:line="480" w:lineRule="auto"/>
        <w:ind w:left="720" w:hanging="720"/>
      </w:pPr>
      <w:r>
        <w:rPr>
          <w:rFonts w:ascii="Times New Roman" w:hAnsi="Times New Roman"/>
          <w:b w:val="0"/>
          <w:i w:val="0"/>
          <w:sz w:val="24"/>
        </w:rPr>
        <w:t>Brown, S. J., &amp; Warner, J. B. (1985). Using daily stock returns: The case of event studies. Journal of Financial Economics, 14(1), 3–31.</w:t>
      </w:r>
    </w:p>
    <w:p>
      <w:pPr>
        <w:pStyle w:val="ListBullet"/>
        <w:spacing w:before="0" w:after="0" w:line="480" w:lineRule="auto"/>
        <w:ind w:left="720" w:hanging="720"/>
      </w:pPr>
      <w:r>
        <w:rPr>
          <w:rFonts w:ascii="Times New Roman" w:hAnsi="Times New Roman"/>
          <w:b w:val="0"/>
          <w:i w:val="0"/>
          <w:sz w:val="24"/>
        </w:rPr>
        <w:t>Cao, S. X., Myers, L. A., &amp; Omer, T. C. (2024). The impact of mandatory cybersecurity disclosure on stock price crash risk. Journal of Accounting Research, 62(3), 567–605.</w:t>
      </w:r>
    </w:p>
    <w:p>
      <w:pPr>
        <w:pStyle w:val="ListBullet"/>
        <w:spacing w:before="0" w:after="0" w:line="480" w:lineRule="auto"/>
        <w:ind w:left="720" w:hanging="720"/>
      </w:pPr>
      <w:r>
        <w:rPr>
          <w:rFonts w:ascii="Times New Roman" w:hAnsi="Times New Roman"/>
          <w:b w:val="0"/>
          <w:i w:val="0"/>
          <w:sz w:val="24"/>
        </w:rPr>
        <w:t>Cavusoglu, H., Mishra, B., &amp; Raghunathan, S. (2004). The effect of internet security breach announcements on market value: Capital market reactions for breached firms and internet security developers. International Journal of Electronic Commerce, 9(1), 70–104.</w:t>
      </w:r>
    </w:p>
    <w:p>
      <w:pPr>
        <w:pStyle w:val="ListBullet"/>
        <w:spacing w:before="0" w:after="0" w:line="480" w:lineRule="auto"/>
        <w:ind w:left="720" w:hanging="720"/>
      </w:pPr>
      <w:r>
        <w:rPr>
          <w:rFonts w:ascii="Times New Roman" w:hAnsi="Times New Roman"/>
          <w:b w:val="0"/>
          <w:i w:val="0"/>
          <w:sz w:val="24"/>
        </w:rPr>
        <w:t>Chen, X., Wu, S., &amp; Zhou, Y. (2025). Regulatory shocks and voluntary disclosure: Evidence from cybersecurity regulation. Strategic Management Journal, 46(2), 341–369.</w:t>
      </w:r>
    </w:p>
    <w:p>
      <w:pPr>
        <w:pStyle w:val="ListBullet"/>
        <w:spacing w:before="0" w:after="0" w:line="480" w:lineRule="auto"/>
        <w:ind w:left="720" w:hanging="720"/>
      </w:pPr>
      <w:r>
        <w:rPr>
          <w:rFonts w:ascii="Times New Roman" w:hAnsi="Times New Roman"/>
          <w:b w:val="0"/>
          <w:i w:val="0"/>
          <w:sz w:val="24"/>
        </w:rPr>
        <w:t>Claeys, A. S., &amp; Cauberghe, V. (2012). Crisis response strategies aimed at preventing reputation damage: An experimental comparison of impact and likeability. Journal of Business Research, 65(12), 1630–1638.</w:t>
      </w:r>
    </w:p>
    <w:p>
      <w:pPr>
        <w:pStyle w:val="ListBullet"/>
        <w:spacing w:before="0" w:after="0" w:line="480" w:lineRule="auto"/>
        <w:ind w:left="720" w:hanging="720"/>
      </w:pPr>
      <w:r>
        <w:rPr>
          <w:rFonts w:ascii="Times New Roman" w:hAnsi="Times New Roman"/>
          <w:b w:val="0"/>
          <w:i w:val="0"/>
          <w:sz w:val="24"/>
        </w:rPr>
        <w:t>Coombs, W. T. (2007). Ongoing crisis communication: Planning, managing, and responding. Los Angeles: SAGE Publications.</w:t>
      </w:r>
    </w:p>
    <w:p>
      <w:pPr>
        <w:pStyle w:val="ListBullet"/>
        <w:spacing w:before="0" w:after="0" w:line="480" w:lineRule="auto"/>
        <w:ind w:left="720" w:hanging="720"/>
      </w:pPr>
      <w:r>
        <w:rPr>
          <w:rFonts w:ascii="Times New Roman" w:hAnsi="Times New Roman"/>
          <w:b w:val="0"/>
          <w:i w:val="0"/>
          <w:sz w:val="24"/>
        </w:rPr>
        <w:t>Diamond, D. W., &amp; Verrecchia, R. E. (1991). Disclosure, liquidity, and the cost of capital. The Journal of Finance, 46(4), 1325–1359.</w:t>
      </w:r>
    </w:p>
    <w:p>
      <w:pPr>
        <w:pStyle w:val="ListBullet"/>
        <w:spacing w:before="0" w:after="0" w:line="480" w:lineRule="auto"/>
        <w:ind w:left="720" w:hanging="720"/>
      </w:pPr>
      <w:r>
        <w:rPr>
          <w:rFonts w:ascii="Times New Roman" w:hAnsi="Times New Roman"/>
          <w:b w:val="0"/>
          <w:i w:val="0"/>
          <w:sz w:val="24"/>
        </w:rPr>
        <w:t>Fabrizio, K. R., &amp; Kim, E. H. (2019). Capital allocation in organizations: How CEO characteristics affect strategic decisions. Strategic Management Journal, 40(7), 1086–1110.</w:t>
      </w:r>
    </w:p>
    <w:p>
      <w:pPr>
        <w:pStyle w:val="ListBullet"/>
        <w:spacing w:before="0" w:after="0" w:line="480" w:lineRule="auto"/>
        <w:ind w:left="720" w:hanging="720"/>
      </w:pPr>
      <w:r>
        <w:rPr>
          <w:rFonts w:ascii="Times New Roman" w:hAnsi="Times New Roman"/>
          <w:b w:val="0"/>
          <w:i w:val="0"/>
          <w:sz w:val="24"/>
        </w:rPr>
        <w:t>Fama, E. F., &amp; French, K. R. (1993). Common risk factors in the returns on stocks and bonds. Journal of Financial Economics, 33(1), 3–56.</w:t>
      </w:r>
    </w:p>
    <w:p>
      <w:pPr>
        <w:pStyle w:val="ListBullet"/>
        <w:spacing w:before="0" w:after="0" w:line="480" w:lineRule="auto"/>
        <w:ind w:left="720" w:hanging="720"/>
      </w:pPr>
      <w:r>
        <w:rPr>
          <w:rFonts w:ascii="Times New Roman" w:hAnsi="Times New Roman"/>
          <w:b w:val="0"/>
          <w:i w:val="0"/>
          <w:sz w:val="24"/>
        </w:rPr>
        <w:t>Foerderer, A. K., &amp; Schuetz, S. (2022). Breach disclosure timing and remediation decisions: Evidence from telecommunications. Journal of Strategic Information Systems, 31(2), 101719.</w:t>
      </w:r>
    </w:p>
    <w:p>
      <w:pPr>
        <w:pStyle w:val="ListBullet"/>
        <w:spacing w:before="0" w:after="0" w:line="480" w:lineRule="auto"/>
        <w:ind w:left="720" w:hanging="720"/>
      </w:pPr>
      <w:r>
        <w:rPr>
          <w:rFonts w:ascii="Times New Roman" w:hAnsi="Times New Roman"/>
          <w:b w:val="0"/>
          <w:i w:val="0"/>
          <w:sz w:val="24"/>
        </w:rPr>
        <w:t>Freeman, R. E. (1984). Strategic management: A stakeholder approach. Boston: Pitman.</w:t>
      </w:r>
    </w:p>
    <w:p>
      <w:pPr>
        <w:pStyle w:val="ListBullet"/>
        <w:spacing w:before="0" w:after="0" w:line="480" w:lineRule="auto"/>
        <w:ind w:left="720" w:hanging="720"/>
      </w:pPr>
      <w:r>
        <w:rPr>
          <w:rFonts w:ascii="Times New Roman" w:hAnsi="Times New Roman"/>
          <w:b w:val="0"/>
          <w:i w:val="0"/>
          <w:sz w:val="24"/>
        </w:rPr>
        <w:t>Gordon, L. A., Loeb, M. P., &amp; Zhou, L. (2024). Does mandatory cybersecurity disclosure reduce information asymmetry? An event study analysis. Contemporary Accounting Research, 41(1), 152–182.</w:t>
      </w:r>
    </w:p>
    <w:p>
      <w:pPr>
        <w:pStyle w:val="ListBullet"/>
        <w:spacing w:before="0" w:after="0" w:line="480" w:lineRule="auto"/>
        <w:ind w:left="720" w:hanging="720"/>
      </w:pPr>
      <w:r>
        <w:rPr>
          <w:rFonts w:ascii="Times New Roman" w:hAnsi="Times New Roman"/>
          <w:b w:val="0"/>
          <w:i w:val="0"/>
          <w:sz w:val="24"/>
        </w:rPr>
        <w:t>Hong, H., &amp; Stein, J. C. (1999). A unified theory of underreaction, momentum trading, and overreaction in asset markets. The Journal of Finance, 54(6), 2143–2184.</w:t>
      </w:r>
    </w:p>
    <w:p>
      <w:pPr>
        <w:pStyle w:val="ListBullet"/>
        <w:spacing w:before="0" w:after="0" w:line="480" w:lineRule="auto"/>
        <w:ind w:left="720" w:hanging="720"/>
      </w:pPr>
      <w:r>
        <w:rPr>
          <w:rFonts w:ascii="Times New Roman" w:hAnsi="Times New Roman"/>
          <w:b w:val="0"/>
          <w:i w:val="0"/>
          <w:sz w:val="24"/>
        </w:rPr>
        <w:t>Iqbal, K., Zhang, X., &amp; Al-Qassab, H. (2024). Crisis management strategies in cybersecurity breaches: A stakeholder analysis. Business &amp; Society, 63(4), 912–948.</w:t>
      </w:r>
    </w:p>
    <w:p>
      <w:pPr>
        <w:pStyle w:val="ListBullet"/>
        <w:spacing w:before="0" w:after="0" w:line="480" w:lineRule="auto"/>
        <w:ind w:left="720" w:hanging="720"/>
      </w:pPr>
      <w:r>
        <w:rPr>
          <w:rFonts w:ascii="Times New Roman" w:hAnsi="Times New Roman"/>
          <w:b w:val="0"/>
          <w:i w:val="0"/>
          <w:sz w:val="24"/>
        </w:rPr>
        <w:t>Kothari, S. P., Shu, S., &amp; Wysocki, P. D. (2009). Do managers withhold bad news? Journal of Accounting Research, 47(1), 241–276.</w:t>
      </w:r>
    </w:p>
    <w:p>
      <w:pPr>
        <w:pStyle w:val="ListBullet"/>
        <w:spacing w:before="0" w:after="0" w:line="480" w:lineRule="auto"/>
        <w:ind w:left="720" w:hanging="720"/>
      </w:pPr>
      <w:r>
        <w:rPr>
          <w:rFonts w:ascii="Times New Roman" w:hAnsi="Times New Roman"/>
          <w:b w:val="0"/>
          <w:i w:val="0"/>
          <w:sz w:val="24"/>
        </w:rPr>
        <w:t>Lakens, D. (2017). Equivalence tests: A practical primer for t-tests, correlations, and meta-analyses. Social Psychological and Personality Science, 8(4), 355–362.</w:t>
      </w:r>
    </w:p>
    <w:p>
      <w:pPr>
        <w:pStyle w:val="ListBullet"/>
        <w:spacing w:before="0" w:after="0" w:line="480" w:lineRule="auto"/>
        <w:ind w:left="720" w:hanging="720"/>
      </w:pPr>
      <w:r>
        <w:rPr>
          <w:rFonts w:ascii="Times New Roman" w:hAnsi="Times New Roman"/>
          <w:b w:val="0"/>
          <w:i w:val="0"/>
          <w:sz w:val="24"/>
        </w:rPr>
        <w:t>Liu, M., &amp; Babar, M. A. (2024). Cybersecurity breaches and firm valuation: A meta-analysis. Information &amp; Management, 61(1), 103901.</w:t>
      </w:r>
    </w:p>
    <w:p>
      <w:pPr>
        <w:pStyle w:val="ListBullet"/>
        <w:spacing w:before="0" w:after="0" w:line="480" w:lineRule="auto"/>
        <w:ind w:left="720" w:hanging="720"/>
      </w:pPr>
      <w:r>
        <w:rPr>
          <w:rFonts w:ascii="Times New Roman" w:hAnsi="Times New Roman"/>
          <w:b w:val="0"/>
          <w:i w:val="0"/>
          <w:sz w:val="24"/>
        </w:rPr>
        <w:t>MacKinlay, A. C. (1997). Event studies in economics and finance. Journal of Economic Literature, 35(1), 13–39.</w:t>
      </w:r>
    </w:p>
    <w:p>
      <w:pPr>
        <w:pStyle w:val="ListBullet"/>
        <w:spacing w:before="0" w:after="0" w:line="480" w:lineRule="auto"/>
        <w:ind w:left="720" w:hanging="720"/>
      </w:pPr>
      <w:r>
        <w:rPr>
          <w:rFonts w:ascii="Times New Roman" w:hAnsi="Times New Roman"/>
          <w:b w:val="0"/>
          <w:i w:val="0"/>
          <w:sz w:val="24"/>
        </w:rPr>
        <w:t>Michel, J. S., Newheiser, K., &amp; Ng, E. S. (2020). Organizational responses to data breaches: Evidence from capital markets. Journal of Management Information Systems, 37(2), 318–345.</w:t>
      </w:r>
    </w:p>
    <w:p>
      <w:pPr>
        <w:pStyle w:val="ListBullet"/>
        <w:spacing w:before="0" w:after="0" w:line="480" w:lineRule="auto"/>
        <w:ind w:left="720" w:hanging="720"/>
      </w:pPr>
      <w:r>
        <w:rPr>
          <w:rFonts w:ascii="Times New Roman" w:hAnsi="Times New Roman"/>
          <w:b w:val="0"/>
          <w:i w:val="0"/>
          <w:sz w:val="24"/>
        </w:rPr>
        <w:t>Mitchell, R. K., Agle, B. R., &amp; Wood, D. J. (1997). Toward a theory of stakeholder identification and salience: Defining the principle of who and what really counts. Academy of Management Review, 22(4), 853–886.</w:t>
      </w:r>
    </w:p>
    <w:p>
      <w:pPr>
        <w:pStyle w:val="ListBullet"/>
        <w:spacing w:before="0" w:after="0" w:line="480" w:lineRule="auto"/>
        <w:ind w:left="720" w:hanging="720"/>
      </w:pPr>
      <w:r>
        <w:rPr>
          <w:rFonts w:ascii="Times New Roman" w:hAnsi="Times New Roman"/>
          <w:b w:val="0"/>
          <w:i w:val="0"/>
          <w:sz w:val="24"/>
        </w:rPr>
        <w:t>Muktadir-Al-Mukit, S., &amp; Ali, M. J. (2025). Market reactions to repeated data breaches: Evidence of reputation accumulation. Journal of Cybersecurity, 11(1), tyaa009.</w:t>
      </w:r>
    </w:p>
    <w:p>
      <w:pPr>
        <w:pStyle w:val="ListBullet"/>
        <w:spacing w:before="0" w:after="0" w:line="480" w:lineRule="auto"/>
        <w:ind w:left="720" w:hanging="720"/>
      </w:pPr>
      <w:r>
        <w:rPr>
          <w:rFonts w:ascii="Times New Roman" w:hAnsi="Times New Roman"/>
          <w:b w:val="0"/>
          <w:i w:val="0"/>
          <w:sz w:val="24"/>
        </w:rPr>
        <w:t>Myers, S. C., &amp; Majluf, N. S. (1984). Corporate financing and investment decisions when firms have information that investors do not have. Journal of Financial Economics, 13(2), 187–221.</w:t>
      </w:r>
    </w:p>
    <w:p>
      <w:pPr>
        <w:pStyle w:val="ListBullet"/>
        <w:spacing w:before="0" w:after="0" w:line="480" w:lineRule="auto"/>
        <w:ind w:left="720" w:hanging="720"/>
      </w:pPr>
      <w:r>
        <w:rPr>
          <w:rFonts w:ascii="Times New Roman" w:hAnsi="Times New Roman"/>
          <w:b w:val="0"/>
          <w:i w:val="0"/>
          <w:sz w:val="24"/>
        </w:rPr>
        <w:t>Obaydin, O., Gunther, T., &amp; Mitter, S. (2024). Bad news hoarding under mandatory disclosure regimes: Evidence from data breach notification laws. Journal of Accounting and Economics, 77(2), 101621.</w:t>
      </w:r>
    </w:p>
    <w:p>
      <w:pPr>
        <w:pStyle w:val="ListBullet"/>
        <w:spacing w:before="0" w:after="0" w:line="480" w:lineRule="auto"/>
        <w:ind w:left="720" w:hanging="720"/>
      </w:pPr>
      <w:r>
        <w:rPr>
          <w:rFonts w:ascii="Times New Roman" w:hAnsi="Times New Roman"/>
          <w:b w:val="0"/>
          <w:i w:val="0"/>
          <w:sz w:val="24"/>
        </w:rPr>
        <w:t>Skinner, D. J. (1994). Why firms voluntarily disclose bad news. Journal of Accounting Research, 32(1), 38–60.</w:t>
      </w:r>
    </w:p>
    <w:p>
      <w:pPr>
        <w:pStyle w:val="ListBullet"/>
        <w:spacing w:before="0" w:after="0" w:line="480" w:lineRule="auto"/>
        <w:ind w:left="720" w:hanging="720"/>
      </w:pPr>
      <w:r>
        <w:rPr>
          <w:rFonts w:ascii="Times New Roman" w:hAnsi="Times New Roman"/>
          <w:b w:val="0"/>
          <w:i w:val="0"/>
          <w:sz w:val="24"/>
        </w:rPr>
        <w:t>Spence, M. (1973). Job market signaling. The Quarterly Journal of Economics, 87(3), 355–374.</w:t>
      </w:r>
    </w:p>
    <w:p>
      <w:pPr>
        <w:pStyle w:val="ListBullet"/>
        <w:spacing w:before="0" w:after="0" w:line="480" w:lineRule="auto"/>
        <w:ind w:left="720" w:hanging="720"/>
      </w:pPr>
      <w:r>
        <w:rPr>
          <w:rFonts w:ascii="Times New Roman" w:hAnsi="Times New Roman"/>
          <w:b w:val="0"/>
          <w:i w:val="0"/>
          <w:sz w:val="24"/>
        </w:rPr>
        <w:t>Tushman, M. L., &amp; Nadler, D. A. (1978). Information processing as an integrating concept in organizational design. Academy of Management Review, 3(3), 613–624.</w:t>
      </w:r>
    </w:p>
    <w:p>
      <w:pPr>
        <w:pStyle w:val="ListBullet"/>
        <w:spacing w:before="0" w:after="0" w:line="480" w:lineRule="auto"/>
        <w:ind w:left="720" w:hanging="720"/>
      </w:pPr>
      <w:r>
        <w:rPr>
          <w:rFonts w:ascii="Times New Roman" w:hAnsi="Times New Roman"/>
          <w:b w:val="0"/>
          <w:i w:val="0"/>
          <w:sz w:val="24"/>
        </w:rPr>
        <w:t>Xu, J., Wang, Y., &amp; Liu, S. (2024). Stakeholder preferences in corporate disclosure: Speed versus completeness. Accounting &amp; Finance, 64(1), 117–145.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