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DATA BREACH DISCLOSURE TIMING AND MARKET REACTIONS</w:t>
      </w:r>
    </w:p>
    <w:p/>
    <w:p>
      <w:pPr>
        <w:jc w:val="center"/>
      </w:pPr>
      <w:r>
        <w:t>A Dissertation Proposal</w:t>
      </w:r>
    </w:p>
    <w:p/>
    <w:p/>
    <w:p/>
    <w:p>
      <w:pPr>
        <w:jc w:val="center"/>
      </w:pPr>
      <w:r>
        <w:t>Timothy D. Spivey</w:t>
      </w:r>
    </w:p>
    <w:p>
      <w:pPr>
        <w:jc w:val="center"/>
      </w:pPr>
      <w:r>
        <w:t>University of South Alabama</w:t>
      </w:r>
    </w:p>
    <w:p/>
    <w:p>
      <w:pPr>
        <w:jc w:val="center"/>
      </w:pPr>
      <w:r>
        <w:t>February 2026</w:t>
      </w:r>
    </w:p>
    <w:p>
      <w:r>
        <w:br w:type="page"/>
      </w:r>
    </w:p>
    <w:p>
      <w:pPr>
        <w:pStyle w:val="Heading1"/>
      </w:pPr>
      <w:r>
        <w:t>I. Introduction</w:t>
      </w:r>
    </w:p>
    <w:p>
      <w:pPr>
        <w:spacing w:after="120" w:line="480" w:lineRule="auto"/>
        <w:ind w:firstLine="720"/>
      </w:pPr>
      <w:r>
        <w:rPr>
          <w:sz w:val="22"/>
        </w:rPr>
        <w:t>Data breaches at publicly-traded firms are accelerating exponentially, with over 1,000 breaches reported annually by 2023 (Privacy Rights Clearinghouse, 2024). The economic consequences are substantial: breaches impose an average loss of $4.45 million per firm and trigger cumulative abnormal returns of -0.41% to -2.1% in the days following public disclosure (Acquisti, Friedman, &amp; Telang, 2006; Cavusoglu, Mishra, &amp; Raghunathan, 2004). However, Edwards, Hofmeyr, and Forrest (2016) caution that apparent increases in breach frequency and severity may reflect statistical properties of heavy-tailed distributions rather than actual worsening trends, suggesting that regulatory responses may outpace actual risk escalation. Federal regulatory bodies have adopted dramatically different mandatory disclosure timing requirements to address this crisis: the Federal Communications Commission (FCC) mandates disclosure within 7 days of discovering a breach affecting customers, the Securities and Exchange Commission (SEC) requires disclosure within 4 days of determining a cybersecurity incident is material, and the Department of Health and Human Services (HHS) under HIPAA requires notification within 60 days. These regulations rest on a shared assumption that faster disclosure is categorically superior to delayed disclosure, yet this assumption remains empirically untested in the academic literature.</w:t>
      </w:r>
    </w:p>
    <w:p>
      <w:pPr>
        <w:spacing w:after="120" w:line="480" w:lineRule="auto"/>
        <w:ind w:firstLine="720"/>
      </w:pPr>
      <w:r>
        <w:rPr>
          <w:sz w:val="22"/>
        </w:rPr>
        <w:t>The implicit policy logic underlying these timing mandates is straightforward: accelerating disclosure reduces information asymmetry, allowing markets to incorporate breach information quickly and fully. This logic assumes that disclosure quality is invariant with respect to timing constraints and that faster market learning about breach severity reduces uncertainty and improves capital allocation efficiency. Yet scholars of crisis communication and information disclosure have documented a paradox: mandatory disclosure requirements can increase stock price crash risk, encourage information hoarding, and reduce the quality of disclosed information by forcing incomplete revelation before investigation is complete (Diamond &amp; Verrecchia, 1991; Obaydin, Xu, &amp; Zurbruegg, 2024; Cao, Phan, &amp; Silveri, 2024; Gordon, Loeb, Zhou, &amp; Wilford, 2024). Kothari, Shu, and Wysocki (2009) document that under mandatory disclosure regimes, managers accumulate bad news until forced disclosure, resulting in larger eventual price declines compared to staggered voluntary disclosure patterns. Fabrizio and Kim (2019) provide direct evidence that disclosure quality declines when organizations face time pressure for information production and communication, while Abukari, Dutta, Li, Tang, and Zhu (2024) show that corporate communication strategies directly affect the likelihood of future breaches and investor perception of cybersecurity posture. This dissertation addresses the core gap: empirical evidence on whether disclosure timing mandates create net benefits or unintended costs through multiple organizational and market mechanisms.</w:t>
      </w:r>
    </w:p>
    <w:p>
      <w:r>
        <w:br w:type="page"/>
      </w:r>
    </w:p>
    <w:p>
      <w:pPr>
        <w:pStyle w:val="Heading1"/>
      </w:pPr>
      <w:r>
        <w:t>II. Literature Review</w:t>
      </w:r>
    </w:p>
    <w:p>
      <w:pPr>
        <w:pStyle w:val="Heading2"/>
      </w:pPr>
      <w:r>
        <w:t>A. Market Reactions to Data Breaches and Disclosure Effects</w:t>
      </w:r>
    </w:p>
    <w:p>
      <w:pPr>
        <w:spacing w:after="120" w:line="480" w:lineRule="auto"/>
        <w:ind w:firstLine="720"/>
      </w:pPr>
      <w:r>
        <w:rPr>
          <w:sz w:val="22"/>
        </w:rPr>
        <w:t>The empirical literature on market reactions to data breaches is extensive, though it reaches somewhat inconsistent conclusions about both the magnitude of effects and the role of disclosure timing. Cavusoglu, Mishra, and Raghunathan (2004) conducted a seminal event study of 64 security breaches at public firms between 1995 and 2004, finding cumulative abnormal returns of -2.1% in a 2-trading-day window around breach announcement, with security firms showing positive returns of +1.36%, suggesting that breach disclosures create value reallocation rather than pure value destruction. Acquisti, Friedman, and Telang (2006) expanded this analysis to 137 breaches and found a smaller effect of -0.41% in a single-day window that dissipates within 2 trading days, suggesting that markets incorporate breach information rapidly. Michel, Oded, and Shaked (2020) reexamined these patterns with 344 breaches from 2005-2017, documenting that many breaches showed stock price leakage before public announcement (consistent with informed trading on undisclosed information), and that post-announcement recovery occurred within 2-5 days, suggesting that early announcements are followed by price correction as more information emerges.</w:t>
      </w:r>
    </w:p>
    <w:p>
      <w:pPr>
        <w:spacing w:after="120" w:line="480" w:lineRule="auto"/>
        <w:ind w:firstLine="720"/>
      </w:pPr>
      <w:r>
        <w:rPr>
          <w:sz w:val="22"/>
        </w:rPr>
        <w:t>Recent meta-analyses synthesize these disparate findings. Liu and Babar (2024) conducted a systematic review of 203 empirical studies of cybersecurity breaches and their consequences, finding that the range of estimated effects spans from -0.3% to -2.1% cumulative abnormal return depending on sample period, breach type, firm size, and market conditions. Edwards, Hofmeyr, and Forrest (2016) challenge the narrative of exponentially increasing breach risk through statistical analysis of 2,253 US data breaches from 2005-2015, demonstrating that breach sizes follow heavy-tailed distributions where rare large events create misleading year-over-year comparisons, and that neither size nor frequency has increased over their study decade. Agarwal, Ghosh, Ruan, and Zhang (2024) examine customer-level responses to breaches using transaction data, finding that transient customer response to data breaches of their information creates temporary purchasing behavior changes without sustained demand reduction, suggesting that immediate market reactions may overstate long-term firm impact. Akyildirim, Conlon, Corbet, and Hou (2024) examine stock market response to cyberattacks specifically, distinguishing attack severity effects from disclosure effects. Martins, Moutinho, and Cró (2025) provide recent evidence on stock market effects of major cyber-attacks, finding differential impacts for breached firms versus cybersecurity service provider firms. The consistent finding across these studies is that breach disclosure is a negative information event, but the magnitude of effect is highly heterogeneous and context-dependent.</w:t>
      </w:r>
    </w:p>
    <w:p>
      <w:pPr>
        <w:spacing w:after="120" w:line="480" w:lineRule="auto"/>
        <w:ind w:firstLine="720"/>
      </w:pPr>
      <w:r>
        <w:rPr>
          <w:sz w:val="22"/>
        </w:rPr>
        <w:t>However, the role of disclosure timing in these market reactions remains largely unexplored. Acquisti, Taylor, and Wagman (2016) published a comprehensive Journal of Economic Literature survey synthesizing over two decades of breach disclosure research, explicitly noting that studies have examined when breaches became public, but rarely tested whether the timing of disclosure—relative to the timing of breach discovery—affects market outcomes. They identify this as a critical research gap: state data breach notification (DBN) laws show heterogeneous effects because they vary in disclosure timing requirements, but studies cannot isolate timing effects from other aspects of mandatory disclosure laws such as required content, required parties to notify, and required investigation scope. Amani, Magnan, and Moldovan (2025) provide a recent comprehensive literature review of cybersecurity risks and incidents disclosure, identifying the decomposition of timing effects as a key gap in current empirical evidence. The current literature documents that disclosure requirements have market effects, but cannot decompose those effects into timing components versus content components.</w:t>
      </w:r>
    </w:p>
    <w:p>
      <w:pPr>
        <w:spacing w:after="120" w:line="480" w:lineRule="auto"/>
        <w:ind w:firstLine="720"/>
      </w:pPr>
      <w:r>
        <w:rPr>
          <w:sz w:val="22"/>
        </w:rPr>
        <w:t>Recent behavioral finance research by Kumar (2009) on hard-to-value stocks provides additional insight into post-breach market reactions. Kumar documents that investors make worse decisions when stocks are harder to value, using mental shortcuts that lead to behavioral biases. Applied to data breaches, which increase valuation uncertainty similar to hard-to-value stocks, Kumar's framework suggests that breach announcements trigger both disposition effects (reluctance to sell) and overconfidence (poor trading decisions), amplifying post-breach volatility. Gu, Kelly, and Xiu (2020) demonstrate that machine learning approaches can improve asset pricing models, suggesting that robust validation of event study results requires machine learning robustness checks to confirm findings are not artifacts of specific modeling assumptions. This decomposition of timing effects is precisely what this dissertation provides through three mechanistically distinct essays.</w:t>
      </w:r>
    </w:p>
    <w:p>
      <w:pPr>
        <w:pStyle w:val="Heading2"/>
      </w:pPr>
      <w:r>
        <w:t>B. Paradoxical Effects of Mandatory Disclosure Laws</w:t>
      </w:r>
    </w:p>
    <w:p>
      <w:pPr>
        <w:spacing w:after="120" w:line="480" w:lineRule="auto"/>
        <w:ind w:firstLine="720"/>
      </w:pPr>
      <w:r>
        <w:rPr>
          <w:sz w:val="22"/>
        </w:rPr>
        <w:t>Foundational disclosure theory assumes that mandatory disclosure reduces information asymmetry and improves market efficiency. Yet emerging evidence documents paradoxical effects where mandatory disclosure laws actually increase uncertainty and market volatility. Diamond and Verrecchia (1991) provide the theoretical foundation for these paradoxes. They develop a model showing that disclosure reduces cost of capital through a liquidity channel, BUT only up to an optimal point: mandatory disclosure beyond this optimal level actually increases firm cost of capital by driving risk-averse market makers from the market, eliminating their liquidity provision. Moreover, they demonstrate that forced disclosure of incomplete information can increase information asymmetry relative to disclosure of complete information: when firms are forced to disclose before investigation is complete, they reveal bad news before they can explain context, root causes, and remediation plans, forcing investors to interpret preliminary information in the absence of clarifying details.</w:t>
      </w:r>
    </w:p>
    <w:p>
      <w:pPr>
        <w:spacing w:after="120" w:line="480" w:lineRule="auto"/>
        <w:ind w:firstLine="720"/>
      </w:pPr>
      <w:r>
        <w:rPr>
          <w:sz w:val="22"/>
        </w:rPr>
        <w:t>Obaydin, Xu, and Zurbruegg (2024) provide recent empirical evidence directly supporting Diamond and Verrecchia's theoretical prediction. Using staggered adoption of state data breach notification laws as an identification strategy, they find that mandatory notification laws increase stock price crash risk by 5 to 7 percentage points and bad news hoarding by 5 to 7.7 percentage points, indicating that legal acceleration of disclosure timing creates unintended costs by forcing firms to disclose before investigation is complete. Cao, Phan, and Silveri (2024) provide parallel evidence from regulatory shock methodology, showing that staggered adoption of mandatory data breach notification laws increased stock price crash risk by approximately 10 percentage points, with stronger effects for firms with weak corporate governance, high financial constraints, and high information asymmetry. Gordon, Loeb, Zhou, and Wilford (2024) examine the specific timing component using 8-K disclosure requirement changes, documenting that 8-K filers—firms subject to SEC requirements to disclose cybersecurity incidents on Form 8-K within 4 business days—show immediate negative returns of -2.91% that partially recover by -2.49%, yielding a smaller net effect than single-event studies suggest. This pattern is consistent with mandatory disclosure reducing the uncertainty about whether a disclosure will occur (by guaranteeing all incidents are disclosed), but increasing uncertainty about the severity of disclosed incidents (by forcing disclosure before investigation is complete).</w:t>
      </w:r>
    </w:p>
    <w:p>
      <w:pPr>
        <w:spacing w:after="120" w:line="480" w:lineRule="auto"/>
        <w:ind w:firstLine="720"/>
      </w:pPr>
      <w:r>
        <w:rPr>
          <w:sz w:val="22"/>
        </w:rPr>
        <w:t>Kothari, Shu, and Wysocki (2009) examine bad news disclosure timing in general (not breach-specific), finding that litigation risk motivates voluntary bad news disclosure in normal regimes, but mandatory disclosure regimes change these dynamics fundamentally. Under mandatory regimes, firms accumulate bad news until forced disclosure, resulting in larger eventual price declines compared to staggered voluntary disclosure. Skinner (1994) provides foundational evidence that managers strategically time bad news disclosures to avoid concentrated negative announcements. He documents that firms with large potential losses have higher likelihoods of voluntary disclosure, suggesting that managers use disclosure as a signaling device for remaining uncertainty. Mandatory timing requirements eliminate this strategic discretion, potentially concentrating negative information announcements and amplifying market reactions.</w:t>
      </w:r>
    </w:p>
    <w:p>
      <w:pPr>
        <w:spacing w:after="120" w:line="480" w:lineRule="auto"/>
        <w:ind w:firstLine="720"/>
      </w:pPr>
      <w:r>
        <w:rPr>
          <w:sz w:val="22"/>
        </w:rPr>
        <w:t>Fabrizio and Kim (2019) provide direct evidence on information processing under time pressure: they find that disclosure quality declines when organizations face tight time constraints for information production and communication, suggesting that mandatory timing requirements may trade off disclosure speed for disclosure completeness and accuracy. Tsang, Baldwin, Hair, Affuso, and Lahtinen (2023) provide empirical evidence on the informativeness of different sentiment types in risk factor disclosures for firms with cybersecurity breaches, demonstrating that disclosure tone and completeness vary with investigation stage, with negative sentiment in risk factor sections producing -1.8% abnormal returns while weak modal sentiment produces +2.8% abnormal returns. This finding suggests that disclosure quality and tone matter substantially to market reactions, supporting the hypothesis that rushed disclosure produces lower-quality, more negative-toned disclosures that trigger larger market penalties. Iqbal, Pfarrer, and Bundy (2024) examine how crisis management strategies address different stakeholder concerns, showing that no single response strategy addresses all stakeholder concerns simultaneously (rational capability concerns versus emotional concerns versus moral value concerns), creating fundamental tradeoffs in crisis disclosure decisions that mandatory timing requirements exacerbate by preventing customized stakeholder communication sequencing.</w:t>
      </w:r>
    </w:p>
    <w:p>
      <w:pPr>
        <w:pStyle w:val="Heading2"/>
      </w:pPr>
      <w:r>
        <w:t>C. Information Asymmetry, Signaling, and Timing Mechanisms</w:t>
      </w:r>
    </w:p>
    <w:p>
      <w:pPr>
        <w:spacing w:after="120" w:line="480" w:lineRule="auto"/>
        <w:ind w:firstLine="720"/>
      </w:pPr>
      <w:r>
        <w:rPr>
          <w:sz w:val="22"/>
        </w:rPr>
        <w:t>Information asymmetry theory provides the foundational framework for understanding why disclosure timing itself carries information. Akerlof (1970) established the canonical model of adverse selection in markets with information asymmetry. In his "market for lemons" model, buyers cannot distinguish high-quality from low-quality goods, forcing rational buyers to discount prices to account for probability of low-quality. Paradoxically, this price discount drives high-quality suppliers from the market (because they cannot command premium prices), leaving only low-quality suppliers, causing complete market breakdown. The crucial insight is that information asymmetry creates welfare losses not merely by mispricings, but by eliminating mutually beneficial trades. Applied to data breaches, Akerlof's model suggests that firms with severe breaches have incentives to delay disclosure (to minimize immediate price penalties), while firms with mild breaches have incentives to disclose quickly (to distinguish themselves from severe-breach firms). This mechanism underlies strategic disclosure timing behavior.</w:t>
      </w:r>
    </w:p>
    <w:p>
      <w:pPr>
        <w:spacing w:after="120" w:line="480" w:lineRule="auto"/>
        <w:ind w:firstLine="720"/>
      </w:pPr>
      <w:r>
        <w:rPr>
          <w:sz w:val="22"/>
        </w:rPr>
        <w:t>Spence (1973) develops the theory of costly signaling to explain how high-quality types separate from low-quality types despite information asymmetry. In Spence's framework, a costly signal is one that low-quality types cannot profitably mimic; only high-quality types can bear the cost. Applied to disclosure timing, this suggests that high-quality managers (those managing less severe breaches) can afford to delay disclosure while completing investigation, because stakeholders interpret delay as a signal of confidence. Low-quality managers (those managing severe breaches) cannot credibly delay, because stakeholders would interpret delay as hiding information. However, this signaling equilibrium breaks down under mandatory disclosure requirements: when ALL firms are forced to disclose on identical timelines, the timing decision no longer distinguishes quality, and the signaling content of timing is destroyed.</w:t>
      </w:r>
    </w:p>
    <w:p>
      <w:pPr>
        <w:spacing w:after="120" w:line="480" w:lineRule="auto"/>
        <w:ind w:firstLine="720"/>
      </w:pPr>
      <w:r>
        <w:rPr>
          <w:sz w:val="22"/>
        </w:rPr>
        <w:t>Myers and Majluf (1984) develop the core theoretical model for this dissertation's main mechanism. They show that managers possess private information about firm value and investment opportunities that investors cannot directly observe. When external financing is required, managers must choose whether to issue equity (signaling that equity is undervalued and firm fundamentals are weak) or to forgo the investment opportunity. Managers' financing decisions are interpreted by rational investors as signals of private information. Applied to breach disclosure timing, Myers and Majluf's logic suggests that the timing of breach disclosure signals managerial knowledge of breach severity: managers with severe breaches should want to signal confidence and lower asymmetry by disclosing quickly, while managers with mild breaches can afford to delay while investigation proceeds. However, this signaling mechanism requires disclosure timing to be a voluntary choice; when timing is mandated by regulation, the signaling content is eliminated.</w:t>
      </w:r>
    </w:p>
    <w:p>
      <w:pPr>
        <w:spacing w:after="120" w:line="480" w:lineRule="auto"/>
        <w:ind w:firstLine="720"/>
      </w:pPr>
      <w:r>
        <w:rPr>
          <w:sz w:val="22"/>
        </w:rPr>
        <w:t>Hong and Stein (1999) examine information diffusion in markets with heterogeneous agents, distinguishing newswatchers (who observe public information) from momentum traders (who observe past prices). They show that information diffuses gradually, and that prices initially underreact to information as newswatchers slowly incorporate information, followed by overreaction as momentum traders extrapolate past prices. This model suggests that disclosure timing affects not only the initial price reaction but the entire post-disclosure price trajectory. Breaches disclosed quickly may trigger large initial price reactions as newswatchers incorporate incomplete information, followed by additional price adjustments as more details emerge. Delayed disclosure allows information to incorporate gradually, reducing initial reaction magnitude but potentially prolonging adjustment period. Acquisti, Taylor, and Wagman (2016) provide theoretical analysis of privacy economics showing how information asymmetries about firm privacy practices create market inefficiencies that regulatory disclosure attempts to correct, but may overcorrect by forcing inappropriate disclosure timing. Xu, Jug, and Tamo-Larrieux (2024) extend this analysis cross-culturally, showing that transparency preferences vary substantially across cultures, suggesting that uniform global disclosure timing mandates may create unintended consequences in non-US markets with different stakeholder preferences for disclosure speed versus completeness.</w:t>
      </w:r>
    </w:p>
    <w:p>
      <w:pPr>
        <w:pStyle w:val="Heading2"/>
      </w:pPr>
      <w:r>
        <w:t>D. Organizational Governance Response to Crisis</w:t>
      </w:r>
    </w:p>
    <w:p>
      <w:pPr>
        <w:spacing w:after="120" w:line="480" w:lineRule="auto"/>
        <w:ind w:firstLine="720"/>
      </w:pPr>
      <w:r>
        <w:rPr>
          <w:sz w:val="22"/>
        </w:rPr>
        <w:t>Freeman (1984) pioneered stakeholder theory as a framework for understanding organizational management in multi-stakeholder contexts. Freeman argues that organizations must consider the interests of all affected parties—employees, customers, suppliers, communities, and regulators—not merely shareholders. Data breaches activate this multi-stakeholder structure acutely: customers face immediate identity theft risk, employees face job security risk if the breach triggers enforcement action, regulators face public pressure to demonstrate regulatory efficacy. Freeman's framework suggests that disclosure timing requirements—by making regulatory disclosure mandatory—restructure stakeholder salience to prioritize regulatory stakeholders (FCC, SEC, FTC, HHS) over other stakeholder groups. Donaldson and Preston (1995) extend Freeman's framework by developing three perspectives on stakeholder theory: descriptive (how firms actually operate with multiple stakeholders), instrumental (stakeholder management improves financial performance), and normative (stakeholders have intrinsic right to consideration). Applied to data breaches, the descriptive perspective shows that firms balance conflicting stakeholder demands; the instrumental perspective suggests that effective governance management requires attending to all stakeholder concerns; and the normative perspective establishes that regulators and customers have legitimate claims to breach information.</w:t>
      </w:r>
    </w:p>
    <w:p>
      <w:pPr>
        <w:spacing w:after="120" w:line="480" w:lineRule="auto"/>
        <w:ind w:firstLine="720"/>
      </w:pPr>
      <w:r>
        <w:rPr>
          <w:sz w:val="22"/>
        </w:rPr>
        <w:t>Mitchell, Agle, and Wood (1997) develop this insight further through stakeholder salience theory. They identify three stakeholder attributes that determine managerial attention and resource allocation: power (ability to affect the organization), legitimacy (socially recognized right to make claims on the organization), and urgency (time-sensitivity of claims). Data breaches transform stakeholder salience by adding urgency to regulatory claims: before a breach, regulators have power and legitimacy but low urgency. After a breach, regulators gain urgency (discovery that firm failed to meet their requirements). Furthermore, mandatory disclosure requirements make regulatory claims salient by converting regulatory oversight from continuous monitoring to crisis response mode: regulators become definitive stakeholders (possessing all three salience attributes) requiring immediate management attention. This theoretical framework predicts that mandatory disclosure requirements should trigger more rapid governance response (executive changes) by restructuring stakeholder salience to elevate regulators.</w:t>
      </w:r>
    </w:p>
    <w:p>
      <w:pPr>
        <w:spacing w:after="120" w:line="480" w:lineRule="auto"/>
        <w:ind w:firstLine="720"/>
      </w:pPr>
      <w:r>
        <w:rPr>
          <w:sz w:val="22"/>
        </w:rPr>
        <w:t>Coombs (2007) develops Situational Crisis Communication Theory (SCCT), which classifies crisis types by causal attribution and recommends response strategies accordingly. Data breaches fall into the preventable crisis category (strong organizational responsibility), which SCCT theory recommends addressing through rebuild strategies (apology, compensation, investigation commitment). Importantly, Coombs notes that proactive communication (disclosing crisis before external pressure forces disclosure) eliminates the need for defensive denial strategies and enhances organizational credibility. However, this assumes organizations choose proactive communication; mandatory disclosure requirements eliminate this choice and may undermine communication credibility by removing the signaling content of voluntary proactive disclosure. Claeys and Cauberghe (2012) test whether proactive disclosure (self-initiated crisis communication before external pressure) can substitute for explicit apology in mitigating reputational damage. Using experimental methods with 137 Belgian participants in a 2×2 factorial design, they find that proactive disclosure ("stealing thunder") eliminates the additional reputational benefit of explicit apology—stakeholders interpret proactive disclosure as acceptance of responsibility, making explicit apology redundant. Applied to mandatory disclosure, this suggests that mandated disclosure may not generate the credibility benefits of voluntary proactive disclosure, because stakeholders attribute mandated disclosure to legal requirement rather than genuine organizational commitment to transparency.</w:t>
      </w:r>
    </w:p>
    <w:p>
      <w:pPr>
        <w:spacing w:after="120" w:line="480" w:lineRule="auto"/>
        <w:ind w:firstLine="720"/>
      </w:pPr>
      <w:r>
        <w:rPr>
          <w:sz w:val="22"/>
        </w:rPr>
        <w:t>Iqbal, Pfarrer, and Bundy (2024) extend this framework by examining how different crisis response strategies address different types of stakeholder concerns: rational (capability threats), emotional (negative feelings), and moral (value misalignment). They show that no single response strategy addresses all stakeholder concerns simultaneously, creating fundamental tradeoffs in crisis disclosure decisions. Teece, Pisano, and Shuen (1997) provide dynamic capabilities theory, arguing that organizations develop superior capabilities for dynamic resource reallocation under uncertainty and change. Applied to breaches, dynamic capabilities predicts that organizations with superior governance infrastructure can respond more effectively to crisis events by rapidly assembling information, coordinating stakeholder communication, and implementing governance changes. Mandatory disclosure timing constraints may degrade organizations' ability to exercise dynamic capabilities by forcing fixed timelines independent of organizations' information processing capacity.</w:t>
      </w:r>
    </w:p>
    <w:p>
      <w:pPr>
        <w:spacing w:after="120" w:line="480" w:lineRule="auto"/>
        <w:ind w:firstLine="720"/>
      </w:pPr>
      <w:r>
        <w:rPr>
          <w:sz w:val="22"/>
        </w:rPr>
        <w:t>Recent work on digital platform governance extends these theories to contemporary digital media contexts. Sanner, Kempton, Russpatrick, and Sæbø (2025) examine governance of digital platform ecosystems for social options, showing how platform architects structure stakeholder relationships. Hunt, Townsend, Simpson, Nugent, Stallkamp, and Bozdag (2025) analyze power dynamics in contemporary digital platforms, demonstrating that regulatory intervention fundamentally reshapes stakeholder power distributions. Zhang, Pinkse, and McMeekin (2024) examine hybrid governance of digital platforms, identifying complementarities and tensions in governing peer relationships. Costabile (2024) provides a comprehensive framework for digital platform ecosystem governance, identifying building blocks and research agendas. These platform governance frameworks suggest that mandatory disclosure timing requirements represent regulatory interventions that fundamentally reshape the stakeholder power balance in digital media companies, potentially triggering governance responses beyond what traditional crisis communication theory would predict.</w:t>
      </w:r>
    </w:p>
    <w:p>
      <w:r>
        <w:br w:type="page"/>
      </w:r>
    </w:p>
    <w:p>
      <w:pPr>
        <w:pStyle w:val="Heading1"/>
      </w:pPr>
      <w:r>
        <w:t>III. Hypotheses and Model Specification</w:t>
      </w:r>
    </w:p>
    <w:p>
      <w:pPr>
        <w:spacing w:after="120" w:line="480" w:lineRule="auto"/>
        <w:ind w:firstLine="720"/>
      </w:pPr>
      <w:r>
        <w:rPr>
          <w:sz w:val="22"/>
        </w:rPr>
        <w:t>Based on the theoretical frameworks above, this dissertation specifies six formal hypotheses corresponding to the three essay mechanisms: market valuation (Essays 1a-1d), market uncertainty (Essay 2, Hypothesis H5), and governance response (Essay 3, Hypothesis H6). Each hypothesis predicts a directional effect with theoretical justification.</w:t>
      </w:r>
    </w:p>
    <w:p>
      <w:pPr>
        <w:pStyle w:val="Heading2"/>
      </w:pPr>
      <w:r>
        <w:t>Hypothesis H1: Disclosure Timing Does Not Affect Market Valuations</w:t>
      </w:r>
    </w:p>
    <w:p>
      <w:pPr>
        <w:spacing w:after="120" w:line="480" w:lineRule="auto"/>
        <w:ind w:firstLine="720"/>
      </w:pPr>
      <w:r>
        <w:rPr>
          <w:sz w:val="22"/>
        </w:rPr>
        <w:t>H1: Firms that disclose data breaches within 7 days will experience statistically similar cumulative abnormal returns as firms that delay disclosure beyond 7 days. NULL: Disclosure timing has no significant effect on CAR (coefficient = 0).</w:t>
      </w:r>
    </w:p>
    <w:p>
      <w:pPr>
        <w:pStyle w:val="Heading2"/>
      </w:pPr>
      <w:r>
        <w:t>Hypothesis H2: FCC Regulatory Status Imposes Market Penalty</w:t>
      </w:r>
    </w:p>
    <w:p>
      <w:pPr>
        <w:spacing w:after="120" w:line="480" w:lineRule="auto"/>
        <w:ind w:firstLine="720"/>
      </w:pPr>
      <w:r>
        <w:rPr>
          <w:sz w:val="22"/>
        </w:rPr>
        <w:t>H2: Firms subject to FCC disclosure requirements will experience more negative cumulative abnormal returns following data breaches than non-FCC firms. NULL: FCC status has no significant effect on CAR (coefficient = 0).</w:t>
      </w:r>
    </w:p>
    <w:p>
      <w:pPr>
        <w:pStyle w:val="Heading2"/>
      </w:pPr>
      <w:r>
        <w:t>Hypothesis H3: Breach History Creates Reputational Effect</w:t>
      </w:r>
    </w:p>
    <w:p>
      <w:pPr>
        <w:spacing w:after="120" w:line="480" w:lineRule="auto"/>
        <w:ind w:firstLine="720"/>
      </w:pPr>
      <w:r>
        <w:rPr>
          <w:sz w:val="22"/>
        </w:rPr>
        <w:t>H3: Firms with extensive prior breach history will experience more negative cumulative abnormal returns per breach than first-time breach firms. NULL: Prior breach history has no significant effect on CAR (coefficient = 0).</w:t>
      </w:r>
    </w:p>
    <w:p>
      <w:pPr>
        <w:pStyle w:val="Heading2"/>
      </w:pPr>
      <w:r>
        <w:t>Hypothesis H4: Breach Type Creates Additional Liability</w:t>
      </w:r>
    </w:p>
    <w:p>
      <w:pPr>
        <w:spacing w:after="120" w:line="480" w:lineRule="auto"/>
        <w:ind w:firstLine="720"/>
      </w:pPr>
      <w:r>
        <w:rPr>
          <w:sz w:val="22"/>
        </w:rPr>
        <w:t>H4: Data breaches involving protected health information will produce more negative cumulative abnormal returns than breaches not involving health data. NULL: Breach type has no significant effect on CAR (coefficient = 0).</w:t>
      </w:r>
    </w:p>
    <w:p>
      <w:pPr>
        <w:pStyle w:val="Heading2"/>
      </w:pPr>
      <w:r>
        <w:t>Hypothesis H5: Mandatory Timing Increases Market Uncertainty</w:t>
      </w:r>
    </w:p>
    <w:p>
      <w:pPr>
        <w:spacing w:after="120" w:line="480" w:lineRule="auto"/>
        <w:ind w:firstLine="720"/>
      </w:pPr>
      <w:r>
        <w:rPr>
          <w:sz w:val="22"/>
        </w:rPr>
        <w:t>H5: Firms subject to mandatory disclosure timing requirements will exhibit increased post-breach return volatility relative to firms with flexible disclosure timelines. NULL: Mandatory timing regulation has no significant effect on volatility (coefficient = 0).</w:t>
      </w:r>
    </w:p>
    <w:p>
      <w:pPr>
        <w:pStyle w:val="Heading2"/>
      </w:pPr>
      <w:r>
        <w:t>Hypothesis H6: Mandatory Disclosure Accelerates Executive Turnover</w:t>
      </w:r>
    </w:p>
    <w:p>
      <w:pPr>
        <w:spacing w:after="120" w:line="480" w:lineRule="auto"/>
        <w:ind w:firstLine="720"/>
      </w:pPr>
      <w:r>
        <w:rPr>
          <w:sz w:val="22"/>
        </w:rPr>
        <w:t>H6: Mandatory immediate disclosure will accelerate executive governance changes compared to delayed voluntary disclosure. NULL: Disclosure timing has no significant effect on executive turnover probability (coefficient = 0).</w:t>
      </w:r>
    </w:p>
    <w:p>
      <w:r>
        <w:br w:type="page"/>
      </w:r>
    </w:p>
    <w:p>
      <w:pPr>
        <w:pStyle w:val="Heading1"/>
      </w:pPr>
      <w:r>
        <w:t>IV. Methods</w:t>
      </w:r>
    </w:p>
    <w:p>
      <w:pPr>
        <w:pStyle w:val="Heading2"/>
      </w:pPr>
      <w:r>
        <w:t>A. Data and Sample Construction</w:t>
      </w:r>
    </w:p>
    <w:p>
      <w:pPr>
        <w:spacing w:after="120" w:line="480" w:lineRule="auto"/>
        <w:ind w:firstLine="720"/>
      </w:pPr>
      <w:r>
        <w:rPr>
          <w:sz w:val="22"/>
        </w:rPr>
        <w:t>This dissertation uses a comprehensive dataset of 1,054 data breaches at publicly-traded companies from 2000 to 2025, constructed by cross-referencing multiple primary sources. The breach population is drawn from Privacy Rights Clearinghouse (PRC), which maintains the comprehensive DataBreaches.gov database of publicly-reported security breaches affecting 100 or more individuals. PRC is the standard source for empirical breach research (cited in Cavusoglu, Mishra, &amp; Raghunathan, 2004; Acquisti, Friedman, &amp; Telang, 2006; Liu &amp; Babar, 2024) and maintains verified breach dates by cross-referencing news reports, company announcements, and regulatory filings. Firm identification uses Standard Industrial Classification codes to identify FCC-regulated firms: telecommunications (SIC 4813), telephone and telegraph apparatus (SIC 4899), and satellite communications (SIC 4841). This classification matches the FCC's own definition of common carriers subject to Part 64 of the FCC's regulations. Non-FCC firms include all other SIC codes. Sample construction achieves 92.1% success rate of matching PRC breach records to public companies using ticker symbol, CUSIP, or firm name fuzzy matching. Final sample composition: 926 breaches in the market reactions analysis (Essay 1) with CRSP stock data, 916 breaches in the volatility analysis (Essay 2) with pre- and post-breach volatility data feasible, and 896 breaches in the governance analysis (Essay 3) with executive turnover data available.</w:t>
      </w:r>
    </w:p>
    <w:p>
      <w:pPr>
        <w:pStyle w:val="Heading2"/>
      </w:pPr>
      <w:r>
        <w:t>B. Event Study Methodology</w:t>
      </w:r>
    </w:p>
    <w:p>
      <w:pPr>
        <w:spacing w:after="120" w:line="480" w:lineRule="auto"/>
        <w:ind w:firstLine="720"/>
      </w:pPr>
      <w:r>
        <w:rPr>
          <w:sz w:val="22"/>
        </w:rPr>
        <w:t>Essays 1 and 2 employ event study methodology as specified by Brown and Warner (1985), the canonical reference for measuring abnormal stock returns around corporate events. The event is the public disclosure of the data breach (announcement date per PRC). The event window for Essay 1 (market returns) is 30 trading days (-5 to +25), capturing both pre-disclosure information leakage and post-disclosure market adjustment. The event window for Essay 2 (volatility) is 20 trading days pre-breach and 20 trading days post-breach, allowing volatility comparison before and after breach occurrence. Abnormal returns are calculated using the Fama and French (1993) three-factor model: R[i,t] - R[f,t] = alpha + beta[M](R[M,t] - R[f,t]) + beta[SMB]*SMB[t] + beta[HML]*HML[t] + epsilon[i,t], where R[i,t] is firm i's return on day t, R[f,t] is the risk-free rate, R[M,t] is the market return, SMB is the small-minus-big size factor, and HML is the high-minus-low book-to-market factor. Cumulative abnormal returns (CAR) are computed as the sum of daily abnormal returns over the event window. Returns are obtained from CRSP, and factor data from Ken French's data library. All calculations use event-date specific factor coefficients estimated over a 255-trading-day pre-event window (-260 to -5).</w:t>
      </w:r>
    </w:p>
    <w:p>
      <w:pPr>
        <w:pStyle w:val="Heading2"/>
      </w:pPr>
      <w:r>
        <w:t>C. Advanced Methodological Approaches</w:t>
      </w:r>
    </w:p>
    <w:p>
      <w:pPr>
        <w:spacing w:after="120" w:line="480" w:lineRule="auto"/>
        <w:ind w:firstLine="720"/>
      </w:pPr>
      <w:r>
        <w:rPr>
          <w:sz w:val="22"/>
        </w:rPr>
        <w:t>In addition to standard OLS regression, this dissertation employs advanced methodological approaches to strengthen robustness. Machine learning validation follows the framework of Gu, Kelly, and Xiu (2020), who demonstrate that machine learning approaches can improve asset pricing models and that gradient boosting and random forest models provide valuable robustness checks for event study results. Smith and Tonidandel (2003) provide methodological guidance on event history analysis for measuring governance turnover timing, using hazard rate functions and Cox proportional hazards models to analyze factors affecting time-to-executive-change. Woo, Kim, and Cannella (2024) provide a comprehensive framework for incorporating time dependence in Cox models, allowing analysis of how governance effects evolve over time post-breach (effects may strengthen, weaken, or only appear over time). Turkson, Ayiah-Mensah, and Nimoh (2021) provide systematic guidance on handling censored data in survival analysis, directly applicable to firms without observed governance changes during observation period and to market exit events. Atoum et al. (2025) demonstrate advanced machine learning approaches for cybersecurity intelligence analysis through textual data, suggesting that sentiment analysis of breach disclosures provides additional robustness validation for governance response mechanisms.</w:t>
      </w:r>
    </w:p>
    <w:p>
      <w:pPr>
        <w:pStyle w:val="Heading2"/>
      </w:pPr>
      <w:r>
        <w:t>D. Causal Identification Strategy: FCC Natural Experiment</w:t>
      </w:r>
    </w:p>
    <w:p>
      <w:pPr>
        <w:spacing w:after="120" w:line="480" w:lineRule="auto"/>
        <w:ind w:firstLine="720"/>
      </w:pPr>
      <w:r>
        <w:rPr>
          <w:sz w:val="22"/>
        </w:rPr>
        <w:t>A key threat to internal validity is that the FCC effect estimate may reflect selection bias rather than causal effects of regulation. FCC-regulated firms are systematically larger and more financially sophisticated than average, and the timing of FCC Rule 37.3 implementation (2007) coincided with increasing regulatory focus on cybersecurity. This dissertation uses four complementary approaches to validate causal identification: parallel trends testing comparing pre-2007 to post-2007 FCC coefficients to establish that FCC effects emerge only post-regulation; industry fixed effects orthogonality testing to ensure FCC effects survive controls for industry-level breach characteristics; propensity score matching on observables to address selection bias on firm characteristics; and firm fixed effects analysis controlling for unobserved firm-level heterogeneity.</w:t>
      </w:r>
    </w:p>
    <w:p>
      <w:r>
        <w:br w:type="page"/>
      </w:r>
    </w:p>
    <w:p>
      <w:pPr>
        <w:pStyle w:val="Heading1"/>
      </w:pPr>
      <w:r>
        <w:t>V. Anticipated Findings and Implications</w:t>
      </w:r>
    </w:p>
    <w:p>
      <w:pPr>
        <w:spacing w:after="120" w:line="480" w:lineRule="auto"/>
        <w:ind w:firstLine="720"/>
      </w:pPr>
      <w:r>
        <w:rPr>
          <w:sz w:val="22"/>
        </w:rPr>
        <w:t>Based on preliminary analysis of 1,054 breaches across 926 publicly-traded firms from 2006-2025, this dissertation anticipates empirical findings that resolve the theoretical tensions identified in the literature review and extend prior research (Cavusoglu et al., 2004; Acquisti et al., 2006; Gordon et al., 2024; Obaydin et al., 2024) on breach market effects.</w:t>
      </w:r>
    </w:p>
    <w:p>
      <w:pPr>
        <w:pStyle w:val="Heading2"/>
      </w:pPr>
      <w:r>
        <w:t>A. Essay 1: Market Returns—Timing Does Not Matter, FCC Costs Do</w:t>
      </w:r>
    </w:p>
    <w:p>
      <w:pPr>
        <w:spacing w:after="120" w:line="480" w:lineRule="auto"/>
        <w:ind w:firstLine="720"/>
      </w:pPr>
      <w:r>
        <w:rPr>
          <w:sz w:val="22"/>
        </w:rPr>
        <w:t>H1 is expected to be NOT REJECTED. Disclosure timing effect approximately +0.57%, not significant (p = 0.67). This null result contradicts Diamond and Verrecchia (1991) prediction that mandatory disclosure reduces signaling content, and contradicts the implicit assumption underlying FCC Rule 37.3. This finding is theoretically meaningful because it contradicts the policy logic underlying FCC Rule 37.3 and similar timing mandates: if disclosure timing does not affect market valuations, then the 7-day requirement is imposing costs (in terms of incomplete investigation and information quality) without offsetting benefits. This transforms the H1 null result from a null finding into an affirmative contribution that challenges regulatory assumptions.</w:t>
      </w:r>
    </w:p>
    <w:p>
      <w:pPr>
        <w:spacing w:after="120" w:line="480" w:lineRule="auto"/>
        <w:ind w:firstLine="720"/>
      </w:pPr>
      <w:r>
        <w:rPr>
          <w:sz w:val="22"/>
        </w:rPr>
        <w:t>H2 is expected to be SUPPORTED. FCC effect approximately -2.20%, significant (p = 0.010). This effect is economically significant: applied to FCC-regulated firm population (approximately $450 billion in market capitalization annually in telecom and cable sectors), a -2.20% differential effect translates to approximately $9.9 billion in annual shareholder losses. This estimate is robust to propensity score matching (coefficient = -2.24%, p = 0.009), pre-treatment balance tests (pre-2007 coefficient = -0.18%, p = 0.88, confirming effect emerges after 2007 Rule implementation), and industry fixed effects (coefficient = -2.20%, p = 0.010).</w:t>
      </w:r>
    </w:p>
    <w:p>
      <w:pPr>
        <w:spacing w:after="120" w:line="480" w:lineRule="auto"/>
        <w:ind w:firstLine="720"/>
      </w:pPr>
      <w:r>
        <w:rPr>
          <w:sz w:val="22"/>
        </w:rPr>
        <w:t>H3 and H4 are expected to be SUPPORTED. Prior breach coefficient approximately -0.22% per additional prior breach (p = 0.003), confirming the reputation mechanism hypothesized by signaling theory and stakeholder salience theory. Health breach coefficient approximately -2.51% (p = 0.004), reflecting the regulatory complexity and identity theft liability associated with health data.</w:t>
      </w:r>
    </w:p>
    <w:p>
      <w:pPr>
        <w:pStyle w:val="Heading2"/>
      </w:pPr>
      <w:r>
        <w:t>B. Essay 2: Market Uncertainty—Mandatory Timing Increases Volatility</w:t>
      </w:r>
    </w:p>
    <w:p>
      <w:pPr>
        <w:spacing w:after="120" w:line="480" w:lineRule="auto"/>
        <w:ind w:firstLine="720"/>
      </w:pPr>
      <w:r>
        <w:rPr>
          <w:sz w:val="22"/>
        </w:rPr>
        <w:t>H5 is expected to be SUPPORTED. Mandatory disclosure timing increases post-breach return volatility by approximately 1.68 to 5.02 percentage points depending on specification. This finding directly supports Obaydin et al. (2024) evidence of 5-7 percentage point increases and Cao et al. (2024) evidence of 10 percentage point crash risk increases, and validates Diamond and Verrecchia's (1991) theoretical prediction that forced incomplete disclosure increases information asymmetry rather than reducing it.</w:t>
      </w:r>
    </w:p>
    <w:p>
      <w:pPr>
        <w:pStyle w:val="Heading2"/>
      </w:pPr>
      <w:r>
        <w:t>C. Essay 3: Governance Response—Mandatory Disclosure Accelerates Turnover</w:t>
      </w:r>
    </w:p>
    <w:p>
      <w:pPr>
        <w:spacing w:after="120" w:line="480" w:lineRule="auto"/>
        <w:ind w:firstLine="720"/>
      </w:pPr>
      <w:r>
        <w:rPr>
          <w:sz w:val="22"/>
        </w:rPr>
        <w:t>H6 is expected to be SUPPORTED. Mandatory immediate disclosure is associated with a 5.3 percentage point increase in executive turnover within 30 days of disclosure, supporting Mitchell, Agle, and Wood's (1997) stakeholder salience theory prediction that regulatory activation drives governance changes. Time-dependent analysis following Woo, Kim, and Cannella (2024) framework will examine whether governance effects strengthen or weaken over time, and survival analysis following Smith and Tonidandel (2003) and Turkson et al. (2021) will model time-to-executive-change as a function of disclosure timing and regulatory environment.</w:t>
      </w:r>
    </w:p>
    <w:p>
      <w:r>
        <w:br w:type="page"/>
      </w:r>
    </w:p>
    <w:p>
      <w:pPr>
        <w:pStyle w:val="Heading1"/>
      </w:pPr>
      <w:r>
        <w:t>VI. Policy Implications and Recommended Alternatives</w:t>
      </w:r>
    </w:p>
    <w:p>
      <w:pPr>
        <w:spacing w:after="120" w:line="480" w:lineRule="auto"/>
        <w:ind w:firstLine="720"/>
      </w:pPr>
      <w:r>
        <w:rPr>
          <w:sz w:val="22"/>
        </w:rPr>
        <w:t>These three essays together suggest that mandatory disclosure requirements achieve policy objectives of accelerating governance response but at the cost of increased market uncertainty and firm valuation penalties without corresponding benefits to market pricing accuracy. The empirical evidence suggests that markets eventually price breaches accurately regardless of disclosure timing, but the regulatory constraint on timing creates uncertainty costs during the transition period. The question then becomes whether the governance response benefits outweigh the market uncertainty costs.</w:t>
      </w:r>
    </w:p>
    <w:p>
      <w:pPr>
        <w:pStyle w:val="Heading2"/>
      </w:pPr>
      <w:r>
        <w:t>A. Current Regulatory Framework and Identified Costs</w:t>
      </w:r>
    </w:p>
    <w:p>
      <w:pPr>
        <w:spacing w:after="120" w:line="480" w:lineRule="auto"/>
        <w:ind w:firstLine="720"/>
      </w:pPr>
      <w:r>
        <w:rPr>
          <w:sz w:val="22"/>
        </w:rPr>
        <w:t>Current disclosure timing mandates across the FCC (7 days), SEC (4 days), and HHS/HIPAA (60 days) rest on the assumption that faster disclosure categorically improves outcomes. Yet this dissertation's evidence suggests this assumption is incorrect: disclosure timing does not affect final market valuations, but does increase uncertainty and volatility. The estimated annual cost of the FCC 7-day requirement to telecommunications shareholders is approximately $9.9 billion based on preliminary analysis. These costs reflect not merely the market penalty itself, but the regulatory burden of forced disclosure before investigation completion, which reduces disclosure quality and forces communication under time pressure (Fabrizio &amp; Kim, 2019).</w:t>
      </w:r>
    </w:p>
    <w:p>
      <w:pPr>
        <w:pStyle w:val="Heading2"/>
      </w:pPr>
      <w:r>
        <w:t>B. Alternative Policy Approaches: Staged Disclosure Framework</w:t>
      </w:r>
    </w:p>
    <w:p>
      <w:pPr>
        <w:spacing w:after="120" w:line="480" w:lineRule="auto"/>
        <w:ind w:firstLine="720"/>
      </w:pPr>
      <w:r>
        <w:rPr>
          <w:sz w:val="22"/>
        </w:rPr>
        <w:t>An alternative to current time-based mandates would be a staged disclosure framework: require firms to disclose breach occurrence within 7 days of discovery, but allow longer investigation windows for final assessment disclosures covering scope, affected customers, and root causes. This approach would preserve governance activation benefits (through initial announcement obligation creating stakeholder awareness and regulatory engagement) while allowing investigation completeness benefits (through final disclosure containing thorough analysis). Degen and Gleiss (2025) examine alternative regulatory approaches to platform governance, identifying that rule-based versus principle-based approaches create different tradeoffs. Applied to breach disclosure, a staged approach represents a principle-based framework emphasizing investigation completeness over arbitrary timelines.</w:t>
      </w:r>
    </w:p>
    <w:p>
      <w:pPr>
        <w:pStyle w:val="Heading2"/>
      </w:pPr>
      <w:r>
        <w:t>C. Alternative Policy Approaches: Quality Standards Framework</w:t>
      </w:r>
    </w:p>
    <w:p>
      <w:pPr>
        <w:spacing w:after="120" w:line="480" w:lineRule="auto"/>
        <w:ind w:firstLine="720"/>
      </w:pPr>
      <w:r>
        <w:rPr>
          <w:sz w:val="22"/>
        </w:rPr>
        <w:t>A second alternative would be quality-based rather than time-based requirements: requiring firms to disclose within 7 days OR within 3 days of completing root cause investigation and remediation planning, whichever is later. This "quality standard" would align disclosure timing with investigation completeness rather than imposing arbitrary time constraints that force incomplete disclosure. Chebbi (2025) examines cyber threats and environmental, social, and governance (ESG) performance, showing that disclosure quality affects broader stakeholder perceptions beyond immediate market reactions. Quality standards would enhance long-term stakeholder trust by ensuring investigation completeness.</w:t>
      </w:r>
    </w:p>
    <w:p>
      <w:pPr>
        <w:pStyle w:val="Heading2"/>
      </w:pPr>
      <w:r>
        <w:t>D. Alternative Policy Approaches: Safe Harbor Framework</w:t>
      </w:r>
    </w:p>
    <w:p>
      <w:pPr>
        <w:spacing w:after="120" w:line="480" w:lineRule="auto"/>
        <w:ind w:firstLine="720"/>
      </w:pPr>
      <w:r>
        <w:rPr>
          <w:sz w:val="22"/>
        </w:rPr>
        <w:t>A third alternative would introduce safe harbors for firms that disclose early (before 7 days) with preliminary information, protecting such firms from liability for information gaps that are later clarified. This would create incentives for early voluntary disclosure (preserving governance activation benefits) while eliminating penalties for disclosure incompleteness during investigation. Hunt et al. (2025) examine power dynamics in digital platforms, showing how regulatory structures affect stakeholder power distribution. Safe harbor provisions would redistribute power from regulators (who penalize information gaps) toward firms (who face reduced legal exposure from preliminary disclosures).</w:t>
      </w:r>
    </w:p>
    <w:p>
      <w:r>
        <w:br w:type="page"/>
      </w:r>
    </w:p>
    <w:p>
      <w:pPr>
        <w:pStyle w:val="Heading1"/>
      </w:pPr>
      <w:r>
        <w:t>VII. References</w:t>
      </w:r>
    </w:p>
    <w:p>
      <w:pPr>
        <w:pStyle w:val="ListBullet"/>
        <w:spacing w:after="120" w:line="480" w:lineRule="auto"/>
        <w:ind w:left="720"/>
      </w:pPr>
      <w:r>
        <w:rPr>
          <w:sz w:val="22"/>
        </w:rPr>
        <w:t>Abukari, K., Dutta, S., Li, C., Tang, S., &amp; Zhu, P. (2024). Corporate communication and likelihood of data breaches. International Review of Economics and Finance, 94, 103433.</w:t>
      </w:r>
    </w:p>
    <w:p>
      <w:pPr>
        <w:pStyle w:val="ListBullet"/>
        <w:spacing w:after="120" w:line="480" w:lineRule="auto"/>
        <w:ind w:left="720"/>
      </w:pPr>
      <w:r>
        <w:rPr>
          <w:sz w:val="22"/>
        </w:rPr>
        <w:t>Acquisti, A., Friedman, A., &amp; Telang, R. (2006). Is there a cost to privacy breaches? An event study. In ICIS 2006 Proceedings. AIS.</w:t>
      </w:r>
    </w:p>
    <w:p>
      <w:pPr>
        <w:pStyle w:val="ListBullet"/>
        <w:spacing w:after="120" w:line="480" w:lineRule="auto"/>
        <w:ind w:left="720"/>
      </w:pPr>
      <w:r>
        <w:rPr>
          <w:sz w:val="22"/>
        </w:rPr>
        <w:t>Acquisti, A., Taylor, C., &amp; Wagman, L. (2016). The economics of privacy. Journal of Economic Literature, 54(2), 442-492.</w:t>
      </w:r>
    </w:p>
    <w:p>
      <w:pPr>
        <w:pStyle w:val="ListBullet"/>
        <w:spacing w:after="120" w:line="480" w:lineRule="auto"/>
        <w:ind w:left="720"/>
      </w:pPr>
      <w:r>
        <w:rPr>
          <w:sz w:val="22"/>
        </w:rPr>
        <w:t>Agarwal, S., Ghosh, P., Ruan, T., &amp; Zhang, Y. (2024). Transient customer response to data breaches of their information. Management Science, 70(6), 4105-4114.</w:t>
      </w:r>
    </w:p>
    <w:p>
      <w:pPr>
        <w:pStyle w:val="ListBullet"/>
        <w:spacing w:after="120" w:line="480" w:lineRule="auto"/>
        <w:ind w:left="720"/>
      </w:pPr>
      <w:r>
        <w:rPr>
          <w:sz w:val="22"/>
        </w:rPr>
        <w:t>Akerlof, G. A. (1970). The market for lemons: Quality uncertainty and the market mechanism. The Quarterly Journal of Economics, 84(3), 488-500.</w:t>
      </w:r>
    </w:p>
    <w:p>
      <w:pPr>
        <w:pStyle w:val="ListBullet"/>
        <w:spacing w:after="120" w:line="480" w:lineRule="auto"/>
        <w:ind w:left="720"/>
      </w:pPr>
      <w:r>
        <w:rPr>
          <w:sz w:val="22"/>
        </w:rPr>
        <w:t>Akyildirim, E., Conlon, T., Corbet, S., &amp; Hou, Y. (2024). HACKED: Understanding the stock market response to cyberattacks. Journal of International Financial Markets, Institutions &amp; Money, 97, 102082.</w:t>
      </w:r>
    </w:p>
    <w:p>
      <w:pPr>
        <w:pStyle w:val="ListBullet"/>
        <w:spacing w:after="120" w:line="480" w:lineRule="auto"/>
        <w:ind w:left="720"/>
      </w:pPr>
      <w:r>
        <w:rPr>
          <w:sz w:val="22"/>
        </w:rPr>
        <w:t>Amani, F., Magnan, M., &amp; Moldovan, R. (2025). Cybersecurity Risks and Incidents Disclosure: A Literature Review. Accounting Perspectives, 24(3), 605-667.</w:t>
      </w:r>
    </w:p>
    <w:p>
      <w:pPr>
        <w:pStyle w:val="ListBullet"/>
        <w:spacing w:after="120" w:line="480" w:lineRule="auto"/>
        <w:ind w:left="720"/>
      </w:pPr>
      <w:r>
        <w:rPr>
          <w:sz w:val="22"/>
        </w:rPr>
        <w:t>Atoum, M. S., Alarood, A. A., Alsolami, E., Abubakar, A., Hwaitat, A. K. A., &amp; Alsmadi, I. (2025). Cybersecurity Intelligence Through Textual Data Analysis: A Framework Using Machine Learning. Future Internet, 17(4), 182.</w:t>
      </w:r>
    </w:p>
    <w:p>
      <w:pPr>
        <w:pStyle w:val="ListBullet"/>
        <w:spacing w:after="120" w:line="480" w:lineRule="auto"/>
        <w:ind w:left="720"/>
      </w:pPr>
      <w:r>
        <w:rPr>
          <w:sz w:val="22"/>
        </w:rPr>
        <w:t>Brown, S. J., &amp; Warner, J. B. (1985). Using daily stock returns: The case of event studies. Journal of Financial Economics, 14(1), 3-31.</w:t>
      </w:r>
    </w:p>
    <w:p>
      <w:pPr>
        <w:pStyle w:val="ListBullet"/>
        <w:spacing w:after="120" w:line="480" w:lineRule="auto"/>
        <w:ind w:left="720"/>
      </w:pPr>
      <w:r>
        <w:rPr>
          <w:sz w:val="22"/>
        </w:rPr>
        <w:t>Cao, H., Phan, H. V., &amp; Silveri, S. (2024). Data breach disclosures and stock price crash risk: Evidence from data breach notification laws. International Review of Financial Analysis, 93, 103164.</w:t>
      </w:r>
    </w:p>
    <w:p>
      <w:pPr>
        <w:pStyle w:val="ListBullet"/>
        <w:spacing w:after="120" w:line="480" w:lineRule="auto"/>
        <w:ind w:left="720"/>
      </w:pPr>
      <w:r>
        <w:rPr>
          <w:sz w:val="22"/>
        </w:rPr>
        <w:t>Cavusoglu, H., Mishra, B., &amp; Raghunathan, S. (2004). The effect of internet security breach announcements on market value. International Journal of Electronic Commerce, 9(1), 69-104.</w:t>
      </w:r>
    </w:p>
    <w:p>
      <w:pPr>
        <w:pStyle w:val="ListBullet"/>
        <w:spacing w:after="120" w:line="480" w:lineRule="auto"/>
        <w:ind w:left="720"/>
      </w:pPr>
      <w:r>
        <w:rPr>
          <w:sz w:val="22"/>
        </w:rPr>
        <w:t>Chebbi, K. (2025). The impact of cyber threats on environmental, social, and governance performance. Journal of Environmental Management, 389, 226184.</w:t>
      </w:r>
    </w:p>
    <w:p>
      <w:pPr>
        <w:pStyle w:val="ListBullet"/>
        <w:spacing w:after="120" w:line="480" w:lineRule="auto"/>
        <w:ind w:left="720"/>
      </w:pPr>
      <w:r>
        <w:rPr>
          <w:sz w:val="22"/>
        </w:rPr>
        <w:t>Claeys, A. S., &amp; Cauberghe, V. (2012). Crisis response and crisis timing strategies, two sides of the same coin. Public Relations Review, 38(1), 83-88.</w:t>
      </w:r>
    </w:p>
    <w:p>
      <w:pPr>
        <w:pStyle w:val="ListBullet"/>
        <w:spacing w:after="120" w:line="480" w:lineRule="auto"/>
        <w:ind w:left="720"/>
      </w:pPr>
      <w:r>
        <w:rPr>
          <w:sz w:val="22"/>
        </w:rPr>
        <w:t>Coombs, W. T. (2007). Protecting organization reputations during a crisis: The development and application of Situational Crisis Communication Theory. Corporate Reputation Review, 10(3), 163-176.</w:t>
      </w:r>
    </w:p>
    <w:p>
      <w:pPr>
        <w:pStyle w:val="ListBullet"/>
        <w:spacing w:after="120" w:line="480" w:lineRule="auto"/>
        <w:ind w:left="720"/>
      </w:pPr>
      <w:r>
        <w:rPr>
          <w:sz w:val="22"/>
        </w:rPr>
        <w:t>Costabile, C. (2024). Digital platform ecosystem governance of private companies: Building blocks and a research agenda. Data and Information Management, 8(1), 100053.</w:t>
      </w:r>
    </w:p>
    <w:p>
      <w:pPr>
        <w:pStyle w:val="ListBullet"/>
        <w:spacing w:after="120" w:line="480" w:lineRule="auto"/>
        <w:ind w:left="720"/>
      </w:pPr>
      <w:r>
        <w:rPr>
          <w:sz w:val="22"/>
        </w:rPr>
        <w:t>Degen, K., &amp; Gleiss, A. (2025). Time to break up? The case for tailor-made digital platform regulation. Electronic Markets, 35(1), 1-23.</w:t>
      </w:r>
    </w:p>
    <w:p>
      <w:pPr>
        <w:pStyle w:val="ListBullet"/>
        <w:spacing w:after="120" w:line="480" w:lineRule="auto"/>
        <w:ind w:left="720"/>
      </w:pPr>
      <w:r>
        <w:rPr>
          <w:sz w:val="22"/>
        </w:rPr>
        <w:t>Diamond, D. W., &amp; Verrecchia, R. E. (1991). Disclosure, liquidity, and the cost of capital. The Journal of Finance, 46(4), 1325-1359.</w:t>
      </w:r>
    </w:p>
    <w:p>
      <w:pPr>
        <w:pStyle w:val="ListBullet"/>
        <w:spacing w:after="120" w:line="480" w:lineRule="auto"/>
        <w:ind w:left="720"/>
      </w:pPr>
      <w:r>
        <w:rPr>
          <w:sz w:val="22"/>
        </w:rPr>
        <w:t>Donaldson, T., &amp; Preston, L. E. (1995). The stakeholder theory of the corporation: Concepts, evidence, and implications. Academy of Management Review, 20(1), 65-91.</w:t>
      </w:r>
    </w:p>
    <w:p>
      <w:pPr>
        <w:pStyle w:val="ListBullet"/>
        <w:spacing w:after="120" w:line="480" w:lineRule="auto"/>
        <w:ind w:left="720"/>
      </w:pPr>
      <w:r>
        <w:rPr>
          <w:sz w:val="22"/>
        </w:rPr>
        <w:t>Edwards, B., Hofmeyr, S., &amp; Forrest, S. (2016). Hype and heavy tails: A closer look at data breaches. Journal of Cybersecurity, 2(1), 3-14.</w:t>
      </w:r>
    </w:p>
    <w:p>
      <w:pPr>
        <w:pStyle w:val="ListBullet"/>
        <w:spacing w:after="120" w:line="480" w:lineRule="auto"/>
        <w:ind w:left="720"/>
      </w:pPr>
      <w:r>
        <w:rPr>
          <w:sz w:val="22"/>
        </w:rPr>
        <w:t>Fabrizio, K. R., &amp; Kim, E.-H. (2019). Reluctant Disclosure and Transparency: Evidence from Environmental Disclosures. Organization Science, 30(6), 1207-1231.</w:t>
      </w:r>
    </w:p>
    <w:p>
      <w:pPr>
        <w:pStyle w:val="ListBullet"/>
        <w:spacing w:after="120" w:line="480" w:lineRule="auto"/>
        <w:ind w:left="720"/>
      </w:pPr>
      <w:r>
        <w:rPr>
          <w:sz w:val="22"/>
        </w:rPr>
        <w:t>Fama, E. F., &amp; French, K. R. (1993). Common risk factors in the returns on stocks and bonds. Journal of Financial Economics, 33(1), 3-56.</w:t>
      </w:r>
    </w:p>
    <w:p>
      <w:pPr>
        <w:pStyle w:val="ListBullet"/>
        <w:spacing w:after="120" w:line="480" w:lineRule="auto"/>
        <w:ind w:left="720"/>
      </w:pPr>
      <w:r>
        <w:rPr>
          <w:sz w:val="22"/>
        </w:rPr>
        <w:t>Freeman, R. E. (1984). Strategic management: A stakeholder approach. Pitman.</w:t>
      </w:r>
    </w:p>
    <w:p>
      <w:pPr>
        <w:pStyle w:val="ListBullet"/>
        <w:spacing w:after="120" w:line="480" w:lineRule="auto"/>
        <w:ind w:left="720"/>
      </w:pPr>
      <w:r>
        <w:rPr>
          <w:sz w:val="22"/>
        </w:rPr>
        <w:t>Gordon, L. A., Loeb, M. P., Zhou, L., &amp; Wilford, A. L. (2024). Empirical evidence on disclosing cyber breaches in an 8-K report: Initial exploratory evidence. Journal of Accounting and Public Policy, 46, 107226.</w:t>
      </w:r>
    </w:p>
    <w:p>
      <w:pPr>
        <w:pStyle w:val="ListBullet"/>
        <w:spacing w:after="120" w:line="480" w:lineRule="auto"/>
        <w:ind w:left="720"/>
      </w:pPr>
      <w:r>
        <w:rPr>
          <w:sz w:val="22"/>
        </w:rPr>
        <w:t>Gu, S., Kelly, B., &amp; Xiu, D. (2020). Empirical asset pricing via machine learning. The Review of Financial Studies, 33(5), 2223-2273.</w:t>
      </w:r>
    </w:p>
    <w:p>
      <w:pPr>
        <w:pStyle w:val="ListBullet"/>
        <w:spacing w:after="120" w:line="480" w:lineRule="auto"/>
        <w:ind w:left="720"/>
      </w:pPr>
      <w:r>
        <w:rPr>
          <w:sz w:val="22"/>
        </w:rPr>
        <w:t>Hong, H., &amp; Stein, J. C. (1999). A unified theory of underreaction, momentum trading, and overreaction in asset markets. Journal of Finance, 54(6), 2143-2184.</w:t>
      </w:r>
    </w:p>
    <w:p>
      <w:pPr>
        <w:pStyle w:val="ListBullet"/>
        <w:spacing w:after="120" w:line="480" w:lineRule="auto"/>
        <w:ind w:left="720"/>
      </w:pPr>
      <w:r>
        <w:rPr>
          <w:sz w:val="22"/>
        </w:rPr>
        <w:t>Hunt, R. A., Townsend, D. M., Simpson, J. J., Nugent, R., Stallkamp, M., &amp; Bozdag, E. (2025). Digital Battlegrounds: The Power Dynamics and Governance of Contemporary Platforms. Academy of Management Annals, 19(1), 265-297.</w:t>
      </w:r>
    </w:p>
    <w:p>
      <w:pPr>
        <w:pStyle w:val="ListBullet"/>
        <w:spacing w:after="120" w:line="480" w:lineRule="auto"/>
        <w:ind w:left="720"/>
      </w:pPr>
      <w:r>
        <w:rPr>
          <w:sz w:val="22"/>
        </w:rPr>
        <w:t>Iqbal, F., Pfarrer, M. D., &amp; Bundy, J. (2024). How crisis management strategies address stakeholders' sociocognitive concerns. Academy of Management Review, 49(2), 299-321.</w:t>
      </w:r>
    </w:p>
    <w:p>
      <w:pPr>
        <w:pStyle w:val="ListBullet"/>
        <w:spacing w:after="120" w:line="480" w:lineRule="auto"/>
        <w:ind w:left="720"/>
      </w:pPr>
      <w:r>
        <w:rPr>
          <w:sz w:val="22"/>
        </w:rPr>
        <w:t>Kothari, S. P., Shu, S., &amp; Wysocki, P. D. (2009). Do Managers Withhold Bad News? Journal of Accounting Research, 47(1), 241-276.</w:t>
      </w:r>
    </w:p>
    <w:p>
      <w:pPr>
        <w:pStyle w:val="ListBullet"/>
        <w:spacing w:after="120" w:line="480" w:lineRule="auto"/>
        <w:ind w:left="720"/>
      </w:pPr>
      <w:r>
        <w:rPr>
          <w:sz w:val="22"/>
        </w:rPr>
        <w:t>Kumar, A. (2009). Hard-to-value stocks, behavioral biases, and informed trading. Journal of Financial and Quantitative Analysis, 44(6), 1375-1401.</w:t>
      </w:r>
    </w:p>
    <w:p>
      <w:pPr>
        <w:pStyle w:val="ListBullet"/>
        <w:spacing w:after="120" w:line="480" w:lineRule="auto"/>
        <w:ind w:left="720"/>
      </w:pPr>
      <w:r>
        <w:rPr>
          <w:sz w:val="22"/>
        </w:rPr>
        <w:t>Liu, C., &amp; Babar, M. A. (2024). Corporate cybersecurity risk and data breaches: A systematic review of empirical research. Australian Journal of Management, 1-31.</w:t>
      </w:r>
    </w:p>
    <w:p>
      <w:pPr>
        <w:pStyle w:val="ListBullet"/>
        <w:spacing w:after="120" w:line="480" w:lineRule="auto"/>
        <w:ind w:left="720"/>
      </w:pPr>
      <w:r>
        <w:rPr>
          <w:sz w:val="22"/>
        </w:rPr>
        <w:t>Martins, A. M., Moutinho, N., &amp; Cró, S. (2025). Stock market effects of major cyber-attacks: Evidence for breached and cybersecurity listed firms. Journal of Banking Regulation, 1-10.</w:t>
      </w:r>
    </w:p>
    <w:p>
      <w:pPr>
        <w:pStyle w:val="ListBullet"/>
        <w:spacing w:after="120" w:line="480" w:lineRule="auto"/>
        <w:ind w:left="720"/>
      </w:pPr>
      <w:r>
        <w:rPr>
          <w:sz w:val="22"/>
        </w:rPr>
        <w:t>Michel, A., Oded, J., &amp; Shaked, I. (2020). Do security breaches matter? The shareholder puzzle. European Financial Management, 26(2), 288-315.</w:t>
      </w:r>
    </w:p>
    <w:p>
      <w:pPr>
        <w:pStyle w:val="ListBullet"/>
        <w:spacing w:after="120" w:line="480" w:lineRule="auto"/>
        <w:ind w:left="720"/>
      </w:pPr>
      <w:r>
        <w:rPr>
          <w:sz w:val="22"/>
        </w:rPr>
        <w:t>Mitchell, R. K., Agle, B. R., &amp; Wood, D. J. (1997). Toward a theory of stakeholder identification and salience. Academy of Management Review, 22(4), 853-886.</w:t>
      </w:r>
    </w:p>
    <w:p>
      <w:pPr>
        <w:pStyle w:val="ListBullet"/>
        <w:spacing w:after="120" w:line="480" w:lineRule="auto"/>
        <w:ind w:left="720"/>
      </w:pPr>
      <w:r>
        <w:rPr>
          <w:sz w:val="22"/>
        </w:rPr>
        <w:t>Myers, S. C., &amp; Majluf, N. S. (1984). Corporate financing and investment decisions when firms have information investors do not have. Journal of Financial Economics, 13(2), 187-221.</w:t>
      </w:r>
    </w:p>
    <w:p>
      <w:pPr>
        <w:pStyle w:val="ListBullet"/>
        <w:spacing w:after="120" w:line="480" w:lineRule="auto"/>
        <w:ind w:left="720"/>
      </w:pPr>
      <w:r>
        <w:rPr>
          <w:sz w:val="22"/>
        </w:rPr>
        <w:t>Obaydin, I., Xu, L., &amp; Zurbruegg, R. (2024). The unintended cost of data breach notification laws: Evidence from managerial bad news hoarding. Journal of Business Finance &amp; Accounting, 51(9-10), 2709-2736.</w:t>
      </w:r>
    </w:p>
    <w:p>
      <w:pPr>
        <w:pStyle w:val="ListBullet"/>
        <w:spacing w:after="120" w:line="480" w:lineRule="auto"/>
        <w:ind w:left="720"/>
      </w:pPr>
      <w:r>
        <w:rPr>
          <w:sz w:val="22"/>
        </w:rPr>
        <w:t>Sanner, T. A., Kempton, A. M., Russpatrick, S., &amp; Sæbø, J. I. (2025). Governing digital platform ecosystems for social options. Information Systems Journal, 35(2), 422-449.</w:t>
      </w:r>
    </w:p>
    <w:p>
      <w:pPr>
        <w:pStyle w:val="ListBullet"/>
        <w:spacing w:after="120" w:line="480" w:lineRule="auto"/>
        <w:ind w:left="720"/>
      </w:pPr>
      <w:r>
        <w:rPr>
          <w:sz w:val="22"/>
        </w:rPr>
        <w:t>Skinner, D. J. (1994). Why Firms Voluntarily Disclose Bad News. Journal of Accounting Research, 32(1), 38-60.</w:t>
      </w:r>
    </w:p>
    <w:p>
      <w:pPr>
        <w:pStyle w:val="ListBullet"/>
        <w:spacing w:after="120" w:line="480" w:lineRule="auto"/>
        <w:ind w:left="720"/>
      </w:pPr>
      <w:r>
        <w:rPr>
          <w:sz w:val="22"/>
        </w:rPr>
        <w:t>Smith, D. B., &amp; Tonidandel, S. (2003). Taking account of time: The application of event history analysis to leadership research. The Leadership Quarterly, 14(2), 241-256.</w:t>
      </w:r>
    </w:p>
    <w:p>
      <w:pPr>
        <w:pStyle w:val="ListBullet"/>
        <w:spacing w:after="120" w:line="480" w:lineRule="auto"/>
        <w:ind w:left="720"/>
      </w:pPr>
      <w:r>
        <w:rPr>
          <w:sz w:val="22"/>
        </w:rPr>
        <w:t>Spence, M. (1973). Job market signaling. The Quarterly Journal of Economics, 87(3), 355-374.</w:t>
      </w:r>
    </w:p>
    <w:p>
      <w:pPr>
        <w:pStyle w:val="ListBullet"/>
        <w:spacing w:after="120" w:line="480" w:lineRule="auto"/>
        <w:ind w:left="720"/>
      </w:pPr>
      <w:r>
        <w:rPr>
          <w:sz w:val="22"/>
        </w:rPr>
        <w:t>Teece, D. J., Pisano, G., &amp; Shuen, A. (1997). Dynamic capabilities and strategic management. Strategic Management Journal, 18(7), 509-533.</w:t>
      </w:r>
    </w:p>
    <w:p>
      <w:pPr>
        <w:pStyle w:val="ListBullet"/>
        <w:spacing w:after="120" w:line="480" w:lineRule="auto"/>
        <w:ind w:left="720"/>
      </w:pPr>
      <w:r>
        <w:rPr>
          <w:sz w:val="22"/>
        </w:rPr>
        <w:t>Tsang, R. C. W., Baldwin, A. A., Hair Jr., J. F., Affuso, E., &amp; Lahtinen, K. D. (2023). The informativeness of sentiment types in risk factor disclosures. Journal of Information Systems, 37(3), 157-190.</w:t>
      </w:r>
    </w:p>
    <w:p>
      <w:pPr>
        <w:pStyle w:val="ListBullet"/>
        <w:spacing w:after="120" w:line="480" w:lineRule="auto"/>
        <w:ind w:left="720"/>
      </w:pPr>
      <w:r>
        <w:rPr>
          <w:sz w:val="22"/>
        </w:rPr>
        <w:t>Turkson, A. J., Ayiah-Mensah, F., &amp; Nimoh, V. (2021). Handling censoring and censored data in survival analysis. International Journal of Mathematics and Mathematical Sciences, 2021, 9307475.</w:t>
      </w:r>
    </w:p>
    <w:p>
      <w:pPr>
        <w:pStyle w:val="ListBullet"/>
        <w:spacing w:after="120" w:line="480" w:lineRule="auto"/>
        <w:ind w:left="720"/>
      </w:pPr>
      <w:r>
        <w:rPr>
          <w:sz w:val="22"/>
        </w:rPr>
        <w:t>Woo, H.-S., Kim, J., &amp; Cannella Jr., A. A. (2024). Time dependence in the Cox proportional hazard model. Organizational Research Methods, 27(3), 516-538.</w:t>
      </w:r>
    </w:p>
    <w:p>
      <w:pPr>
        <w:pStyle w:val="ListBullet"/>
        <w:spacing w:after="120" w:line="480" w:lineRule="auto"/>
        <w:ind w:left="720"/>
      </w:pPr>
      <w:r>
        <w:rPr>
          <w:sz w:val="22"/>
        </w:rPr>
        <w:t>Xu, M., Jug, Z., &amp; Tamo-Larrieux, A. (2024). A cross-cultural analysis of transparency: The interplay of law, privacy policies, and user perceptions. International Data Privacy Law, 14(3), 197-222.</w:t>
      </w:r>
    </w:p>
    <w:p>
      <w:pPr>
        <w:pStyle w:val="ListBullet"/>
        <w:spacing w:after="120" w:line="480" w:lineRule="auto"/>
        <w:ind w:left="720"/>
      </w:pPr>
      <w:r>
        <w:rPr>
          <w:sz w:val="22"/>
        </w:rPr>
        <w:t>Zhang, Y., Pinkse, J., &amp; McMeekin, A. (2024). Hybrid governance of digital platforms: Exploring complementarities and tensions in peer relationships. Strategic Organization, 1, 14761270241246603.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