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480" w:lineRule="auto"/>
        <w:jc w:val="center"/>
      </w:pPr>
      <w:r>
        <w:rPr>
          <w:rFonts w:ascii="Times New Roman" w:hAnsi="Times New Roman"/>
          <w:b/>
          <w:sz w:val="28"/>
        </w:rPr>
        <w:t>Data Breach Disclosure Timing, Regulatory Burden, and Market Outcomes:</w:t>
        <w:br/>
        <w:t>A Natural Experiment Analysis of FCC Cybersecurity Mandates</w:t>
      </w:r>
    </w:p>
    <w:p/>
    <w:p/>
    <w:p/>
    <w:p/>
    <w:p/>
    <w:p/>
    <w:p/>
    <w:p/>
    <w:p>
      <w:pPr>
        <w:spacing w:line="480" w:lineRule="auto"/>
        <w:jc w:val="center"/>
      </w:pPr>
      <w:r>
        <w:rPr>
          <w:rFonts w:ascii="Times New Roman" w:hAnsi="Times New Roman"/>
          <w:sz w:val="24"/>
        </w:rPr>
        <w:t>Dissertation Proposal</w:t>
      </w:r>
    </w:p>
    <w:p/>
    <w:p>
      <w:pPr>
        <w:spacing w:line="480" w:lineRule="auto"/>
        <w:jc w:val="center"/>
      </w:pPr>
      <w:r>
        <w:rPr>
          <w:rFonts w:ascii="Times New Roman" w:hAnsi="Times New Roman"/>
          <w:sz w:val="24"/>
        </w:rPr>
        <w:t>February 2026</w:t>
      </w:r>
    </w:p>
    <w:p>
      <w:r>
        <w:br w:type="page"/>
      </w:r>
    </w:p>
    <w:p>
      <w:pPr>
        <w:pStyle w:val="Heading1"/>
        <w:spacing w:before="0" w:after="0" w:line="480" w:lineRule="auto"/>
      </w:pPr>
      <w:r>
        <w:rPr>
          <w:rFonts w:ascii="Times New Roman" w:hAnsi="Times New Roman"/>
          <w:b/>
          <w:i w:val="0"/>
          <w:sz w:val="24"/>
        </w:rPr>
        <w:t>1. Introduction</w:t>
      </w:r>
    </w:p>
    <w:p>
      <w:pPr>
        <w:pStyle w:val="Heading2"/>
      </w:pPr>
      <w:r>
        <w:t>Problem and Topic Statement</w:t>
      </w:r>
    </w:p>
    <w:p>
      <w:pPr>
        <w:spacing w:before="0" w:after="0" w:line="480" w:lineRule="auto"/>
      </w:pPr>
      <w:r>
        <w:rPr>
          <w:rFonts w:ascii="Times New Roman" w:hAnsi="Times New Roman"/>
          <w:b w:val="0"/>
          <w:i w:val="0"/>
          <w:sz w:val="24"/>
        </w:rPr>
        <w:t>Data breaches at publicly-traded firms are accelerating, with 1,054 reported incidents at 926 unique firms from 2006–2025. Yet regulatory timing mandates differ dramatically across jurisdictions: the Federal Communications Commission requires notification within 7 days (47 CFR § 64.2011), the Securities and Exchange Commission requires 4 days for material breaches (SEC Cybersecurity Disclosure Rule, 2023), and the Health Insurance Portability and Accountability Act mandates 60 days (45 CFR §§ 164.400-414). A critical gap persists: no empirical evidence exists on whether timing mandates benefit markets or create unintended costs. This dissertation tests this "faster is better" assumption using a natural experiment approach exploiting FCC Rule 37.3 as an exogenous shock to disclosure timing requirements.</w:t>
      </w:r>
    </w:p>
    <w:p>
      <w:pPr>
        <w:pStyle w:val="Heading2"/>
      </w:pPr>
      <w:r>
        <w:t>Brief Literature Overview</w:t>
      </w:r>
    </w:p>
    <w:p>
      <w:pPr>
        <w:spacing w:before="0" w:after="0" w:line="480" w:lineRule="auto"/>
      </w:pPr>
      <w:r>
        <w:rPr>
          <w:rFonts w:ascii="Times New Roman" w:hAnsi="Times New Roman"/>
          <w:b w:val="0"/>
          <w:i w:val="0"/>
          <w:sz w:val="24"/>
        </w:rPr>
        <w:t>Early event studies establish that data breaches cause negative abnormal returns. Cavusoglu et al. (2004) document −2.1% cumulative abnormal returns (CARs); Acquisti et al. (2006) find −0.41% abnormal returns on announcement day. Recent work reveals paradoxical effects of mandatory disclosure. Gordon et al. (2024) show that 8-K filers experience −2.91% initial losses that recover to +2.49%, suggesting disclosure timing reveals underlying firm quality. Obaydin et al. (2024) document that mandatory disclosure requirements increase crash risk by 5–7%. Diamond &amp; Verrecchia (1991) theorize the mechanism: forced disclosure can paradoxically increase information asymmetry when time pressure prevents complete information acquisition.</w:t>
      </w:r>
    </w:p>
    <w:p>
      <w:pPr>
        <w:spacing w:before="0" w:after="0" w:line="480" w:lineRule="auto"/>
      </w:pPr>
      <w:r>
        <w:rPr>
          <w:rFonts w:ascii="Times New Roman" w:hAnsi="Times New Roman"/>
          <w:b w:val="0"/>
          <w:i w:val="0"/>
          <w:sz w:val="24"/>
        </w:rPr>
        <w:t>Signaling theory offers competing predictions. Myers &amp; Majluf (1984) predict faster disclosure signals managerial confidence, while Diamond &amp; Verrecchia (1991) warn that over-disclosure under time pressure increases cost of capital. Foerderer &amp; Schuetz (2022) provide direct evidence: firms experience $347M losses under forced mandatory timing but only $85M when timing is voluntary, suggesting the regulatory mechanism itself carries costs. The key gap: no study cleanly separates regulatory burden effects from information quality effects using a quasi-experimental research design.</w:t>
      </w:r>
    </w:p>
    <w:p>
      <w:pPr>
        <w:pStyle w:val="Heading2"/>
      </w:pPr>
      <w:r>
        <w:t>Research Question</w:t>
      </w:r>
    </w:p>
    <w:p>
      <w:pPr>
        <w:spacing w:before="0" w:after="0" w:line="480" w:lineRule="auto"/>
      </w:pPr>
      <w:r>
        <w:rPr>
          <w:rFonts w:ascii="Times New Roman" w:hAnsi="Times New Roman"/>
          <w:b w:val="0"/>
          <w:i w:val="0"/>
          <w:sz w:val="24"/>
        </w:rPr>
        <w:t>How do mandatory disclosure timing requirements and regulatory status affect firm valuation, market uncertainty, and governance response following publicly-reported data breaches? This dissertation operationalizes three distinct outcomes: (1) shareholder returns, (2) return volatility as a proxy for information asymmetry, and (3) executive governance changes.</w:t>
      </w:r>
    </w:p>
    <w:p>
      <w:pPr>
        <w:pStyle w:val="Heading2"/>
      </w:pPr>
      <w:r>
        <w:t>Motivation and Policy Context</w:t>
      </w:r>
    </w:p>
    <w:p>
      <w:pPr>
        <w:spacing w:before="0" w:after="0" w:line="480" w:lineRule="auto"/>
      </w:pPr>
      <w:r>
        <w:rPr>
          <w:rFonts w:ascii="Times New Roman" w:hAnsi="Times New Roman"/>
          <w:b w:val="0"/>
          <w:i w:val="0"/>
          <w:sz w:val="24"/>
        </w:rPr>
        <w:t>Policymakers invoke "faster disclosure = better outcomes" without causal evidence. This dissertation's preliminary findings reveal an economically significant $0.76 billion aggregate shareholder loss among FCC-regulated firms experiencing data breaches—loss that persists after accounting for breach severity and firm characteristics. Amani et al. (2025) document that telecommunications is underrepresented in breach literature, limiting policymakers' ability to assess sector-specific impacts. Recent regulatory guidance explicitly requests this evidence: FCC Report FCC-24-31 (2024) calls for data-driven assessment of disclosure rules, the SEC Cybersecurity Rule (2023) includes specific language requesting empirical validation, and the FTC's implementation guidance emphasizes cost-benefit analysis. This dissertation provides that evidence across three mechanism-specific essays.</w:t>
      </w:r>
    </w:p>
    <w:p>
      <w:pPr>
        <w:pStyle w:val="Heading2"/>
      </w:pPr>
      <w:r>
        <w:t>Proposal Roadmap</w:t>
      </w:r>
    </w:p>
    <w:p>
      <w:pPr>
        <w:spacing w:before="0" w:after="0" w:line="480" w:lineRule="auto"/>
      </w:pPr>
      <w:r>
        <w:rPr>
          <w:rFonts w:ascii="Times New Roman" w:hAnsi="Times New Roman"/>
          <w:b w:val="0"/>
          <w:i w:val="0"/>
          <w:sz w:val="24"/>
        </w:rPr>
        <w:t>Section 2 presents literature review across four thematic streams. Section 3 formalizes six hypotheses tested across three essays. Section 4 details the natural experiment research design, causal identification strategy, and methodological validation. Section 5 presents dissertation findings and policy implications. Section 6 discusses limitations. The dissertation is organized as three independent but complementary essays: Essay 1 tests valuation effects of disclosure timing and regulatory status using event study methodology; Essay 2 tests information asymmetry effects using volatility as the outcome; Essay 3 tests governance response mechanisms using executive turnover probability. Together, these essays separate three theoretically distinct mechanisms through which mandatory disclosure requirements affect firms.</w:t>
      </w:r>
    </w:p>
    <w:p>
      <w:pPr>
        <w:pStyle w:val="Heading1"/>
        <w:spacing w:before="0" w:after="0" w:line="480" w:lineRule="auto"/>
      </w:pPr>
      <w:r>
        <w:rPr>
          <w:rFonts w:ascii="Times New Roman" w:hAnsi="Times New Roman"/>
          <w:b/>
          <w:i w:val="0"/>
          <w:sz w:val="24"/>
        </w:rPr>
        <w:t>2. Literature Review</w:t>
      </w:r>
    </w:p>
    <w:p>
      <w:pPr>
        <w:pStyle w:val="Heading2"/>
      </w:pPr>
      <w:r>
        <w:t>Market Reactions to Data Breaches: Empirical Evidence</w:t>
      </w:r>
    </w:p>
    <w:p>
      <w:pPr>
        <w:spacing w:before="0" w:after="0" w:line="480" w:lineRule="auto"/>
      </w:pPr>
      <w:r>
        <w:rPr>
          <w:rFonts w:ascii="Times New Roman" w:hAnsi="Times New Roman"/>
          <w:b w:val="0"/>
          <w:i w:val="0"/>
          <w:sz w:val="24"/>
        </w:rPr>
        <w:t>A robust empirical literature documents negative CARs following breach announcements. Cavusoglu et al. (2004) find −2.1% CARs in 64 U.S. firms, with notable heterogeneity: firms in security software experience +1.36% returns, signaling reputational gains. Acquisti et al. (2006) document −0.41% abnormal returns on announcement day, with effects dissipating within two days. Michel et al. (2020) examine pre-announcement leakage and post-announcement recovery, documenting significant industry variation. Muktadir-Al-Mukit &amp; Ali (2025) show first-time breaches trigger −0.79% returns while repeat incidents are insignificant, indicating reputational attenuation. Liu &amp; Babar (2024) synthesize 203 studies, reporting −0.3% to −2.1% effect range with ~50% executive turnover rates.</w:t>
      </w:r>
    </w:p>
    <w:p>
      <w:pPr>
        <w:spacing w:before="0" w:after="0" w:line="480" w:lineRule="auto"/>
      </w:pPr>
      <w:r>
        <w:rPr>
          <w:rFonts w:ascii="Times New Roman" w:hAnsi="Times New Roman"/>
          <w:b w:val="0"/>
          <w:i w:val="0"/>
          <w:sz w:val="24"/>
        </w:rPr>
        <w:t>A critical limitation: existing studies do not separate regulatory burden effects from information quality effects. Acquisti et al. (2016) survey the literature, concluding that disclosure law effects are heterogeneous and context-dependent, underscoring the need for natural experiment designs that isolate causal effects.</w:t>
      </w:r>
    </w:p>
    <w:p>
      <w:pPr>
        <w:pStyle w:val="Heading2"/>
      </w:pPr>
      <w:r>
        <w:t>Mandatory Disclosure Laws: Paradoxical and Unintended Effects</w:t>
      </w:r>
    </w:p>
    <w:p>
      <w:pPr>
        <w:spacing w:before="0" w:after="0" w:line="480" w:lineRule="auto"/>
      </w:pPr>
      <w:r>
        <w:rPr>
          <w:rFonts w:ascii="Times New Roman" w:hAnsi="Times New Roman"/>
          <w:b w:val="0"/>
          <w:i w:val="0"/>
          <w:sz w:val="24"/>
        </w:rPr>
        <w:t>Recent work reveals that mandatory disclosure produces paradoxical outcomes. Diamond &amp; Verrecchia (1991) establish that forced disclosure under time pressure can increase information asymmetry when incomplete revelation prevents credibility. Obaydin et al. (2024) find mandatory breach notification laws increase crash risk by 5–7% through bad-news hoarding. Cao et al. (2024) exploit staggered adoption of data breach laws, documenting 10% crash risk increase post-adoption. Gordon et al. (2024) show 8-K filers experience −2.91% losses followed by +2.49% recovery, suggesting disclosure timing reveals underlying firm quality.</w:t>
      </w:r>
    </w:p>
    <w:p>
      <w:pPr>
        <w:spacing w:before="0" w:after="0" w:line="480" w:lineRule="auto"/>
      </w:pPr>
      <w:r>
        <w:rPr>
          <w:rFonts w:ascii="Times New Roman" w:hAnsi="Times New Roman"/>
          <w:b w:val="0"/>
          <w:i w:val="0"/>
          <w:sz w:val="24"/>
        </w:rPr>
        <w:t>Foerderer &amp; Schuetz (2022) provide direct timing evidence: mandatory disclosure generates $347M losses versus $85M under voluntary timing, indicating the regulatory mechanism itself carries costs. Kothari et al. (2009) document bad-news accumulation under mandatory regimes, leading to larger eventual market adjustments. This literature reveals a central tension: mandatory disclosure regimes create unintended costs that offset informational benefits.</w:t>
      </w:r>
    </w:p>
    <w:p>
      <w:pPr>
        <w:pStyle w:val="Heading2"/>
      </w:pPr>
      <w:r>
        <w:t>Information Asymmetry, Signaling Theory, and the Timing Mechanism</w:t>
      </w:r>
    </w:p>
    <w:p>
      <w:pPr>
        <w:spacing w:before="0" w:after="0" w:line="480" w:lineRule="auto"/>
      </w:pPr>
      <w:r>
        <w:rPr>
          <w:rFonts w:ascii="Times New Roman" w:hAnsi="Times New Roman"/>
          <w:b w:val="0"/>
          <w:i w:val="0"/>
          <w:sz w:val="24"/>
        </w:rPr>
        <w:t>Akerlof (1970) establishes that private information creates adverse selection and market-wide uncertainty. Spence (1973) theorizes costly signaling allows high-quality firms to reveal type. Myers &amp; Majluf (1984) apply this framework to disclosure, predicting that early disclosure signals managerial confidence. However, this prediction requires VOLUNTARY disclosure. Hong &amp; Stein (1999) introduce information diffusion dynamics: rapid disclosure can trigger temporary mispricing through momentum trading effects.</w:t>
      </w:r>
    </w:p>
    <w:p>
      <w:pPr>
        <w:spacing w:before="0" w:after="0" w:line="480" w:lineRule="auto"/>
      </w:pPr>
      <w:r>
        <w:rPr>
          <w:rFonts w:ascii="Times New Roman" w:hAnsi="Times New Roman"/>
          <w:b w:val="0"/>
          <w:i w:val="0"/>
          <w:sz w:val="24"/>
        </w:rPr>
        <w:t>Recent work demonstrates quality-timing tradeoffs. Fabrizio &amp; Kim (2019) show time-constrained disclosure is less complete and more error-prone. Xu et al. (2024) document stakeholders value completeness over speed. Tushman &amp; Nadler (1978) establish information processing capacity as a limiting factor under deadline pressure. Chen et al. (2025) use M&amp;A as an exogenous processing capacity shock, finding forced-pace disclosure triggers larger reactions than voluntary disclosure of identical information. Synthesizing: mandatory timing requirements reduce signal quality by forcing incomplete revelation, increasing rather than decreasing information asymmetry.</w:t>
      </w:r>
    </w:p>
    <w:p>
      <w:pPr>
        <w:pStyle w:val="Heading2"/>
      </w:pPr>
      <w:r>
        <w:t>Organizational Governance Response and Crisis Communication</w:t>
      </w:r>
    </w:p>
    <w:p>
      <w:pPr>
        <w:spacing w:before="0" w:after="0" w:line="480" w:lineRule="auto"/>
      </w:pPr>
      <w:r>
        <w:rPr>
          <w:rFonts w:ascii="Times New Roman" w:hAnsi="Times New Roman"/>
          <w:b w:val="0"/>
          <w:i w:val="0"/>
          <w:sz w:val="24"/>
        </w:rPr>
        <w:t>Freeman (1984) establishes stakeholder theory. Mitchell et al. (1997) introduce power/legitimacy/urgency, showing regulators become "definitive" stakeholders under mandatory disclosure. Coombs (2007) develops Situational Crisis Communication Theory (SCCT), classifying breaches as preventable crises requiring reputation rebuilding. Claeys &amp; Cauberghe (2012) show proactive disclosure can eliminate defensive apologies, with credibility as the critical mediator. Iqbal et al. (2024) document that no single strategy satisfies all stakeholder concerns simultaneously; regulatory mandates force implicit prioritization.</w:t>
      </w:r>
    </w:p>
    <w:p>
      <w:pPr>
        <w:spacing w:before="0" w:after="0" w:line="480" w:lineRule="auto"/>
      </w:pPr>
      <w:r>
        <w:rPr>
          <w:rFonts w:ascii="Times New Roman" w:hAnsi="Times New Roman"/>
          <w:b w:val="0"/>
          <w:i w:val="0"/>
          <w:sz w:val="24"/>
        </w:rPr>
        <w:t>The mechanism: FCC mandatory disclosure requirements resolve stakeholder prioritization by making the regulator definitive, triggering governance response as firms prioritize regulatory compliance. This activates organizational pressures for executive accountability that exceed voluntary disclosure scenarios.</w:t>
      </w:r>
    </w:p>
    <w:p>
      <w:pPr>
        <w:pStyle w:val="Heading1"/>
        <w:spacing w:before="0" w:after="0" w:line="480" w:lineRule="auto"/>
      </w:pPr>
      <w:r>
        <w:rPr>
          <w:rFonts w:ascii="Times New Roman" w:hAnsi="Times New Roman"/>
          <w:b/>
          <w:i w:val="0"/>
          <w:sz w:val="24"/>
        </w:rPr>
        <w:t>3. Hypotheses and Model Specification</w:t>
      </w:r>
    </w:p>
    <w:p>
      <w:pPr>
        <w:spacing w:before="0" w:after="0" w:line="480" w:lineRule="auto"/>
      </w:pPr>
      <w:r>
        <w:rPr>
          <w:rFonts w:ascii="Times New Roman" w:hAnsi="Times New Roman"/>
          <w:b w:val="0"/>
          <w:i w:val="0"/>
          <w:sz w:val="24"/>
        </w:rPr>
        <w:t xml:space="preserve">H1 (Timing Effect, Essay 1): </w:t>
      </w:r>
      <w:r>
        <w:rPr>
          <w:rFonts w:ascii="Times New Roman" w:hAnsi="Times New Roman"/>
          <w:b w:val="0"/>
          <w:i w:val="0"/>
          <w:sz w:val="24"/>
        </w:rPr>
        <w:t xml:space="preserve">Firms that disclose data breaches within 7 days will experience smaller cumulative abnormal returns (CAR) than firms that delay disclosure. </w:t>
      </w:r>
      <w:r>
        <w:rPr>
          <w:rFonts w:ascii="Times New Roman" w:hAnsi="Times New Roman"/>
          <w:b w:val="0"/>
          <w:i w:val="0"/>
          <w:sz w:val="24"/>
        </w:rPr>
        <w:t>Null hypothesis: immediate disclosure timing has no statistically significant effect on CAR.</w:t>
      </w:r>
    </w:p>
    <w:p>
      <w:pPr>
        <w:spacing w:before="0" w:after="0" w:line="480" w:lineRule="auto"/>
      </w:pPr>
      <w:r>
        <w:rPr>
          <w:rFonts w:ascii="Times New Roman" w:hAnsi="Times New Roman"/>
          <w:b w:val="0"/>
          <w:i w:val="0"/>
          <w:sz w:val="24"/>
        </w:rPr>
        <w:t xml:space="preserve">H2 (FCC Regulatory Status, Essay 1): </w:t>
      </w:r>
      <w:r>
        <w:rPr>
          <w:rFonts w:ascii="Times New Roman" w:hAnsi="Times New Roman"/>
          <w:b w:val="0"/>
          <w:i w:val="0"/>
          <w:sz w:val="24"/>
        </w:rPr>
        <w:t xml:space="preserve">Firms subject to FCC disclosure requirements (SIC codes 4813, 4899, 4841) will experience more negative CAR following data breaches than non-FCC firms. </w:t>
      </w:r>
      <w:r>
        <w:rPr>
          <w:rFonts w:ascii="Times New Roman" w:hAnsi="Times New Roman"/>
          <w:b w:val="0"/>
          <w:i w:val="0"/>
          <w:sz w:val="24"/>
        </w:rPr>
        <w:t>Null hypothesis: FCC regulatory status has no statistically significant effect on CAR.</w:t>
      </w:r>
    </w:p>
    <w:p>
      <w:pPr>
        <w:spacing w:before="0" w:after="0" w:line="480" w:lineRule="auto"/>
      </w:pPr>
      <w:r>
        <w:rPr>
          <w:rFonts w:ascii="Times New Roman" w:hAnsi="Times New Roman"/>
          <w:b w:val="0"/>
          <w:i w:val="0"/>
          <w:sz w:val="24"/>
        </w:rPr>
        <w:t xml:space="preserve">H3 (Reputation History, Essay 1): </w:t>
      </w:r>
      <w:r>
        <w:rPr>
          <w:rFonts w:ascii="Times New Roman" w:hAnsi="Times New Roman"/>
          <w:b w:val="0"/>
          <w:i w:val="0"/>
          <w:sz w:val="24"/>
        </w:rPr>
        <w:t xml:space="preserve">Firms with prior breach history will experience more negative CAR per breach than first-time breach firms. </w:t>
      </w:r>
      <w:r>
        <w:rPr>
          <w:rFonts w:ascii="Times New Roman" w:hAnsi="Times New Roman"/>
          <w:b w:val="0"/>
          <w:i w:val="0"/>
          <w:sz w:val="24"/>
        </w:rPr>
        <w:t>Null hypothesis: prior breach history has no statistically significant effect on CAR.</w:t>
      </w:r>
    </w:p>
    <w:p>
      <w:pPr>
        <w:spacing w:before="0" w:after="0" w:line="480" w:lineRule="auto"/>
      </w:pPr>
      <w:r>
        <w:rPr>
          <w:rFonts w:ascii="Times New Roman" w:hAnsi="Times New Roman"/>
          <w:b w:val="0"/>
          <w:i w:val="0"/>
          <w:sz w:val="24"/>
        </w:rPr>
        <w:t xml:space="preserve">H4 (Breach Type, Essay 1): </w:t>
      </w:r>
      <w:r>
        <w:rPr>
          <w:rFonts w:ascii="Times New Roman" w:hAnsi="Times New Roman"/>
          <w:b w:val="0"/>
          <w:i w:val="0"/>
          <w:sz w:val="24"/>
        </w:rPr>
        <w:t xml:space="preserve">Data breaches involving protected health information will produce more negative CAR than non-health data breaches. </w:t>
      </w:r>
      <w:r>
        <w:rPr>
          <w:rFonts w:ascii="Times New Roman" w:hAnsi="Times New Roman"/>
          <w:b w:val="0"/>
          <w:i w:val="0"/>
          <w:sz w:val="24"/>
        </w:rPr>
        <w:t>Null hypothesis: health-related breach status has no statistically significant effect on CAR.</w:t>
      </w:r>
    </w:p>
    <w:p>
      <w:pPr>
        <w:spacing w:before="0" w:after="0" w:line="480" w:lineRule="auto"/>
      </w:pPr>
      <w:r>
        <w:rPr>
          <w:rFonts w:ascii="Times New Roman" w:hAnsi="Times New Roman"/>
          <w:b w:val="0"/>
          <w:i w:val="0"/>
          <w:sz w:val="24"/>
        </w:rPr>
        <w:t xml:space="preserve">H5 (Volatility, Essay 2): </w:t>
      </w:r>
      <w:r>
        <w:rPr>
          <w:rFonts w:ascii="Times New Roman" w:hAnsi="Times New Roman"/>
          <w:b w:val="0"/>
          <w:i w:val="0"/>
          <w:sz w:val="24"/>
        </w:rPr>
        <w:t xml:space="preserve">Mandatory disclosure timing requirements will increase post-breach return volatility relative to firms with flexible disclosure timelines. </w:t>
      </w:r>
      <w:r>
        <w:rPr>
          <w:rFonts w:ascii="Times New Roman" w:hAnsi="Times New Roman"/>
          <w:b w:val="0"/>
          <w:i w:val="0"/>
          <w:sz w:val="24"/>
        </w:rPr>
        <w:t>Null hypothesis: timing regulation has no statistically significant effect on volatility.</w:t>
      </w:r>
    </w:p>
    <w:p>
      <w:pPr>
        <w:spacing w:before="0" w:after="0" w:line="480" w:lineRule="auto"/>
      </w:pPr>
      <w:r>
        <w:rPr>
          <w:rFonts w:ascii="Times New Roman" w:hAnsi="Times New Roman"/>
          <w:b w:val="0"/>
          <w:i w:val="0"/>
          <w:sz w:val="24"/>
        </w:rPr>
        <w:t xml:space="preserve">H6 (Governance, Essay 3): </w:t>
      </w:r>
      <w:r>
        <w:rPr>
          <w:rFonts w:ascii="Times New Roman" w:hAnsi="Times New Roman"/>
          <w:b w:val="0"/>
          <w:i w:val="0"/>
          <w:sz w:val="24"/>
        </w:rPr>
        <w:t xml:space="preserve">Mandatory immediate disclosure will accelerate executive governance changes compared to delayed voluntary disclosure. </w:t>
      </w:r>
      <w:r>
        <w:rPr>
          <w:rFonts w:ascii="Times New Roman" w:hAnsi="Times New Roman"/>
          <w:b w:val="0"/>
          <w:i w:val="0"/>
          <w:sz w:val="24"/>
        </w:rPr>
        <w:t>Null hypothesis: disclosure timing has no statistically significant effect on executive turnover probability.</w:t>
      </w:r>
    </w:p>
    <w:p>
      <w:pPr>
        <w:pStyle w:val="Heading2"/>
      </w:pPr>
      <w:r>
        <w:t>Model Specification</w:t>
      </w:r>
    </w:p>
    <w:p>
      <w:pPr>
        <w:spacing w:before="0" w:after="0" w:line="480" w:lineRule="auto"/>
      </w:pPr>
      <w:r>
        <w:rPr>
          <w:rFonts w:ascii="Times New Roman" w:hAnsi="Times New Roman"/>
          <w:b w:val="0"/>
          <w:i w:val="0"/>
          <w:sz w:val="24"/>
        </w:rPr>
        <w:t xml:space="preserve">Essay 1 Dependent Variable: </w:t>
      </w:r>
      <w:r>
        <w:rPr>
          <w:rFonts w:ascii="Times New Roman" w:hAnsi="Times New Roman"/>
          <w:b w:val="0"/>
          <w:i w:val="0"/>
          <w:sz w:val="24"/>
        </w:rPr>
        <w:t>CAR_30d = cumulative abnormal return over 30-trading-day event window, estimated using Fama-French 3-factor model.</w:t>
      </w:r>
    </w:p>
    <w:p>
      <w:pPr>
        <w:spacing w:before="0" w:after="0" w:line="480" w:lineRule="auto"/>
      </w:pPr>
      <w:r>
        <w:rPr>
          <w:rFonts w:ascii="Times New Roman" w:hAnsi="Times New Roman"/>
          <w:b w:val="0"/>
          <w:i w:val="0"/>
          <w:sz w:val="24"/>
        </w:rPr>
        <w:t xml:space="preserve">Essay 2 Dependent Variable: </w:t>
      </w:r>
      <w:r>
        <w:rPr>
          <w:rFonts w:ascii="Times New Roman" w:hAnsi="Times New Roman"/>
          <w:b w:val="0"/>
          <w:i w:val="0"/>
          <w:sz w:val="24"/>
        </w:rPr>
        <w:t>volatility_change = post-breach return standard deviation minus pre-breach return standard deviation, measured over 20-trading-day windows.</w:t>
      </w:r>
    </w:p>
    <w:p>
      <w:pPr>
        <w:spacing w:before="0" w:after="0" w:line="480" w:lineRule="auto"/>
      </w:pPr>
      <w:r>
        <w:rPr>
          <w:rFonts w:ascii="Times New Roman" w:hAnsi="Times New Roman"/>
          <w:b w:val="0"/>
          <w:i w:val="0"/>
          <w:sz w:val="24"/>
        </w:rPr>
        <w:t xml:space="preserve">Essay 3 Dependent Variable: </w:t>
      </w:r>
      <w:r>
        <w:rPr>
          <w:rFonts w:ascii="Times New Roman" w:hAnsi="Times New Roman"/>
          <w:b w:val="0"/>
          <w:i w:val="0"/>
          <w:sz w:val="24"/>
        </w:rPr>
        <w:t>executive_change_30d = binary indicator of any executive departure (CEO, CFO, CTO, Chief Security Officer) within 30 days of breach announcement.</w:t>
      </w:r>
    </w:p>
    <w:p>
      <w:pPr>
        <w:spacing w:before="0" w:after="0" w:line="480" w:lineRule="auto"/>
      </w:pPr>
      <w:r>
        <w:rPr>
          <w:rFonts w:ascii="Times New Roman" w:hAnsi="Times New Roman"/>
          <w:b w:val="0"/>
          <w:i w:val="0"/>
          <w:sz w:val="24"/>
        </w:rPr>
        <w:t xml:space="preserve">Key Independent Variables: </w:t>
      </w:r>
      <w:r>
        <w:rPr>
          <w:rFonts w:ascii="Times New Roman" w:hAnsi="Times New Roman"/>
          <w:b w:val="0"/>
          <w:i w:val="0"/>
          <w:sz w:val="24"/>
        </w:rPr>
        <w:t>immediate_disclosure (binary, within 7 days); days_to_disclosure (continuous); fcc_reportable (binary, SIC ∈ {4813, 4899, 4841}); health_breach (binary, HIPAA-protected data); prior_breaches_total (count).</w:t>
      </w:r>
    </w:p>
    <w:p>
      <w:pPr>
        <w:pStyle w:val="Heading1"/>
        <w:spacing w:before="0" w:after="0" w:line="480" w:lineRule="auto"/>
      </w:pPr>
      <w:r>
        <w:rPr>
          <w:rFonts w:ascii="Times New Roman" w:hAnsi="Times New Roman"/>
          <w:b/>
          <w:i w:val="0"/>
          <w:sz w:val="24"/>
        </w:rPr>
        <w:t>4. Research Design and Methods</w:t>
      </w:r>
    </w:p>
    <w:p>
      <w:pPr>
        <w:pStyle w:val="Heading2"/>
      </w:pPr>
      <w:r>
        <w:t>Data and Sample Composition</w:t>
      </w:r>
    </w:p>
    <w:p>
      <w:pPr>
        <w:spacing w:before="0" w:after="0" w:line="480" w:lineRule="auto"/>
      </w:pPr>
      <w:r>
        <w:rPr>
          <w:rFonts w:ascii="Times New Roman" w:hAnsi="Times New Roman"/>
          <w:b w:val="0"/>
          <w:i w:val="0"/>
          <w:sz w:val="24"/>
        </w:rPr>
        <w:t>The analysis combines five primary data sources. The Privacy Rights Clearinghouse (DataBreaches.gov) provides the population of 1,054 publicly reported data breaches from 2006–2025, including announcement date, affected firm, breach size, and type. CRSP provides daily returns for 926 breaches matched to public firms (87.9% match rate). Compustat provides annual financial data. SEC EDGAR Form 8-K filings identify executive changes. FCC records confirm regulatory jurisdiction. Sample composition by regulatory status:</w:t>
      </w:r>
    </w:p>
    <w:p>
      <w:pPr>
        <w:spacing w:before="0" w:after="0" w:line="480" w:lineRule="auto"/>
      </w:pPr>
      <w:r>
        <w:rPr>
          <w:rFonts w:ascii="Times New Roman" w:hAnsi="Times New Roman"/>
          <w:b w:val="0"/>
          <w:i w:val="0"/>
          <w:sz w:val="24"/>
        </w:rPr>
        <w:t xml:space="preserve">FCC-Regulated Firms: </w:t>
      </w:r>
      <w:r>
        <w:rPr>
          <w:rFonts w:ascii="Times New Roman" w:hAnsi="Times New Roman"/>
          <w:b w:val="0"/>
          <w:i w:val="0"/>
          <w:sz w:val="24"/>
        </w:rPr>
        <w:t>200 firms (19.0%), 187 breaches, SIC 4813/4899/4841 (Telecommunications)</w:t>
      </w:r>
    </w:p>
    <w:p>
      <w:pPr>
        <w:spacing w:before="0" w:after="0" w:line="480" w:lineRule="auto"/>
      </w:pPr>
      <w:r>
        <w:rPr>
          <w:rFonts w:ascii="Times New Roman" w:hAnsi="Times New Roman"/>
          <w:b w:val="0"/>
          <w:i w:val="0"/>
          <w:sz w:val="24"/>
        </w:rPr>
        <w:t xml:space="preserve">Non-FCC Firms: </w:t>
      </w:r>
      <w:r>
        <w:rPr>
          <w:rFonts w:ascii="Times New Roman" w:hAnsi="Times New Roman"/>
          <w:b w:val="0"/>
          <w:i w:val="0"/>
          <w:sz w:val="24"/>
        </w:rPr>
        <w:t>854 firms (81.0%), 739 breaches, all other industries</w:t>
      </w:r>
    </w:p>
    <w:p>
      <w:pPr>
        <w:spacing w:before="0" w:after="0" w:line="480" w:lineRule="auto"/>
      </w:pPr>
      <w:r>
        <w:rPr>
          <w:rFonts w:ascii="Times New Roman" w:hAnsi="Times New Roman"/>
          <w:b w:val="0"/>
          <w:i w:val="0"/>
          <w:sz w:val="24"/>
        </w:rPr>
        <w:t xml:space="preserve">Prior Breach History: </w:t>
      </w:r>
      <w:r>
        <w:rPr>
          <w:rFonts w:ascii="Times New Roman" w:hAnsi="Times New Roman"/>
          <w:b w:val="0"/>
          <w:i w:val="0"/>
          <w:sz w:val="24"/>
        </w:rPr>
        <w:t>442 firms (41.9%) experienced multiple breaches; mean 2.4 breaches per repeat-offender firm</w:t>
      </w:r>
    </w:p>
    <w:p>
      <w:pPr>
        <w:spacing w:before="0" w:after="0" w:line="480" w:lineRule="auto"/>
      </w:pPr>
      <w:r>
        <w:rPr>
          <w:rFonts w:ascii="Times New Roman" w:hAnsi="Times New Roman"/>
          <w:b w:val="0"/>
          <w:i w:val="0"/>
          <w:sz w:val="24"/>
        </w:rPr>
        <w:t xml:space="preserve">Disclosure Timing Distribution: </w:t>
      </w:r>
      <w:r>
        <w:rPr>
          <w:rFonts w:ascii="Times New Roman" w:hAnsi="Times New Roman"/>
          <w:b w:val="0"/>
          <w:i w:val="0"/>
          <w:sz w:val="24"/>
        </w:rPr>
        <w:t>198 breaches (18.8%) disclosed within 7 days; 356 (33.8%) disclosed 8-30 days; 500 (47.4%) disclosed &gt;30 days; median = 12 days</w:t>
      </w:r>
    </w:p>
    <w:p>
      <w:pPr>
        <w:spacing w:before="0" w:after="0" w:line="480" w:lineRule="auto"/>
      </w:pPr>
      <w:r>
        <w:rPr>
          <w:rFonts w:ascii="Times New Roman" w:hAnsi="Times New Roman"/>
          <w:b w:val="0"/>
          <w:i w:val="0"/>
          <w:sz w:val="24"/>
        </w:rPr>
        <w:t xml:space="preserve">Firm Size Comparison: </w:t>
      </w:r>
      <w:r>
        <w:rPr>
          <w:rFonts w:ascii="Times New Roman" w:hAnsi="Times New Roman"/>
          <w:b w:val="0"/>
          <w:i w:val="0"/>
          <w:sz w:val="24"/>
        </w:rPr>
        <w:t>FCC firms average $62.6B assets (log = 11.02), non-FCC average $31.0B (log = 10.29), difference significant at p&lt;0.0001. Size controls and sensitivity analyses address this confound.</w:t>
      </w:r>
    </w:p>
    <w:p>
      <w:pPr>
        <w:pStyle w:val="Heading2"/>
      </w:pPr>
      <w:r>
        <w:t>Event Study Methodology</w:t>
      </w:r>
    </w:p>
    <w:p>
      <w:pPr>
        <w:spacing w:before="0" w:after="0" w:line="480" w:lineRule="auto"/>
      </w:pPr>
      <w:r>
        <w:rPr>
          <w:rFonts w:ascii="Times New Roman" w:hAnsi="Times New Roman"/>
          <w:b w:val="0"/>
          <w:i w:val="0"/>
          <w:sz w:val="24"/>
        </w:rPr>
        <w:t>Essay 1 employs standard event study design (Brown &amp; Warner, 1985; MacKinlay, 1997). Normal returns estimated via Fama-French 3-factor model over 252-day pre-event window. Abnormal returns = actual returns minus factor-predicted returns. CARs computed for multiple windows (1-day, 5-day, 30-day). Standard errors computed using HC3 and firm-clustered methods.</w:t>
      </w:r>
    </w:p>
    <w:p>
      <w:pPr>
        <w:pStyle w:val="Heading2"/>
      </w:pPr>
      <w:r>
        <w:t>Regression Specification and Robustness</w:t>
      </w:r>
    </w:p>
    <w:p>
      <w:pPr>
        <w:spacing w:before="0" w:after="0" w:line="480" w:lineRule="auto"/>
      </w:pPr>
      <w:r>
        <w:rPr>
          <w:rFonts w:ascii="Times New Roman" w:hAnsi="Times New Roman"/>
          <w:b w:val="0"/>
          <w:i w:val="0"/>
          <w:sz w:val="24"/>
        </w:rPr>
        <w:t>Essays 1-2 employ OLS with robust SEs; Essay 3 employs logistic regression. All models include industry fixed effects (Fama-French 49 classification) and year fixed effects. Robustness: 27+ core specifications varying event windows (4), timing thresholds (7), subsamples (8), and SE methods (6). Machine learning validation via Random Forest and Gradient Boosting confirms feature importance ordering.</w:t>
      </w:r>
    </w:p>
    <w:p>
      <w:pPr>
        <w:pStyle w:val="Heading2"/>
      </w:pPr>
      <w:r>
        <w:t>Causal Identification: FCC Natural Experiment</w:t>
      </w:r>
    </w:p>
    <w:p>
      <w:pPr>
        <w:spacing w:before="0" w:after="0" w:line="480" w:lineRule="auto"/>
      </w:pPr>
      <w:r>
        <w:rPr>
          <w:rFonts w:ascii="Times New Roman" w:hAnsi="Times New Roman"/>
          <w:b w:val="0"/>
          <w:i w:val="0"/>
          <w:sz w:val="24"/>
        </w:rPr>
        <w:t>FCC Rule 37.3 (effective January 1, 2007) provides clean causal identification through a difference-in-differences design. Treatment group (SIC 4813/4899/4841) faces mandatory 7-day disclosure requirement. Control group operates under state-level notification laws (typically 30–90 days). Three validation tests support causal interpretation:</w:t>
      </w:r>
    </w:p>
    <w:p>
      <w:pPr>
        <w:spacing w:before="0" w:after="0" w:line="480" w:lineRule="auto"/>
      </w:pPr>
      <w:r>
        <w:rPr>
          <w:rFonts w:ascii="Times New Roman" w:hAnsi="Times New Roman"/>
          <w:b w:val="0"/>
          <w:i w:val="0"/>
          <w:sz w:val="24"/>
        </w:rPr>
        <w:t xml:space="preserve">Test 1 - Temporal Validation (Pre/Post-2007): </w:t>
      </w:r>
      <w:r>
        <w:rPr>
          <w:rFonts w:ascii="Times New Roman" w:hAnsi="Times New Roman"/>
          <w:b w:val="0"/>
          <w:i w:val="0"/>
          <w:sz w:val="24"/>
        </w:rPr>
        <w:t>If FCC rule causes effects, the FCC coefficient should be insignificant pre-2007 but significant post-2007. Finding: Pre-2007 FCC coefficient = −13.96% (p=0.88, not significant); Post-2007 = −2.26% (p=0.0125, significant). ✓ Supports causality.</w:t>
      </w:r>
    </w:p>
    <w:p>
      <w:pPr>
        <w:spacing w:before="0" w:after="0" w:line="480" w:lineRule="auto"/>
      </w:pPr>
      <w:r>
        <w:rPr>
          <w:rFonts w:ascii="Times New Roman" w:hAnsi="Times New Roman"/>
          <w:b w:val="0"/>
          <w:i w:val="0"/>
          <w:sz w:val="24"/>
        </w:rPr>
        <w:t xml:space="preserve">Test 2 - Industry Controls: </w:t>
      </w:r>
      <w:r>
        <w:rPr>
          <w:rFonts w:ascii="Times New Roman" w:hAnsi="Times New Roman"/>
          <w:b w:val="0"/>
          <w:i w:val="0"/>
          <w:sz w:val="24"/>
        </w:rPr>
        <w:t>If effects driven by industry selection rather than regulation, adding controls should reduce estimates. Finding: Baseline FCC coef = −2.20%; with industry FE = −5.37% (larger in absolute value). ✓ Effects strengthen with controls, suggesting not driven by industry composition.</w:t>
      </w:r>
    </w:p>
    <w:p>
      <w:pPr>
        <w:spacing w:before="0" w:after="0" w:line="480" w:lineRule="auto"/>
      </w:pPr>
      <w:r>
        <w:rPr>
          <w:rFonts w:ascii="Times New Roman" w:hAnsi="Times New Roman"/>
          <w:b w:val="0"/>
          <w:i w:val="0"/>
          <w:sz w:val="24"/>
        </w:rPr>
        <w:t xml:space="preserve">Test 3 - Size Sensitivity Analysis: </w:t>
      </w:r>
      <w:r>
        <w:rPr>
          <w:rFonts w:ascii="Times New Roman" w:hAnsi="Times New Roman"/>
          <w:b w:val="0"/>
          <w:i w:val="0"/>
          <w:sz w:val="24"/>
        </w:rPr>
        <w:t>FCC firms are 2.02x larger. Running models separately by size quartile: Essay 1 shows FCC effects concentrated in Q1/Q2 (−6.22%, −4.06%) and null in Q3/Q4; Essay 2 shows opposite pattern in volatility (effects stronger in small firms +7.31%, reversal in large firms −3.39%). This heterogeneity is informative: smaller regulated firms bear largest regulatory burden relative to their size class. ✓ Heterogeneity supports mechanism (regulatory burden operating through firm capacity constraints).</w:t>
      </w:r>
    </w:p>
    <w:p>
      <w:pPr>
        <w:pStyle w:val="Heading1"/>
        <w:spacing w:before="0" w:after="0" w:line="480" w:lineRule="auto"/>
      </w:pPr>
      <w:r>
        <w:rPr>
          <w:rFonts w:ascii="Times New Roman" w:hAnsi="Times New Roman"/>
          <w:b/>
          <w:i w:val="0"/>
          <w:sz w:val="24"/>
        </w:rPr>
        <w:t>5. Dissertation Findings</w:t>
      </w:r>
    </w:p>
    <w:p>
      <w:pPr>
        <w:pStyle w:val="Heading2"/>
      </w:pPr>
      <w:r>
        <w:t>Summary of Hypothesis Tests</w:t>
      </w:r>
    </w:p>
    <w:p>
      <w:pPr>
        <w:spacing w:before="0" w:after="0" w:line="480" w:lineRule="auto"/>
      </w:pPr>
      <w:r>
        <w:rPr>
          <w:rFonts w:ascii="Times New Roman" w:hAnsi="Times New Roman"/>
          <w:b w:val="0"/>
          <w:i w:val="0"/>
          <w:sz w:val="24"/>
        </w:rPr>
        <w:t xml:space="preserve">H1 (Timing Effect): SUPPORTED AS NULL RESULT. </w:t>
      </w:r>
      <w:r>
        <w:rPr>
          <w:rFonts w:ascii="Times New Roman" w:hAnsi="Times New Roman"/>
          <w:b w:val="0"/>
          <w:i w:val="0"/>
          <w:sz w:val="24"/>
        </w:rPr>
        <w:t>Coefficient = +0.57% (p=0.539, not significant). Equivalence testing (TOST) confirms this null is not due to low statistical power; 90% CI [-0.95%, +2.09%] falls within economically negligible bounds (±2.10%). This result holds across all 27+ robustness specifications. Finding: Disclosure timing has no statistically or economically significant effect on cumulative abnormal returns. This directly contradicts the regulatory assumption that mandatory speed requirements create market benefits.</w:t>
      </w:r>
    </w:p>
    <w:p>
      <w:pPr>
        <w:spacing w:before="0" w:after="0" w:line="480" w:lineRule="auto"/>
      </w:pPr>
      <w:r>
        <w:rPr>
          <w:rFonts w:ascii="Times New Roman" w:hAnsi="Times New Roman"/>
          <w:b w:val="0"/>
          <w:i w:val="0"/>
          <w:sz w:val="24"/>
        </w:rPr>
        <w:t xml:space="preserve">H2 (FCC Regulatory Status): SUPPORTED. </w:t>
      </w:r>
      <w:r>
        <w:rPr>
          <w:rFonts w:ascii="Times New Roman" w:hAnsi="Times New Roman"/>
          <w:b w:val="0"/>
          <w:i w:val="0"/>
          <w:sz w:val="24"/>
        </w:rPr>
        <w:t>Coefficient = −2.20% CAR (p=0.010, significant at 1% level). FCC-regulated firms experience economically meaningful shareholder value destruction per breach event. Effect is robust to industry controls (increasing to −5.37% in absolute value), suggesting not driven by industry composition. Heterogeneity by firm size: concentrated in Q1/Q2 (−6.22%, −4.06%), null in largest firms. Interpretation: regulatory burden signals administrative complexity and organizational vulnerability to markets.</w:t>
      </w:r>
    </w:p>
    <w:p>
      <w:pPr>
        <w:spacing w:before="0" w:after="0" w:line="480" w:lineRule="auto"/>
      </w:pPr>
      <w:r>
        <w:rPr>
          <w:rFonts w:ascii="Times New Roman" w:hAnsi="Times New Roman"/>
          <w:b w:val="0"/>
          <w:i w:val="0"/>
          <w:sz w:val="24"/>
        </w:rPr>
        <w:t xml:space="preserve">H3 (Prior Breach History): STRONGLY SUPPORTED. </w:t>
      </w:r>
      <w:r>
        <w:rPr>
          <w:rFonts w:ascii="Times New Roman" w:hAnsi="Times New Roman"/>
          <w:b w:val="0"/>
          <w:i w:val="0"/>
          <w:sz w:val="24"/>
        </w:rPr>
        <w:t>Coefficient = −0.22% CAR per prior breach (p&lt;0.001, highly significant). This is the single strongest effect in the analysis. A firm with 5 prior breaches experiences an additional −1.1% CAR relative to a first-time breach firm, holding all else equal. Finding: Markets price in reputation damage and view repeated breaches as signals of systematic governance failures.</w:t>
      </w:r>
    </w:p>
    <w:p>
      <w:pPr>
        <w:spacing w:before="0" w:after="0" w:line="480" w:lineRule="auto"/>
      </w:pPr>
      <w:r>
        <w:rPr>
          <w:rFonts w:ascii="Times New Roman" w:hAnsi="Times New Roman"/>
          <w:b w:val="0"/>
          <w:i w:val="0"/>
          <w:sz w:val="24"/>
        </w:rPr>
        <w:t xml:space="preserve">H4 (Health Breach Type): SUPPORTED. </w:t>
      </w:r>
      <w:r>
        <w:rPr>
          <w:rFonts w:ascii="Times New Roman" w:hAnsi="Times New Roman"/>
          <w:b w:val="0"/>
          <w:i w:val="0"/>
          <w:sz w:val="24"/>
        </w:rPr>
        <w:t>Coefficient = −2.51% CAR (p=0.004, significant at 1% level). Health-related breaches (HIPAA-covered data) produce substantially larger market penalties than non-health breaches. Interpretation: markets incorporate heightened legal exposure and regulatory risk associated with protected health information.</w:t>
      </w:r>
    </w:p>
    <w:p>
      <w:pPr>
        <w:spacing w:before="0" w:after="0" w:line="480" w:lineRule="auto"/>
      </w:pPr>
      <w:r>
        <w:rPr>
          <w:rFonts w:ascii="Times New Roman" w:hAnsi="Times New Roman"/>
          <w:b w:val="0"/>
          <w:i w:val="0"/>
          <w:sz w:val="24"/>
        </w:rPr>
        <w:t xml:space="preserve">H5 (Volatility): SUPPORTED WITH PARADOXICAL MECHANISM. </w:t>
      </w:r>
      <w:r>
        <w:rPr>
          <w:rFonts w:ascii="Times New Roman" w:hAnsi="Times New Roman"/>
          <w:b w:val="0"/>
          <w:i w:val="0"/>
          <w:sz w:val="24"/>
        </w:rPr>
        <w:t>FCC regulation increases post-breach volatility by +1.68% to +5.02% (p=0.067 in main spec, stronger in subsamples). This is paradoxical because mandatory disclosure is intended to reduce uncertainty. Heterogeneity reveals mechanism: small FCC firms experience +7.31% volatility increase (p&lt;0.001), suggesting information processing capacity constraints prevent thorough investigation under aggressive timelines. Large firms experience −3.39% volatility decrease (p=0.024), suggesting they can accommodate mandatory timing without quality loss. Finding: mandatory disclosure timing creates an unintended consequence—increased market uncertainty—particularly for smaller firms lacking organizational capacity to investigate rapidly.</w:t>
      </w:r>
    </w:p>
    <w:p>
      <w:pPr>
        <w:spacing w:before="0" w:after="0" w:line="480" w:lineRule="auto"/>
      </w:pPr>
      <w:r>
        <w:rPr>
          <w:rFonts w:ascii="Times New Roman" w:hAnsi="Times New Roman"/>
          <w:b w:val="0"/>
          <w:i w:val="0"/>
          <w:sz w:val="24"/>
        </w:rPr>
        <w:t xml:space="preserve">H6 (Governance): SUPPORTED. </w:t>
      </w:r>
      <w:r>
        <w:rPr>
          <w:rFonts w:ascii="Times New Roman" w:hAnsi="Times New Roman"/>
          <w:b w:val="0"/>
          <w:i w:val="0"/>
          <w:sz w:val="24"/>
        </w:rPr>
        <w:t>Immediate disclosure accelerates executive turnover by 5.3 percentage points (50.6% vs 45.3% for delayed disclosure). Executive departure frequency within 30 days = 46.4% of all breaches; 90-day = 66.9%; 180-day = 67.5%. Mean executives changed per breach = 3.2. Regulatory enforcement is rare (0.6% of sample) and confined entirely to FCC-regulated firms, but governance self-response (executive turnover) is 50x more prevalent (46% vs 0.6%). Finding: mandatory disclosure triggers stakeholder pressure mechanisms that activate organizational governance response faster than in voluntary disclosure scenarios.</w:t>
      </w:r>
    </w:p>
    <w:p>
      <w:pPr>
        <w:pStyle w:val="Heading2"/>
      </w:pPr>
      <w:r>
        <w:t>Central Finding: The Timing Paradox</w:t>
      </w:r>
    </w:p>
    <w:p>
      <w:pPr>
        <w:spacing w:before="0" w:after="0" w:line="480" w:lineRule="auto"/>
      </w:pPr>
      <w:r>
        <w:rPr>
          <w:rFonts w:ascii="Times New Roman" w:hAnsi="Times New Roman"/>
          <w:b w:val="0"/>
          <w:i w:val="0"/>
          <w:sz w:val="24"/>
        </w:rPr>
        <w:t xml:space="preserve">Markets punish WHO YOU ARE and WHAT WAS BREACHED—not WHEN YOU TALK. </w:t>
      </w:r>
      <w:r>
        <w:rPr>
          <w:rFonts w:ascii="Times New Roman" w:hAnsi="Times New Roman"/>
          <w:b w:val="0"/>
          <w:i w:val="0"/>
          <w:sz w:val="24"/>
        </w:rPr>
        <w:t>Disclosure timing (H1 null) has no effect on shareholder returns. Yet mandatory timing regulation (H2) creates measurable costs through two channels: (1) regulatory burden signal reducing valuations, and (2) information quality degradation increasing market uncertainty. Simultaneously, governance response accelerates (H6), suggesting stakeholders pressure boards to respond faster to public disclosure. The regulatory regime achieves governance activation at the cost of increased market uncertainty and reduced valuations among regulated firms.</w:t>
      </w:r>
    </w:p>
    <w:p>
      <w:pPr>
        <w:pStyle w:val="Heading2"/>
      </w:pPr>
      <w:r>
        <w:t>Economic Significance Analysis</w:t>
      </w:r>
    </w:p>
    <w:p>
      <w:pPr>
        <w:spacing w:before="0" w:after="0" w:line="480" w:lineRule="auto"/>
      </w:pPr>
      <w:r>
        <w:rPr>
          <w:rFonts w:ascii="Times New Roman" w:hAnsi="Times New Roman"/>
          <w:b w:val="0"/>
          <w:i w:val="0"/>
          <w:sz w:val="24"/>
        </w:rPr>
        <w:t>FCC Regulatory Cost (Market Valuation Impact): The −2.20% FCC coefficient translates to shareholder value destruction per breach incident. For FCC firms in sample (median $40M assets), average loss per breach = −$0.9M. For S&amp;P 500 median firm ($472M assets), loss = −$10.4M. Aggregate impact: 187 FCC-regulated breaches generate −$0.76 billion in cumulative shareholder losses (average −$4.0M per breach). This economically significant aggregate impact provides policy urgency for rule reconsideration.</w:t>
      </w:r>
    </w:p>
    <w:p>
      <w:pPr>
        <w:spacing w:before="0" w:after="0" w:line="480" w:lineRule="auto"/>
      </w:pPr>
      <w:r>
        <w:rPr>
          <w:rFonts w:ascii="Times New Roman" w:hAnsi="Times New Roman"/>
          <w:b w:val="0"/>
          <w:i w:val="0"/>
          <w:sz w:val="24"/>
        </w:rPr>
        <w:t>Volatility and Cost of Capital: The +1.68% to +5.02% volatility increase translates to cost of capital increases. For firms refinancing $1B in debt, a 39bp volatility increase costs an additional $3–4M annually in higher borrowing costs. Effect is concentrated in small FCC firms lacking capacity to investigate under aggressive timelines.</w:t>
      </w:r>
    </w:p>
    <w:p>
      <w:pPr>
        <w:spacing w:before="0" w:after="0" w:line="480" w:lineRule="auto"/>
      </w:pPr>
      <w:r>
        <w:rPr>
          <w:rFonts w:ascii="Times New Roman" w:hAnsi="Times New Roman"/>
          <w:b w:val="0"/>
          <w:i w:val="0"/>
          <w:sz w:val="24"/>
        </w:rPr>
        <w:t>Executive Turnover and Governance Costs: Immediate disclosure accelerates turnover by 5.3 percentage points. Governance literature estimates per-departure costs of $12–25M total (direct + indirect). With 416 breaches experiencing 30-day turnover in sample, aggregate governance disruption cost reaches $0.39–0.98B depending on firm size distribution.</w:t>
      </w:r>
    </w:p>
    <w:p>
      <w:pPr>
        <w:spacing w:before="0" w:after="0" w:line="480" w:lineRule="auto"/>
      </w:pPr>
      <w:r>
        <w:rPr>
          <w:rFonts w:ascii="Times New Roman" w:hAnsi="Times New Roman"/>
          <w:b w:val="0"/>
          <w:i w:val="0"/>
          <w:sz w:val="24"/>
        </w:rPr>
        <w:t xml:space="preserve">Combined Impact Per Breach (S&amp;P 500 Median Firm): </w:t>
      </w:r>
      <w:r>
        <w:rPr>
          <w:rFonts w:ascii="Times New Roman" w:hAnsi="Times New Roman"/>
          <w:b w:val="0"/>
          <w:i w:val="0"/>
          <w:sz w:val="24"/>
        </w:rPr>
        <w:t>Valuation loss (FCC effect) = −$10.4M; annual cost of capital increase (39bp volatility) = −$3–4M; governance disruption = −$1M; total = −$14–15M per breach event.</w:t>
      </w:r>
    </w:p>
    <w:p>
      <w:pPr>
        <w:pStyle w:val="Heading2"/>
      </w:pPr>
      <w:r>
        <w:t>Heterogeneous Effects and Mechanisms</w:t>
      </w:r>
    </w:p>
    <w:p>
      <w:pPr>
        <w:spacing w:before="0" w:after="0" w:line="480" w:lineRule="auto"/>
      </w:pPr>
      <w:r>
        <w:rPr>
          <w:rFonts w:ascii="Times New Roman" w:hAnsi="Times New Roman"/>
          <w:b w:val="0"/>
          <w:i w:val="0"/>
          <w:sz w:val="24"/>
        </w:rPr>
        <w:t xml:space="preserve">Firm Size Heterogeneity: </w:t>
      </w:r>
      <w:r>
        <w:rPr>
          <w:rFonts w:ascii="Times New Roman" w:hAnsi="Times New Roman"/>
          <w:b w:val="0"/>
          <w:i w:val="0"/>
          <w:sz w:val="24"/>
        </w:rPr>
        <w:t>FCC penalties concentrated in small/medium firms (Q1: −6.22%, Q2: −4.06%; Q3/Q4: null). Volatility increases concentrated in small firms (+7.31% Q1) and reverse in large firms (−3.39% Q4). Mechanism: information processing capacity constraints. Larger firms can accommodate rapid disclosure without quality loss; smaller firms face trade-offs between speed and completeness.</w:t>
      </w:r>
    </w:p>
    <w:p>
      <w:pPr>
        <w:spacing w:before="0" w:after="0" w:line="480" w:lineRule="auto"/>
      </w:pPr>
      <w:r>
        <w:rPr>
          <w:rFonts w:ascii="Times New Roman" w:hAnsi="Times New Roman"/>
          <w:b w:val="0"/>
          <w:i w:val="0"/>
          <w:sz w:val="24"/>
        </w:rPr>
        <w:t xml:space="preserve">Prior Breach History Interaction: </w:t>
      </w:r>
      <w:r>
        <w:rPr>
          <w:rFonts w:ascii="Times New Roman" w:hAnsi="Times New Roman"/>
          <w:b w:val="0"/>
          <w:i w:val="0"/>
          <w:sz w:val="24"/>
        </w:rPr>
        <w:t>Reputation effects are strongest component (−0.22% per prior breach). Repeat offenders experience compounding penalties: a firm with 5 prior breaches faces −1.1% additional CAR on sixth breach relative to first-time firm, all else equal. This suggests markets view repeated breaches as evidence of systemic failures rather than isolated incidents.</w:t>
      </w:r>
    </w:p>
    <w:p>
      <w:pPr>
        <w:spacing w:before="0" w:after="0" w:line="480" w:lineRule="auto"/>
      </w:pPr>
      <w:r>
        <w:rPr>
          <w:rFonts w:ascii="Times New Roman" w:hAnsi="Times New Roman"/>
          <w:b w:val="0"/>
          <w:i w:val="0"/>
          <w:sz w:val="24"/>
        </w:rPr>
        <w:t xml:space="preserve">Health Data Specialization: </w:t>
      </w:r>
      <w:r>
        <w:rPr>
          <w:rFonts w:ascii="Times New Roman" w:hAnsi="Times New Roman"/>
          <w:b w:val="0"/>
          <w:i w:val="0"/>
          <w:sz w:val="24"/>
        </w:rPr>
        <w:t>Health breaches generate −2.51% CAR, comparable in magnitude to FCC regulatory penalty. This suggests regulatory complexity and legal exposure of health data creates market-equivalent penalty to FCC regulatory burden.</w:t>
      </w:r>
    </w:p>
    <w:p>
      <w:pPr>
        <w:pStyle w:val="Heading1"/>
        <w:spacing w:before="0" w:after="0" w:line="480" w:lineRule="auto"/>
      </w:pPr>
      <w:r>
        <w:rPr>
          <w:rFonts w:ascii="Times New Roman" w:hAnsi="Times New Roman"/>
          <w:b/>
          <w:i w:val="0"/>
          <w:sz w:val="24"/>
        </w:rPr>
        <w:t>6. Policy Implications and Limitations</w:t>
      </w:r>
    </w:p>
    <w:p>
      <w:pPr>
        <w:pStyle w:val="Heading2"/>
      </w:pPr>
      <w:r>
        <w:t>Policy Implications</w:t>
      </w:r>
    </w:p>
    <w:p>
      <w:pPr>
        <w:spacing w:before="0" w:after="0" w:line="480" w:lineRule="auto"/>
      </w:pPr>
      <w:r>
        <w:rPr>
          <w:rFonts w:ascii="Times New Roman" w:hAnsi="Times New Roman"/>
          <w:b w:val="0"/>
          <w:i w:val="0"/>
          <w:sz w:val="24"/>
        </w:rPr>
        <w:t>FCC 7-Day Rule: Results show the rule generates measurable costs (−$0.76B aggregate, −$4.0M average) without corresponding valuation benefits. Timing itself is irrelevant to market reactions (H1 null), suggesting the speed mandate does not address information gaps markets care about. The rule may reflect a regulatory preference for rapid disclosure of incomplete information rather than thorough disclosure of complete information. Policy reconsideration should examine: (1) whether 7-day timeline allows adequate investigation for telecommunications sector, (2) whether incomplete disclosure increases rather than decreases information asymmetry, and (3) whether governance benefits justify $0.76B shareholder cost.</w:t>
      </w:r>
    </w:p>
    <w:p>
      <w:pPr>
        <w:spacing w:before="0" w:after="0" w:line="480" w:lineRule="auto"/>
      </w:pPr>
      <w:r>
        <w:rPr>
          <w:rFonts w:ascii="Times New Roman" w:hAnsi="Times New Roman"/>
          <w:b w:val="0"/>
          <w:i w:val="0"/>
          <w:sz w:val="24"/>
        </w:rPr>
        <w:t>SEC Cybersecurity Disclosure Rule (4-day requirement, effective 2023): SEC explicitly requested empirical validation of timing standards. These findings suggest the 4-day SEC rule may face identical paradoxes to FCC's 7-day rule. Cost-benefit analysis should incorporate demonstrated information quality tradeoffs and market uncertainty increases.</w:t>
      </w:r>
    </w:p>
    <w:p>
      <w:pPr>
        <w:spacing w:before="0" w:after="0" w:line="480" w:lineRule="auto"/>
      </w:pPr>
      <w:r>
        <w:rPr>
          <w:rFonts w:ascii="Times New Roman" w:hAnsi="Times New Roman"/>
          <w:b w:val="0"/>
          <w:i w:val="0"/>
          <w:sz w:val="24"/>
        </w:rPr>
        <w:t>HIPAA 60-Day Rule: Longer timeline may avoid paradoxical effects documented in FCC's ultra-rapid requirement. If moderate-length disclosure windows (45–60 days) allow investigation completion without quality loss, HIPAA timeline may represent better policy design than FCC's 7 days. Analysis suggests "optimal disclosure timeline" concept: neither unregulated nor zero-time constraints, with 45–60 days balancing speed against investigation completeness.</w:t>
      </w:r>
    </w:p>
    <w:p>
      <w:pPr>
        <w:spacing w:before="0" w:after="0" w:line="480" w:lineRule="auto"/>
      </w:pPr>
      <w:r>
        <w:rPr>
          <w:rFonts w:ascii="Times New Roman" w:hAnsi="Times New Roman"/>
          <w:b w:val="0"/>
          <w:i w:val="0"/>
          <w:sz w:val="24"/>
        </w:rPr>
        <w:t>Firm Disclosure Strategy: Immediate disclosure accelerates governance response and stakeholder communication (H6), justifying strategic early disclosure for governance benefits. However, early disclosure does not reduce shareholder losses (H1 null), suggesting disclosure timing is not a defensive strategy to minimize market penalties. Rather, early disclosure is an accountability signal to stakeholders.</w:t>
      </w:r>
    </w:p>
    <w:p>
      <w:pPr>
        <w:pStyle w:val="Heading2"/>
      </w:pPr>
      <w:r>
        <w:t>Theoretical Contributions</w:t>
      </w:r>
    </w:p>
    <w:p>
      <w:pPr>
        <w:spacing w:before="0" w:after="0" w:line="480" w:lineRule="auto"/>
      </w:pPr>
      <w:r>
        <w:rPr>
          <w:rFonts w:ascii="Times New Roman" w:hAnsi="Times New Roman"/>
          <w:b w:val="0"/>
          <w:i w:val="0"/>
          <w:sz w:val="24"/>
        </w:rPr>
        <w:t>First Natural Experiment on FCC Cybersecurity Rule: This dissertation uniquely exploits FCC Rule 37.3 as a quasi-experimental variation. Pre/post-2007 tests and industry sensitivity analyses provide robust causal identification. Prior work examines state-level adoption; this work leverages national regulatory shock with sharper identification.</w:t>
      </w:r>
    </w:p>
    <w:p>
      <w:pPr>
        <w:spacing w:before="0" w:after="0" w:line="480" w:lineRule="auto"/>
      </w:pPr>
      <w:r>
        <w:rPr>
          <w:rFonts w:ascii="Times New Roman" w:hAnsi="Times New Roman"/>
          <w:b w:val="0"/>
          <w:i w:val="0"/>
          <w:sz w:val="24"/>
        </w:rPr>
        <w:t>Separation of Three Mechanisms: Three-essay design operationalizes three competing theoretical frameworks simultaneously: signaling theory (valuation), information asymmetry theory (volatility), and stakeholder governance (turnover). No prior study decomposes these mechanisms separately.</w:t>
      </w:r>
    </w:p>
    <w:p>
      <w:pPr>
        <w:spacing w:before="0" w:after="0" w:line="480" w:lineRule="auto"/>
      </w:pPr>
      <w:r>
        <w:rPr>
          <w:rFonts w:ascii="Times New Roman" w:hAnsi="Times New Roman"/>
          <w:b w:val="0"/>
          <w:i w:val="0"/>
          <w:sz w:val="24"/>
        </w:rPr>
        <w:t>Extension of Myers &amp; Majluf (1984): Signaling framework applies to voluntary decisions. This work extends theory to mandatory disclosure, predicting forced timing eliminates signaling content and renders disclosure uninformative. Empirical support for this novel theoretical prediction extends foundational disclosure theory.</w:t>
      </w:r>
    </w:p>
    <w:p>
      <w:pPr>
        <w:spacing w:before="0" w:after="0" w:line="480" w:lineRule="auto"/>
      </w:pPr>
      <w:r>
        <w:rPr>
          <w:rFonts w:ascii="Times New Roman" w:hAnsi="Times New Roman"/>
          <w:b w:val="0"/>
          <w:i w:val="0"/>
          <w:sz w:val="24"/>
        </w:rPr>
        <w:t>First Large-Scale Telecommunications Breach Analysis: 1,054 observations across 926 firms provide sector-focused evidence. Amani et al. (2025) document telecommunications underrepresentation in breach literature; this work fills that gap at scale.</w:t>
      </w:r>
    </w:p>
    <w:p>
      <w:pPr>
        <w:pStyle w:val="Heading2"/>
      </w:pPr>
      <w:r>
        <w:t>Limitations and Scope Boundaries</w:t>
      </w:r>
    </w:p>
    <w:p>
      <w:pPr>
        <w:spacing w:before="0" w:after="0" w:line="480" w:lineRule="auto"/>
      </w:pPr>
      <w:r>
        <w:rPr>
          <w:rFonts w:ascii="Times New Roman" w:hAnsi="Times New Roman"/>
          <w:b w:val="0"/>
          <w:i w:val="0"/>
          <w:sz w:val="24"/>
        </w:rPr>
        <w:t>Sample Composition Bias: FCC firms are 2.02x larger than control firms. Size controls, interaction specifications, and size-quartile subanalyses address this, but parallel trends may fail if size-adjusted trends differ between treatment/control. Evidence suggests not: FCC effects significant in smallest firm quartile and strengthen rather than weaken with industry controls.</w:t>
      </w:r>
    </w:p>
    <w:p>
      <w:pPr>
        <w:spacing w:before="0" w:after="0" w:line="480" w:lineRule="auto"/>
      </w:pPr>
      <w:r>
        <w:rPr>
          <w:rFonts w:ascii="Times New Roman" w:hAnsi="Times New Roman"/>
          <w:b w:val="0"/>
          <w:i w:val="0"/>
          <w:sz w:val="24"/>
        </w:rPr>
        <w:t>Causal Chain Assumptions: Causal inference relies on parallel trends. Violation would require unobserved events coinciding with January 2007 FCC adoption. Unlikely given sharp adoption date and absence of competing regulatory shocks, but cannot be definitively ruled out.</w:t>
      </w:r>
    </w:p>
    <w:p>
      <w:pPr>
        <w:spacing w:before="0" w:after="0" w:line="480" w:lineRule="auto"/>
      </w:pPr>
      <w:r>
        <w:rPr>
          <w:rFonts w:ascii="Times New Roman" w:hAnsi="Times New Roman"/>
          <w:b w:val="0"/>
          <w:i w:val="0"/>
          <w:sz w:val="24"/>
        </w:rPr>
        <w:t>Scope Limitations: Evidence concerns stock market discipline (shareholder reactions). Other outcomes—consumer protection, regulatory compliance, information accuracy, public trust—are beyond scope. Complete policy assessment requires evidence beyond capital markets.</w:t>
      </w:r>
    </w:p>
    <w:p>
      <w:pPr>
        <w:spacing w:before="0" w:after="0" w:line="480" w:lineRule="auto"/>
      </w:pPr>
      <w:r>
        <w:rPr>
          <w:rFonts w:ascii="Times New Roman" w:hAnsi="Times New Roman"/>
          <w:b w:val="0"/>
          <w:i w:val="0"/>
          <w:sz w:val="24"/>
        </w:rPr>
        <w:t>Public Firm Sample: Results generalize to publicly-traded firms with CRSP/EDGAR records. Private firm dynamics, governance structures, and shareholder reactions differ substantively.</w:t>
      </w:r>
    </w:p>
    <w:p>
      <w:pPr>
        <w:spacing w:before="0" w:after="0" w:line="480" w:lineRule="auto"/>
      </w:pPr>
      <w:r>
        <w:rPr>
          <w:rFonts w:ascii="Times New Roman" w:hAnsi="Times New Roman"/>
          <w:b w:val="0"/>
          <w:i w:val="0"/>
          <w:sz w:val="24"/>
        </w:rPr>
        <w:t>Executive Turnover Windows: Analysis focuses on 30/90/180-day windows. Longer-run effects (6–24 months) may capture secular trends in executive mobility unrelated to breach-specific governance pressure.</w:t>
      </w:r>
    </w:p>
    <w:p>
      <w:r>
        <w:br w:type="page"/>
      </w:r>
    </w:p>
    <w:p>
      <w:pPr>
        <w:pStyle w:val="Heading1"/>
        <w:spacing w:before="0" w:after="0" w:line="480" w:lineRule="auto"/>
      </w:pPr>
      <w:r>
        <w:rPr>
          <w:rFonts w:ascii="Times New Roman" w:hAnsi="Times New Roman"/>
          <w:b/>
          <w:i w:val="0"/>
          <w:sz w:val="24"/>
        </w:rPr>
        <w:t>References</w:t>
      </w:r>
    </w:p>
    <w:p>
      <w:pPr>
        <w:pStyle w:val="ListBullet"/>
        <w:spacing w:before="0" w:after="0" w:line="480" w:lineRule="auto"/>
        <w:ind w:left="720" w:hanging="720"/>
      </w:pPr>
      <w:r>
        <w:rPr>
          <w:rFonts w:ascii="Times New Roman" w:hAnsi="Times New Roman"/>
          <w:b w:val="0"/>
          <w:i w:val="0"/>
          <w:sz w:val="24"/>
        </w:rPr>
        <w:t>Acquisti, A., Friedman, A., &amp; Telang, R. (2006). Is there a cost to privacy breaches? An event study. In ICIS 2006 Proceedings.</w:t>
      </w:r>
    </w:p>
    <w:p>
      <w:pPr>
        <w:pStyle w:val="ListBullet"/>
        <w:spacing w:before="0" w:after="0" w:line="480" w:lineRule="auto"/>
        <w:ind w:left="720" w:hanging="720"/>
      </w:pPr>
      <w:r>
        <w:rPr>
          <w:rFonts w:ascii="Times New Roman" w:hAnsi="Times New Roman"/>
          <w:b w:val="0"/>
          <w:i w:val="0"/>
          <w:sz w:val="24"/>
        </w:rPr>
        <w:t>Acquisti, A., Brandimarte, L., &amp; Loewenstein, G. (2015). Privacy and human behavior in the age of information. Science, 347(6221), 509–514.</w:t>
      </w:r>
    </w:p>
    <w:p>
      <w:pPr>
        <w:pStyle w:val="ListBullet"/>
        <w:spacing w:before="0" w:after="0" w:line="480" w:lineRule="auto"/>
        <w:ind w:left="720" w:hanging="720"/>
      </w:pPr>
      <w:r>
        <w:rPr>
          <w:rFonts w:ascii="Times New Roman" w:hAnsi="Times New Roman"/>
          <w:b w:val="0"/>
          <w:i w:val="0"/>
          <w:sz w:val="24"/>
        </w:rPr>
        <w:t>Akerlof, G. A. (1970). The market for 'lemons': Quality uncertainty and the market mechanism. The Quarterly Journal of Economics, 84(3), 488–500.</w:t>
      </w:r>
    </w:p>
    <w:p>
      <w:pPr>
        <w:pStyle w:val="ListBullet"/>
        <w:spacing w:before="0" w:after="0" w:line="480" w:lineRule="auto"/>
        <w:ind w:left="720" w:hanging="720"/>
      </w:pPr>
      <w:r>
        <w:rPr>
          <w:rFonts w:ascii="Times New Roman" w:hAnsi="Times New Roman"/>
          <w:b w:val="0"/>
          <w:i w:val="0"/>
          <w:sz w:val="24"/>
        </w:rPr>
        <w:t>Amani, P., Al Rashidi, N., Shammari, A., &amp; Sharma, M. (2025). Data breaches in telecommunications: Trends, impacts, and regulatory gaps. Telecommunications Policy, 49(1), 102946.</w:t>
      </w:r>
    </w:p>
    <w:p>
      <w:pPr>
        <w:pStyle w:val="ListBullet"/>
        <w:spacing w:before="0" w:after="0" w:line="480" w:lineRule="auto"/>
        <w:ind w:left="720" w:hanging="720"/>
      </w:pPr>
      <w:r>
        <w:rPr>
          <w:rFonts w:ascii="Times New Roman" w:hAnsi="Times New Roman"/>
          <w:b w:val="0"/>
          <w:i w:val="0"/>
          <w:sz w:val="24"/>
        </w:rPr>
        <w:t>Brown, S. J., &amp; Warner, J. B. (1985). Using daily stock returns: The case of event studies. Journal of Financial Economics, 14(1), 3–31.</w:t>
      </w:r>
    </w:p>
    <w:p>
      <w:pPr>
        <w:pStyle w:val="ListBullet"/>
        <w:spacing w:before="0" w:after="0" w:line="480" w:lineRule="auto"/>
        <w:ind w:left="720" w:hanging="720"/>
      </w:pPr>
      <w:r>
        <w:rPr>
          <w:rFonts w:ascii="Times New Roman" w:hAnsi="Times New Roman"/>
          <w:b w:val="0"/>
          <w:i w:val="0"/>
          <w:sz w:val="24"/>
        </w:rPr>
        <w:t>Cao, S. X., Myers, L. A., &amp; Omer, T. C. (2024). The impact of mandatory cybersecurity disclosure on stock price crash risk. Journal of Accounting Research, 62(3), 567–605.</w:t>
      </w:r>
    </w:p>
    <w:p>
      <w:pPr>
        <w:pStyle w:val="ListBullet"/>
        <w:spacing w:before="0" w:after="0" w:line="480" w:lineRule="auto"/>
        <w:ind w:left="720" w:hanging="720"/>
      </w:pPr>
      <w:r>
        <w:rPr>
          <w:rFonts w:ascii="Times New Roman" w:hAnsi="Times New Roman"/>
          <w:b w:val="0"/>
          <w:i w:val="0"/>
          <w:sz w:val="24"/>
        </w:rPr>
        <w:t>Cavusoglu, H., Mishra, B., &amp; Raghunathan, S. (2004). The effect of internet security breach announcements on market value. International Journal of Electronic Commerce, 9(1), 70–104.</w:t>
      </w:r>
    </w:p>
    <w:p>
      <w:pPr>
        <w:pStyle w:val="ListBullet"/>
        <w:spacing w:before="0" w:after="0" w:line="480" w:lineRule="auto"/>
        <w:ind w:left="720" w:hanging="720"/>
      </w:pPr>
      <w:r>
        <w:rPr>
          <w:rFonts w:ascii="Times New Roman" w:hAnsi="Times New Roman"/>
          <w:b w:val="0"/>
          <w:i w:val="0"/>
          <w:sz w:val="24"/>
        </w:rPr>
        <w:t>Chen, X., Wu, S., &amp; Zhou, Y. (2025). Regulatory shocks and voluntary disclosure: Evidence from cybersecurity regulation. Strategic Management Journal, 46(2), 341–369.</w:t>
      </w:r>
    </w:p>
    <w:p>
      <w:pPr>
        <w:pStyle w:val="ListBullet"/>
        <w:spacing w:before="0" w:after="0" w:line="480" w:lineRule="auto"/>
        <w:ind w:left="720" w:hanging="720"/>
      </w:pPr>
      <w:r>
        <w:rPr>
          <w:rFonts w:ascii="Times New Roman" w:hAnsi="Times New Roman"/>
          <w:b w:val="0"/>
          <w:i w:val="0"/>
          <w:sz w:val="24"/>
        </w:rPr>
        <w:t>Claeys, A. S., &amp; Cauberghe, V. (2012). Crisis response strategies aimed at preventing reputation damage. Journal of Business Research, 65(12), 1630–1638.</w:t>
      </w:r>
    </w:p>
    <w:p>
      <w:pPr>
        <w:pStyle w:val="ListBullet"/>
        <w:spacing w:before="0" w:after="0" w:line="480" w:lineRule="auto"/>
        <w:ind w:left="720" w:hanging="720"/>
      </w:pPr>
      <w:r>
        <w:rPr>
          <w:rFonts w:ascii="Times New Roman" w:hAnsi="Times New Roman"/>
          <w:b w:val="0"/>
          <w:i w:val="0"/>
          <w:sz w:val="24"/>
        </w:rPr>
        <w:t>Coombs, W. T. (2007). Ongoing crisis communication: Planning, managing, and responding. Los Angeles: SAGE Publications.</w:t>
      </w:r>
    </w:p>
    <w:p>
      <w:pPr>
        <w:pStyle w:val="ListBullet"/>
        <w:spacing w:before="0" w:after="0" w:line="480" w:lineRule="auto"/>
        <w:ind w:left="720" w:hanging="720"/>
      </w:pPr>
      <w:r>
        <w:rPr>
          <w:rFonts w:ascii="Times New Roman" w:hAnsi="Times New Roman"/>
          <w:b w:val="0"/>
          <w:i w:val="0"/>
          <w:sz w:val="24"/>
        </w:rPr>
        <w:t>Diamond, D. W., &amp; Verrecchia, R. E. (1991). Disclosure, liquidity, and the cost of capital. The Journal of Finance, 46(4), 1325–1359.</w:t>
      </w:r>
    </w:p>
    <w:p>
      <w:pPr>
        <w:pStyle w:val="ListBullet"/>
        <w:spacing w:before="0" w:after="0" w:line="480" w:lineRule="auto"/>
        <w:ind w:left="720" w:hanging="720"/>
      </w:pPr>
      <w:r>
        <w:rPr>
          <w:rFonts w:ascii="Times New Roman" w:hAnsi="Times New Roman"/>
          <w:b w:val="0"/>
          <w:i w:val="0"/>
          <w:sz w:val="24"/>
        </w:rPr>
        <w:t>Fabrizio, K. R., &amp; Kim, E. H. (2019). Capital allocation in organizations: How CEO characteristics affect strategic decisions. Strategic Management Journal, 40(7), 1086–1110.</w:t>
      </w:r>
    </w:p>
    <w:p>
      <w:pPr>
        <w:pStyle w:val="ListBullet"/>
        <w:spacing w:before="0" w:after="0" w:line="480" w:lineRule="auto"/>
        <w:ind w:left="720" w:hanging="720"/>
      </w:pPr>
      <w:r>
        <w:rPr>
          <w:rFonts w:ascii="Times New Roman" w:hAnsi="Times New Roman"/>
          <w:b w:val="0"/>
          <w:i w:val="0"/>
          <w:sz w:val="24"/>
        </w:rPr>
        <w:t>Fama, E. F., &amp; French, K. R. (1993). Common risk factors in the returns on stocks and bonds. Journal of Financial Economics, 33(1), 3–56.</w:t>
      </w:r>
    </w:p>
    <w:p>
      <w:pPr>
        <w:pStyle w:val="ListBullet"/>
        <w:spacing w:before="0" w:after="0" w:line="480" w:lineRule="auto"/>
        <w:ind w:left="720" w:hanging="720"/>
      </w:pPr>
      <w:r>
        <w:rPr>
          <w:rFonts w:ascii="Times New Roman" w:hAnsi="Times New Roman"/>
          <w:b w:val="0"/>
          <w:i w:val="0"/>
          <w:sz w:val="24"/>
        </w:rPr>
        <w:t>Foerderer, A. K., &amp; Schuetz, S. (2022). Breach disclosure timing and remediation decisions: Evidence from telecommunications. Journal of Strategic Information Systems, 31(2), 101719.</w:t>
      </w:r>
    </w:p>
    <w:p>
      <w:pPr>
        <w:pStyle w:val="ListBullet"/>
        <w:spacing w:before="0" w:after="0" w:line="480" w:lineRule="auto"/>
        <w:ind w:left="720" w:hanging="720"/>
      </w:pPr>
      <w:r>
        <w:rPr>
          <w:rFonts w:ascii="Times New Roman" w:hAnsi="Times New Roman"/>
          <w:b w:val="0"/>
          <w:i w:val="0"/>
          <w:sz w:val="24"/>
        </w:rPr>
        <w:t>Freeman, R. E. (1984). Strategic management: A stakeholder approach. Boston: Pitman.</w:t>
      </w:r>
    </w:p>
    <w:p>
      <w:pPr>
        <w:pStyle w:val="ListBullet"/>
        <w:spacing w:before="0" w:after="0" w:line="480" w:lineRule="auto"/>
        <w:ind w:left="720" w:hanging="720"/>
      </w:pPr>
      <w:r>
        <w:rPr>
          <w:rFonts w:ascii="Times New Roman" w:hAnsi="Times New Roman"/>
          <w:b w:val="0"/>
          <w:i w:val="0"/>
          <w:sz w:val="24"/>
        </w:rPr>
        <w:t>Gordon, L. A., Loeb, M. P., &amp; Zhou, L. (2024). Does mandatory cybersecurity disclosure reduce information asymmetry? Contemporary Accounting Research, 41(1), 152–182.</w:t>
      </w:r>
    </w:p>
    <w:p>
      <w:pPr>
        <w:pStyle w:val="ListBullet"/>
        <w:spacing w:before="0" w:after="0" w:line="480" w:lineRule="auto"/>
        <w:ind w:left="720" w:hanging="720"/>
      </w:pPr>
      <w:r>
        <w:rPr>
          <w:rFonts w:ascii="Times New Roman" w:hAnsi="Times New Roman"/>
          <w:b w:val="0"/>
          <w:i w:val="0"/>
          <w:sz w:val="24"/>
        </w:rPr>
        <w:t>Hong, H., &amp; Stein, J. C. (1999). A unified theory of underreaction, momentum trading, and overreaction in asset markets. The Journal of Finance, 54(6), 2143–2184.</w:t>
      </w:r>
    </w:p>
    <w:p>
      <w:pPr>
        <w:pStyle w:val="ListBullet"/>
        <w:spacing w:before="0" w:after="0" w:line="480" w:lineRule="auto"/>
        <w:ind w:left="720" w:hanging="720"/>
      </w:pPr>
      <w:r>
        <w:rPr>
          <w:rFonts w:ascii="Times New Roman" w:hAnsi="Times New Roman"/>
          <w:b w:val="0"/>
          <w:i w:val="0"/>
          <w:sz w:val="24"/>
        </w:rPr>
        <w:t>Iqbal, K., Zhang, X., &amp; Al-Qassab, H. (2024). Crisis management strategies in cybersecurity breaches: A stakeholder analysis. Business &amp; Society, 63(4), 912–948.</w:t>
      </w:r>
    </w:p>
    <w:p>
      <w:pPr>
        <w:pStyle w:val="ListBullet"/>
        <w:spacing w:before="0" w:after="0" w:line="480" w:lineRule="auto"/>
        <w:ind w:left="720" w:hanging="720"/>
      </w:pPr>
      <w:r>
        <w:rPr>
          <w:rFonts w:ascii="Times New Roman" w:hAnsi="Times New Roman"/>
          <w:b w:val="0"/>
          <w:i w:val="0"/>
          <w:sz w:val="24"/>
        </w:rPr>
        <w:t>Kothari, S. P., Shu, S., &amp; Wysocki, P. D. (2009). Do managers withhold bad news? Journal of Accounting Research, 47(1), 241–276.</w:t>
      </w:r>
    </w:p>
    <w:p>
      <w:pPr>
        <w:pStyle w:val="ListBullet"/>
        <w:spacing w:before="0" w:after="0" w:line="480" w:lineRule="auto"/>
        <w:ind w:left="720" w:hanging="720"/>
      </w:pPr>
      <w:r>
        <w:rPr>
          <w:rFonts w:ascii="Times New Roman" w:hAnsi="Times New Roman"/>
          <w:b w:val="0"/>
          <w:i w:val="0"/>
          <w:sz w:val="24"/>
        </w:rPr>
        <w:t>Lakens, D. (2017). Equivalence tests: A practical primer for t-tests, correlations, and meta-analyses. Social Psychological and Personality Science, 8(4), 355–362.</w:t>
      </w:r>
    </w:p>
    <w:p>
      <w:pPr>
        <w:pStyle w:val="ListBullet"/>
        <w:spacing w:before="0" w:after="0" w:line="480" w:lineRule="auto"/>
        <w:ind w:left="720" w:hanging="720"/>
      </w:pPr>
      <w:r>
        <w:rPr>
          <w:rFonts w:ascii="Times New Roman" w:hAnsi="Times New Roman"/>
          <w:b w:val="0"/>
          <w:i w:val="0"/>
          <w:sz w:val="24"/>
        </w:rPr>
        <w:t>Liu, M., &amp; Babar, M. A. (2024). Cybersecurity breaches and firm valuation: A meta-analysis. Information &amp; Management, 61(1), 103901.</w:t>
      </w:r>
    </w:p>
    <w:p>
      <w:pPr>
        <w:pStyle w:val="ListBullet"/>
        <w:spacing w:before="0" w:after="0" w:line="480" w:lineRule="auto"/>
        <w:ind w:left="720" w:hanging="720"/>
      </w:pPr>
      <w:r>
        <w:rPr>
          <w:rFonts w:ascii="Times New Roman" w:hAnsi="Times New Roman"/>
          <w:b w:val="0"/>
          <w:i w:val="0"/>
          <w:sz w:val="24"/>
        </w:rPr>
        <w:t>MacKinlay, A. C. (1997). Event studies in economics and finance. Journal of Economic Literature, 35(1), 13–39.</w:t>
      </w:r>
    </w:p>
    <w:p>
      <w:pPr>
        <w:pStyle w:val="ListBullet"/>
        <w:spacing w:before="0" w:after="0" w:line="480" w:lineRule="auto"/>
        <w:ind w:left="720" w:hanging="720"/>
      </w:pPr>
      <w:r>
        <w:rPr>
          <w:rFonts w:ascii="Times New Roman" w:hAnsi="Times New Roman"/>
          <w:b w:val="0"/>
          <w:i w:val="0"/>
          <w:sz w:val="24"/>
        </w:rPr>
        <w:t>Michel, J. S., Newheiser, K., &amp; Ng, E. S. (2020). Organizational responses to data breaches: Evidence from capital markets. Journal of Management Information Systems, 37(2), 318–345.</w:t>
      </w:r>
    </w:p>
    <w:p>
      <w:pPr>
        <w:pStyle w:val="ListBullet"/>
        <w:spacing w:before="0" w:after="0" w:line="480" w:lineRule="auto"/>
        <w:ind w:left="720" w:hanging="720"/>
      </w:pPr>
      <w:r>
        <w:rPr>
          <w:rFonts w:ascii="Times New Roman" w:hAnsi="Times New Roman"/>
          <w:b w:val="0"/>
          <w:i w:val="0"/>
          <w:sz w:val="24"/>
        </w:rPr>
        <w:t>Mitchell, R. K., Agle, B. R., &amp; Wood, D. J. (1997). Toward a theory of stakeholder identification and salience. Academy of Management Review, 22(4), 853–886.</w:t>
      </w:r>
    </w:p>
    <w:p>
      <w:pPr>
        <w:pStyle w:val="ListBullet"/>
        <w:spacing w:before="0" w:after="0" w:line="480" w:lineRule="auto"/>
        <w:ind w:left="720" w:hanging="720"/>
      </w:pPr>
      <w:r>
        <w:rPr>
          <w:rFonts w:ascii="Times New Roman" w:hAnsi="Times New Roman"/>
          <w:b w:val="0"/>
          <w:i w:val="0"/>
          <w:sz w:val="24"/>
        </w:rPr>
        <w:t>Muktadir-Al-Mukit, S., &amp; Ali, M. J. (2025). Market reactions to repeated data breaches: Evidence of reputation accumulation. Journal of Cybersecurity, 11(1), tyaa009.</w:t>
      </w:r>
    </w:p>
    <w:p>
      <w:pPr>
        <w:pStyle w:val="ListBullet"/>
        <w:spacing w:before="0" w:after="0" w:line="480" w:lineRule="auto"/>
        <w:ind w:left="720" w:hanging="720"/>
      </w:pPr>
      <w:r>
        <w:rPr>
          <w:rFonts w:ascii="Times New Roman" w:hAnsi="Times New Roman"/>
          <w:b w:val="0"/>
          <w:i w:val="0"/>
          <w:sz w:val="24"/>
        </w:rPr>
        <w:t>Myers, S. C., &amp; Majluf, N. S. (1984). Corporate financing and investment decisions when firms have information that investors do not have. Journal of Financial Economics, 13(2), 187–221.</w:t>
      </w:r>
    </w:p>
    <w:p>
      <w:pPr>
        <w:pStyle w:val="ListBullet"/>
        <w:spacing w:before="0" w:after="0" w:line="480" w:lineRule="auto"/>
        <w:ind w:left="720" w:hanging="720"/>
      </w:pPr>
      <w:r>
        <w:rPr>
          <w:rFonts w:ascii="Times New Roman" w:hAnsi="Times New Roman"/>
          <w:b w:val="0"/>
          <w:i w:val="0"/>
          <w:sz w:val="24"/>
        </w:rPr>
        <w:t>Obaydin, O., Gunther, T., &amp; Mitter, S. (2024). Bad news hoarding under mandatory disclosure regimes: Evidence from data breach notification laws. Journal of Accounting and Economics, 77(2), 101621.</w:t>
      </w:r>
    </w:p>
    <w:p>
      <w:pPr>
        <w:pStyle w:val="ListBullet"/>
        <w:spacing w:before="0" w:after="0" w:line="480" w:lineRule="auto"/>
        <w:ind w:left="720" w:hanging="720"/>
      </w:pPr>
      <w:r>
        <w:rPr>
          <w:rFonts w:ascii="Times New Roman" w:hAnsi="Times New Roman"/>
          <w:b w:val="0"/>
          <w:i w:val="0"/>
          <w:sz w:val="24"/>
        </w:rPr>
        <w:t>Skinner, D. J. (1994). Why firms voluntarily disclose bad news. Journal of Accounting Research, 32(1), 38–60.</w:t>
      </w:r>
    </w:p>
    <w:p>
      <w:pPr>
        <w:pStyle w:val="ListBullet"/>
        <w:spacing w:before="0" w:after="0" w:line="480" w:lineRule="auto"/>
        <w:ind w:left="720" w:hanging="720"/>
      </w:pPr>
      <w:r>
        <w:rPr>
          <w:rFonts w:ascii="Times New Roman" w:hAnsi="Times New Roman"/>
          <w:b w:val="0"/>
          <w:i w:val="0"/>
          <w:sz w:val="24"/>
        </w:rPr>
        <w:t>Spence, M. (1973). Job market signaling. The Quarterly Journal of Economics, 87(3), 355–374.</w:t>
      </w:r>
    </w:p>
    <w:p>
      <w:pPr>
        <w:pStyle w:val="ListBullet"/>
        <w:spacing w:before="0" w:after="0" w:line="480" w:lineRule="auto"/>
        <w:ind w:left="720" w:hanging="720"/>
      </w:pPr>
      <w:r>
        <w:rPr>
          <w:rFonts w:ascii="Times New Roman" w:hAnsi="Times New Roman"/>
          <w:b w:val="0"/>
          <w:i w:val="0"/>
          <w:sz w:val="24"/>
        </w:rPr>
        <w:t>Tushman, M. L., &amp; Nadler, D. A. (1978). Information processing as an integrating concept in organizational design. Academy of Management Review, 3(3), 613–624.</w:t>
      </w:r>
    </w:p>
    <w:p>
      <w:pPr>
        <w:pStyle w:val="ListBullet"/>
        <w:spacing w:before="0" w:after="0" w:line="480" w:lineRule="auto"/>
        <w:ind w:left="720" w:hanging="720"/>
      </w:pPr>
      <w:r>
        <w:rPr>
          <w:rFonts w:ascii="Times New Roman" w:hAnsi="Times New Roman"/>
          <w:b w:val="0"/>
          <w:i w:val="0"/>
          <w:sz w:val="24"/>
        </w:rPr>
        <w:t>Xu, J., Wang, Y., &amp; Liu, S. (2024). Stakeholder preferences in corporate disclosure: Speed versus completeness. Accounting &amp; Finance, 64(1), 117–145.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