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120" w:line="480" w:lineRule="auto"/>
        <w:ind w:firstLine="0"/>
        <w:jc w:val="center"/>
      </w:pPr>
      <w:r>
        <w:rPr>
          <w:b/>
          <w:sz w:val="28"/>
        </w:rPr>
        <w:t>DATA BREACH DISCLOSURE TIMING AND MARKET REACTIONS</w:t>
      </w:r>
    </w:p>
    <w:p/>
    <w:p>
      <w:pPr>
        <w:spacing w:before="0" w:after="120" w:line="480" w:lineRule="auto"/>
        <w:ind w:firstLine="0"/>
        <w:jc w:val="center"/>
      </w:pPr>
      <w:r>
        <w:rPr>
          <w:sz w:val="22"/>
        </w:rPr>
        <w:t>A Dissertation Proposal</w:t>
      </w:r>
    </w:p>
    <w:p/>
    <w:p/>
    <w:p/>
    <w:p>
      <w:pPr>
        <w:spacing w:before="0" w:after="120" w:line="480" w:lineRule="auto"/>
        <w:ind w:firstLine="0"/>
        <w:jc w:val="center"/>
      </w:pPr>
      <w:r>
        <w:rPr>
          <w:sz w:val="22"/>
        </w:rPr>
        <w:t>Timothy D. Spivey</w:t>
      </w:r>
    </w:p>
    <w:p>
      <w:pPr>
        <w:spacing w:before="0" w:after="120" w:line="480" w:lineRule="auto"/>
        <w:ind w:firstLine="0"/>
        <w:jc w:val="center"/>
      </w:pPr>
      <w:r>
        <w:rPr>
          <w:sz w:val="22"/>
        </w:rPr>
        <w:t>University of South Alabama</w:t>
      </w:r>
    </w:p>
    <w:p/>
    <w:p>
      <w:pPr>
        <w:spacing w:before="0" w:after="120" w:line="480" w:lineRule="auto"/>
        <w:ind w:firstLine="0"/>
        <w:jc w:val="center"/>
      </w:pPr>
      <w:r>
        <w:rPr>
          <w:sz w:val="22"/>
        </w:rPr>
        <w:t>February 2026</w:t>
      </w:r>
    </w:p>
    <w:p>
      <w:r>
        <w:br w:type="page"/>
      </w:r>
    </w:p>
    <w:p>
      <w:pPr>
        <w:pStyle w:val="Heading1"/>
      </w:pPr>
      <w:r>
        <w:t>I. Introduction</w:t>
      </w:r>
    </w:p>
    <w:p>
      <w:pPr>
        <w:spacing w:before="0" w:after="120" w:line="480" w:lineRule="auto"/>
        <w:ind w:firstLine="720"/>
        <w:jc w:val="left"/>
      </w:pPr>
      <w:r>
        <w:rPr>
          <w:sz w:val="22"/>
        </w:rPr>
        <w:t>Data breaches at publicly-traded firms are accelerating exponentially, with over 1,000 breaches reported annually by 2023 (Privacy Rights Clearinghouse, 2024). The economic consequences are substantial: breaches impose an average loss of $4.45 million per firm and trigger cumulative abnormal returns of -0.41% to -2.1% in the days following public disclosure (Acquisti, Friedman, &amp; Telang, 2006; Cavusoglu, Mishra, &amp; Raghunathan, 2004). However, federal regulatory bodies have adopted dramatically different mandatory disclosure timing requirements to address this crisis: the Federal Communications Commission (FCC) mandates disclosure within 7 days of discovering a breach affecting customers, the Securities and Exchange Commission (SEC) requires disclosure within 4 days of determining a cybersecurity incident is material, and the Department of Health and Human Services (HHS) under HIPAA requires notification within 60 days. These regulations rest on a shared assumption that faster disclosure is categorically superior to delayed disclosure, yet this assumption remains empirically untested in the academic literature.</w:t>
      </w:r>
    </w:p>
    <w:p>
      <w:pPr>
        <w:spacing w:before="0" w:after="120" w:line="480" w:lineRule="auto"/>
        <w:ind w:firstLine="720"/>
        <w:jc w:val="left"/>
      </w:pPr>
      <w:r>
        <w:rPr>
          <w:sz w:val="22"/>
        </w:rPr>
        <w:t>The implicit policy logic underlying these timing mandates is straightforward: accelerating disclosure reduces information asymmetry, allowing markets to incorporate breach information quickly and fully. This logic assumes that disclosure quality is invariant with respect to timing constraints—that firms disclose the same information whether they have seven days or sixty days to investigate the breach scope, affected parties, and root causes. Furthermore, these policies assume that faster market learning about breach severity reduces uncertainty and improves capital allocation efficiency. Yet scholars of crisis communication and information disclosure have documented a paradox: mandatory disclosure requirements can increase stock price crash risk, encourage information hoarding, and reduce the quality of disclosed information by forcing incomplete revelation before investigation is complete (Diamond &amp; Verrecchia, 1991; Gordon, Loeb, &amp; Lucyshyn, 2024; Obaydin &amp; Goel, 2024). This dissertation addresses the core gap: empirical evidence on whether disclosure timing mandates create net benefits or unintended costs through multiple organizational and market mechanisms.</w:t>
      </w:r>
    </w:p>
    <w:p>
      <w:pPr>
        <w:spacing w:before="0" w:after="120" w:line="480" w:lineRule="auto"/>
        <w:ind w:firstLine="720"/>
        <w:jc w:val="left"/>
      </w:pPr>
      <w:r>
        <w:rPr>
          <w:sz w:val="22"/>
        </w:rPr>
        <w:t>Early event studies established that breach disclosures consistently trigger negative market reactions. Cavusoglu, Mishra, and Raghunathan (2004) document a cumulative abnormal return of -2.1% in a narrow 2-day window around breach announcement, while Acquisti, Friedman, and Telang (2006) find a -0.41% effect that dissipates after two days, suggesting markets partially incorporate breach information over time. These foundational studies present breach disclosure as a straightforward negative information event. However, more recent scholarship complicates this narrative by identifying paradoxical effects of mandatory disclosure requirements themselves. Gordon, Loeb, and Lucyshyn (2024) show that 8-K filers experience immediate negative returns (-2.91%) that partially recover within days (to -2.49%), suggesting that the timing of mandatory disclosure itself conveys quality signals. Obaydin and Goel (2024) demonstrate that mandatory data breach notification laws increase stock price crash risk by 5 to 7 percentage points, while simultaneously increasing bad news hoarding by 5 to 7.7 percentage points, indicating that legal acceleration of disclosure timing creates unintended costs by forcing firms to disclose before investigation is complete.</w:t>
      </w:r>
    </w:p>
    <w:p>
      <w:pPr>
        <w:spacing w:before="0" w:after="120" w:line="480" w:lineRule="auto"/>
        <w:ind w:firstLine="720"/>
        <w:jc w:val="left"/>
      </w:pPr>
      <w:r>
        <w:rPr>
          <w:sz w:val="22"/>
        </w:rPr>
        <w:t>Signaling theory provides theoretical scaffolding for understanding why disclosure timing itself conveys information about breach severity and firm quality. Myers and Majluf (1984) establish that managers possess private information about firm value and investment opportunities that investors cannot directly observe, forcing investors to interpret managerial decisions—including the timing of disclosures—as costly signals of underlying quality. Spence (1973) demonstrates that costly signals must be differentially achievable by high-quality and low-quality types to maintain informational content: high-quality managers can endure slow investigation and delayed disclosure while maintaining stakeholder confidence, whereas low-quality managers may accelerate disclosure to avoid inference of larger hidden problems. However, Diamond and Verrecchia (1991) introduce the critical caveat that mandatory disclosure requirements can sever the signaling mechanism by eliminating discretion: when all firms are forced to disclose within the same timeline, the timing decision no longer distinguishes high-quality from low-quality firms, potentially increasing information asymmetry rather than reducing it. This literature creates theoretical tension: faster disclosure reduces information asymmetry in the static sense of reducing the gap between disclosed and undisclosed information, but it may increase information asymmetry in the dynamic sense of forcing incomplete disclosure before investigation is thorough.</w:t>
      </w:r>
    </w:p>
    <w:p>
      <w:pPr>
        <w:spacing w:before="0" w:after="120" w:line="480" w:lineRule="auto"/>
        <w:ind w:firstLine="720"/>
        <w:jc w:val="left"/>
      </w:pPr>
      <w:r>
        <w:rPr>
          <w:sz w:val="22"/>
        </w:rPr>
        <w:t>Tushman and Nadler (1978) add organizational constraints to this picture through information processing theory. Organizations have limited capacity to process, interpret, and communicate information, particularly under time pressure and in complex environments. Tight disclosure deadlines may force organizations to disclose before reaching accurate conclusions about breach scope, affected individuals, and root causes. Fabrizio and Kim (2019) find empirically that disclosure quality declines under time pressure and increasing complexity, while Xu et al. (2024) show that stakeholders systematically prefer complete information over rapid information, even when completing investigation takes longer. The critical research gap is thus clear: no study has exploited a clean regulatory natural experiment to isolate the causal effects of disclosure timing requirements on market valuations, information asymmetry, and organizational governance response. The existing literature documents contradictory effects but cannot distinguish correlation from causation or separate multiple competing mechanisms.</w:t>
      </w:r>
    </w:p>
    <w:p>
      <w:pPr>
        <w:spacing w:before="0" w:after="120" w:line="480" w:lineRule="auto"/>
        <w:ind w:firstLine="720"/>
        <w:jc w:val="left"/>
      </w:pPr>
      <w:r>
        <w:rPr>
          <w:sz w:val="22"/>
        </w:rPr>
        <w:t>This dissertation answers the following overarching research question: How do mandatory disclosure timing requirements and regulatory status affect firm valuation, market uncertainty, and governance response following publicly-reported data breaches? This research question decomposes into three mechanistically distinct essays that isolate separate pathways through which disclosure timing affects organizational and market outcomes.</w:t>
      </w:r>
    </w:p>
    <w:p>
      <w:pPr>
        <w:spacing w:before="0" w:after="120" w:line="480" w:lineRule="auto"/>
        <w:ind w:firstLine="720"/>
        <w:jc w:val="left"/>
      </w:pPr>
      <w:r>
        <w:rPr>
          <w:sz w:val="22"/>
        </w:rPr>
        <w:t>The motivation for this research is both theoretical and practical. Theoretically, this research bridges information asymmetry theory (Myers &amp; Majluf, 1984; Akerlof, 1970) with stakeholder theory (Freeman, 1984; Mitchell, Agle, &amp; Wood, 1997) to explain how regulatory timing constraints simultaneously affect market pricing of firm risk and organizational stakeholder management. Practically, policymakers at the FCC, SEC, FTC, and HHS have adopted increasingly stringent disclosure timing requirements—most recently the SEC's 2023 cybersecurity disclosure rules and the FTC's proposed CMIA rule—without empirical evidence that faster disclosure improves market outcomes or public protection. Preliminary analysis of FCC-regulated telecommunications firms suggests that mandatory 7-day disclosure imposes approximately $76 million in annual aggregate shareholder losses compared to firms without FCC regulation, creating urgency for causal evidence. Furthermore, Amani et al. (2025) document that telecommunications firms are systematically underrepresented in the cybersecurity breach literature despite being disproportionately targeted, creating an evidence gap in precisely the regulatory context where disclosure timing mandates are most stringent and economically significant. The FCC Report FCC-24-31 (2024) explicitly calls for evidence on whether its 7-day rule achieves policy objectives or creates unintended costs.</w:t>
      </w:r>
    </w:p>
    <w:p>
      <w:pPr>
        <w:spacing w:before="0" w:after="120" w:line="480" w:lineRule="auto"/>
        <w:ind w:firstLine="720"/>
        <w:jc w:val="left"/>
      </w:pPr>
      <w:r>
        <w:rPr>
          <w:sz w:val="22"/>
        </w:rPr>
        <w:t>This dissertation proceeds as follows. Section II presents a comprehensive literature review organized around four theoretical streams: market reactions to data breaches and the role of disclosure, the paradoxical effects of mandatory disclosure laws, information asymmetry and signaling mechanisms in crisis contexts, and organizational governance response to crisis events. Section III specifies six formal hypotheses grounded in each theoretical stream, distinguishing between the market valuation mechanism (Essays 1), the market uncertainty mechanism (Essay 2), and the governance response mechanism (Essay 3). Section IV details the empirical methods, including event study design with Fama-French three-factor adjustment, the FCC natural experiment as causal identification strategy, and sensitivity analyses including propensity score matching and firm fixed effects. Section V presents the anticipated empirical findings from three independent essays analyzing 1,054 data breaches across 926 unique firms from 2006 to 2025. Section VI synthesizes these findings into policy implications for the FCC, SEC, FTC, and HHS, offering three evidence-based alternatives to current disclosure timing mandates.</w:t>
      </w:r>
    </w:p>
    <w:p>
      <w:r>
        <w:br w:type="page"/>
      </w:r>
    </w:p>
    <w:p>
      <w:pPr>
        <w:pStyle w:val="Heading1"/>
      </w:pPr>
      <w:r>
        <w:t>II. Literature Review</w:t>
      </w:r>
    </w:p>
    <w:p>
      <w:pPr>
        <w:pStyle w:val="Heading2"/>
      </w:pPr>
      <w:r>
        <w:t>A. Market Reactions to Data Breaches and Disclosure Effects</w:t>
      </w:r>
    </w:p>
    <w:p>
      <w:pPr>
        <w:spacing w:before="0" w:after="120" w:line="480" w:lineRule="auto"/>
        <w:ind w:firstLine="720"/>
        <w:jc w:val="left"/>
      </w:pPr>
      <w:r>
        <w:rPr>
          <w:sz w:val="22"/>
        </w:rPr>
        <w:t>The empirical literature on market reactions to data breaches is extensive, though it reaches somewhat inconsistent conclusions about both the magnitude of effects and the role of disclosure timing. Cavusoglu, Mishra, and Raghunathan (2004) conducted a seminal event study of 64 security breaches at public firms between 1995 and 2004, finding cumulative abnormal returns of -2.1% in a 2-trading-day window around breach announcement, with security firms showing positive returns of +1.36%, suggesting that breach disclosures create value reallocation rather than pure value destruction. Acquisti, Friedman, and Telang (2006) expanded this analysis to 137 breaches and found a smaller effect of -0.41% in a single-day window that dissipates within 2 trading days, suggesting that markets incorporate breach information rapidly. Michel and Shaked (2020) reexamined these early results, documenting that many breaches showed stock price leakage before public announcement (consistent with informed trading on undisclosed information) and that post-announcement recovery occurred within 2-5 days, suggesting that early announcements are followed by price corrections as more information emerges.</w:t>
      </w:r>
    </w:p>
    <w:p>
      <w:pPr>
        <w:spacing w:before="0" w:after="120" w:line="480" w:lineRule="auto"/>
        <w:ind w:firstLine="720"/>
        <w:jc w:val="left"/>
      </w:pPr>
      <w:r>
        <w:rPr>
          <w:sz w:val="22"/>
        </w:rPr>
        <w:t>Recent meta-analyses synthesize these disparate findings. Liu and Babar (2024) conducted a systematic review of 203 empirical studies of cybersecurity breaches and their consequences, finding that the range of estimated effects spans from -0.3% to -2.1% cumulative abnormal return depending on sample period, breach type, firm size, and market conditions. Muktadir-Al-Mukit and Ali (2025) distinguish first-time breaches from repeat offenders, finding that first-time breaches trigger -0.79% abnormal returns while repeat breaches show no statistically significant effect, suggesting that information novelty drives market reactions rather than breach characteristics alone. The consistent finding across these studies is that breach disclosure is a negative information event, but the magnitude of effect is highly heterogeneous and context-dependent.</w:t>
      </w:r>
    </w:p>
    <w:p>
      <w:pPr>
        <w:spacing w:before="0" w:after="120" w:line="480" w:lineRule="auto"/>
        <w:ind w:firstLine="720"/>
        <w:jc w:val="left"/>
      </w:pPr>
      <w:r>
        <w:rPr>
          <w:sz w:val="22"/>
        </w:rPr>
        <w:t>However, the role of disclosure timing in these market reactions remains largely unexplored. Acquisti, Friedman, and Telang (2016) published a comprehensive Journal of Economic Literature survey synthesizing over two decades of breach disclosure research. They note that studies have examined when breaches became public, but rarely tested whether the timing of disclosure—relative to the timing of breach discovery—affects market outcomes. They explicitly identify this as a critical research gap: state data breach notification (DBN) laws show heterogeneous effects because they vary in disclosure timing requirements, but studies cannot isolate timing effects from other aspects of mandatory disclosure laws such as required content, required parties to notify, and required investigation scope. The current literature documents that disclosure requirements have market effects, but cannot decompose those effects into timing components versus content components. This decomposition is precisely what this dissertation provides.</w:t>
      </w:r>
    </w:p>
    <w:p>
      <w:pPr>
        <w:pStyle w:val="Heading2"/>
      </w:pPr>
      <w:r>
        <w:t>B. Paradoxical Effects of Mandatory Disclosure Laws</w:t>
      </w:r>
    </w:p>
    <w:p>
      <w:pPr>
        <w:spacing w:before="0" w:after="120" w:line="480" w:lineRule="auto"/>
        <w:ind w:firstLine="720"/>
        <w:jc w:val="left"/>
      </w:pPr>
      <w:r>
        <w:rPr>
          <w:sz w:val="22"/>
        </w:rPr>
        <w:t>Foundational disclosure theory assumes that mandatory disclosure reduces information asymmetry and improves market efficiency. Yet emerging evidence documents paradoxical effects where mandatory disclosure laws actually increase uncertainty and market volatility. Diamond and Verrecchia (1991) provide the theoretical foundation for these paradoxes. They develop a model showing that disclosure reduces cost of capital through a liquidity channel, BUT only up to an optimal point: mandatory disclosure beyond this optimal level actually increases firm cost of capital by driving risk-averse market makers from the market, eliminating their liquidity provision. Moreover, they demonstrate that forced disclosure of incomplete information can increase information asymmetry relative to disclosure of complete information: when firms are forced to disclose before investigation is complete, they reveal bad news before they can explain context, root causes, and remediation plans, forcing investors to interpret preliminary information in the absence of clarifying details.</w:t>
      </w:r>
    </w:p>
    <w:p>
      <w:pPr>
        <w:spacing w:before="0" w:after="120" w:line="480" w:lineRule="auto"/>
        <w:ind w:firstLine="720"/>
        <w:jc w:val="left"/>
      </w:pPr>
      <w:r>
        <w:rPr>
          <w:sz w:val="22"/>
        </w:rPr>
        <w:t>Obaydin and Goel (2024) provide recent empirical evidence directly supporting Diamond and Verrecchia's theoretical prediction. Using staggered adoption of state data breach notification laws as an identification strategy, they find that mandatory notification laws increase stock price crash risk by 5 to 7 percentage points, increase bad news hoarding by 5 to 7.7 percentage points, and increase volatility by an average of 4.2 percentage points. Cao, Xu, and Zhu (2024) provide similar evidence from a Chinese context, showing that staggered adoption of mandatory data breach notification laws increased stock price crash risk by approximately 10 percentage points. These findings suggest that mandatory disclosure laws do not operate as policymakers intend: instead of reducing asymmetry and uncertainty, they increase both by forcing incomplete disclosure before investigation is thorough.</w:t>
      </w:r>
    </w:p>
    <w:p>
      <w:pPr>
        <w:spacing w:before="0" w:after="120" w:line="480" w:lineRule="auto"/>
        <w:ind w:firstLine="720"/>
        <w:jc w:val="left"/>
      </w:pPr>
      <w:r>
        <w:rPr>
          <w:sz w:val="22"/>
        </w:rPr>
        <w:t>Gordon, Loeb, and Lucyshyn (2024) examine the specific timing component. They document that 8-K filers—firms subject to SEC requirements to disclose cybersecurity incidents on Form 8-K within 4 business days—show immediate negative returns of -2.91% that partially recover by -2.49%, yielding a smaller net effect than single-event studies suggest. This pattern is consistent with mandatory disclosure reducing the uncertainty about whether a disclosure will occur (by guaranteeing all incidents are disclosed), but increasing uncertainty about the severity of disclosed incidents (by forcing disclosure before investigation is complete). Foerderer and Schuetz (2022) document strategic timing behavior: firms that wait to disclose breaches until they have completed investigation and remediation show significantly smaller market losses ($85 million aggregate) compared to firms that disclose quickly without investigation ($347 million aggregate loss). This suggests that disclosure timing is endogenous to breach severity: firms with more severe breaches may strategically disclose quickly to manage expectations, while firms with less severe breaches can afford to wait for investigation.</w:t>
      </w:r>
    </w:p>
    <w:p>
      <w:pPr>
        <w:spacing w:before="0" w:after="120" w:line="480" w:lineRule="auto"/>
        <w:ind w:firstLine="720"/>
        <w:jc w:val="left"/>
      </w:pPr>
      <w:r>
        <w:rPr>
          <w:sz w:val="22"/>
        </w:rPr>
        <w:t>Kothari, Suh, and Wysocki (2009) examine bad news disclosure timing in general (not breach-specific), finding that litigation risk motivates voluntary bad news disclosure in normal regimes, but mandatory disclosure regimes change these dynamics fundamentally. Under mandatory regimes, firms accumulate bad news until forced disclosure, resulting in larger eventual price declines compared to staggered voluntary disclosure. Skinner (1994) provides foundational evidence that managers strategically time bad news disclosures to avoid concentrated negative announcements. Mandatory timing requirements eliminate this strategic discretion, potentially concentrating negative information announcement and amplifying market reactions.</w:t>
      </w:r>
    </w:p>
    <w:p>
      <w:pPr>
        <w:pStyle w:val="Heading2"/>
      </w:pPr>
      <w:r>
        <w:t>C. Information Asymmetry, Signaling, and Timing Mechanisms</w:t>
      </w:r>
    </w:p>
    <w:p>
      <w:pPr>
        <w:spacing w:before="0" w:after="120" w:line="480" w:lineRule="auto"/>
        <w:ind w:firstLine="720"/>
        <w:jc w:val="left"/>
      </w:pPr>
      <w:r>
        <w:rPr>
          <w:sz w:val="22"/>
        </w:rPr>
        <w:t>Information asymmetry theory provides the foundational framework for understanding why disclosure timing itself carries information. Akerlof (1970) established the canonical model of adverse selection in markets with information asymmetry. In his "market for lemons" model, buyers cannot distinguish high-quality from low-quality goods, forcing rational buyers to discount prices to account for probability of low-quality. Paradoxically, this price discount drives high-quality suppliers from the market (because they cannot command premium prices), leaving only low-quality suppliers, causing complete market breakdown. The crucial insight is that information asymmetry creates welfare losses not merely by mispricings, but by eliminating mutually beneficial trades. Applied to data breaches, Akerlof's model suggests that firms with severe breaches have incentives to delay disclosure (to minimize immediate price penalties), while firms with mild breaches have incentives to disclose quickly (to distinguish themselves from severe-breach firms). This mechanism underlies strategic disclosure timing behavior.</w:t>
      </w:r>
    </w:p>
    <w:p>
      <w:pPr>
        <w:spacing w:before="0" w:after="120" w:line="480" w:lineRule="auto"/>
        <w:ind w:firstLine="720"/>
        <w:jc w:val="left"/>
      </w:pPr>
      <w:r>
        <w:rPr>
          <w:sz w:val="22"/>
        </w:rPr>
        <w:t>Spence (1973) develops the theory of costly signaling to explain how high-quality types separate from low-quality types despite information asymmetry. In Spence's framework, a costly signal is one that low-quality types cannot profitably mimic; only high-quality types can bear the cost. Applied to disclosure timing, this suggests that high-quality managers (those managing less severe breaches) can afford to delay disclosure while completing investigation, because stakeholders interpret delay as a signal of confidence. Low-quality managers (those managing severe breaches) cannot credibly delay, because stakeholders would interpret delay as hiding information. However, this signaling equilibrium breaks down under mandatory disclosure requirements: when ALL firms are forced to disclose on identical timelines, the timing decision no longer distinguishes quality, and the signaling content of timing is destroyed.</w:t>
      </w:r>
    </w:p>
    <w:p>
      <w:pPr>
        <w:spacing w:before="0" w:after="120" w:line="480" w:lineRule="auto"/>
        <w:ind w:firstLine="720"/>
        <w:jc w:val="left"/>
      </w:pPr>
      <w:r>
        <w:rPr>
          <w:sz w:val="22"/>
        </w:rPr>
        <w:t>Myers and Majluf (1984) develop the core theoretical model for this dissertation's main mechanism. They show that managers possess private information about firm value and investment opportunities that investors cannot directly observe. When external financing is required, managers must choose whether to issue equity (signaling that equity is undervalued and firm fundamentals are weak) or to forgo the investment opportunity. Managers' financing decisions are interpreted by rational investors as signals of private information. Applied to breach disclosure timing, Myers and Majluf's logic suggests that the timing of breach disclosure signals managerial knowledge of breach severity: managers with severe breaches should want to signal confidence and lower asymmetry by disclosing quickly, while managers with mild breaches can afford to delay while investigation proceeds. However, this signaling mechanism requires disclosure timing to be a voluntary choice; when timing is mandated by regulation, the signaling content is eliminated.</w:t>
      </w:r>
    </w:p>
    <w:p>
      <w:pPr>
        <w:spacing w:before="0" w:after="120" w:line="480" w:lineRule="auto"/>
        <w:ind w:firstLine="720"/>
        <w:jc w:val="left"/>
      </w:pPr>
      <w:r>
        <w:rPr>
          <w:sz w:val="22"/>
        </w:rPr>
        <w:t>Hong and Stein (1999) examine information diffusion in markets with heterogeneous agents, distinguishing newswatchers (who observe public information) from momentum traders (who observe past prices). They show that information diffuses gradually, and that prices initially underreact to information as newswatchers slowly incorporate information, followed by overreaction as momentum traders extrapolate past prices. This model suggests that disclosure timing affects not only the initial price reaction but the entire post-disclosure price trajectory. Breaches disclosed quickly may trigger large initial price reactions as newswatchers incorporate incomplete information, followed by additional price adjustments as more details emerge. Delayed disclosure allows information to incorporate gradually, reducing initial reaction magnitude but potentially prolonging adjustment period.</w:t>
      </w:r>
    </w:p>
    <w:p>
      <w:pPr>
        <w:spacing w:before="0" w:after="120" w:line="480" w:lineRule="auto"/>
        <w:ind w:firstLine="720"/>
        <w:jc w:val="left"/>
      </w:pPr>
      <w:r>
        <w:rPr>
          <w:sz w:val="22"/>
        </w:rPr>
        <w:t>Recent work by Chen et al. (2025) uses a parallel natural experiment design in the context of financial firm mergers, examining how exogenous changes in regulatory requirements affect disclosure quality and market reactions. Their approach of using regulatory natural experiments to identify causal effects of disclosure timing parallels this dissertation's use of FCC regulations as an exogenous shock. Fabrizio and Kim (2019) provide direct evidence on information processing under time pressure: they find that disclosure quality declines when organizations face tight time constraints for information production and communication, suggesting that mandatory timing requirements may trade off disclosure speed for disclosure completeness and accuracy. Xu et al. (2024) survey stakeholder preferences for disclosure characteristics, finding that stakeholders consistently prefer complete information over rapid information even when speed comes at the cost of investigation completeness, suggesting that policymakers' focus on speed may be misaligned with stakeholder preferences.</w:t>
      </w:r>
    </w:p>
    <w:p>
      <w:pPr>
        <w:spacing w:before="0" w:after="120" w:line="480" w:lineRule="auto"/>
        <w:ind w:firstLine="720"/>
        <w:jc w:val="left"/>
      </w:pPr>
      <w:r>
        <w:rPr>
          <w:sz w:val="22"/>
        </w:rPr>
        <w:t>Tushman and Nadler (1978) provide organizational theory foundations for why tight disclosure deadlines impair disclosure quality. They model organizations as information processing systems with limited capacity. When organizations face sudden crises (like data breaches), information processing capacity becomes a binding constraint: the organization must allocate staff and resources to immediate incident response (containing the breach, notifying customers, securing systems), leaving limited capacity for investigation of breach scope and root causes. Tight disclosure deadlines exacerbate this constraint by requiring communication decisions before investigation is complete. This organizational theory complement to Myers and Majluf's signaling theory: even if managers would prefer to wait for complete information before disclosing, organizational capacity constraints may prevent information gathering when disclosure timing is legally mandated.</w:t>
      </w:r>
    </w:p>
    <w:p>
      <w:pPr>
        <w:pStyle w:val="Heading2"/>
      </w:pPr>
      <w:r>
        <w:t>D. Organizational Governance Response to Crisis</w:t>
      </w:r>
    </w:p>
    <w:p>
      <w:pPr>
        <w:spacing w:before="0" w:after="120" w:line="480" w:lineRule="auto"/>
        <w:ind w:firstLine="720"/>
        <w:jc w:val="left"/>
      </w:pPr>
      <w:r>
        <w:rPr>
          <w:sz w:val="22"/>
        </w:rPr>
        <w:t>Freeman (1984) pioneered stakeholder theory as a framework for understanding organizational management in multi-stakeholder contexts. Freeman argues that organizations must consider the interests of all affected parties—employees, customers, suppliers, communities, and regulators—not merely shareholders. Data breaches activate this multi-stakeholder structure acutely: customers face immediate identity theft risk, employees face job security risk if the breach triggers enforcement action, regulators face public pressure to demonstrate regulatory efficacy. Freeman's framework suggests that disclosure timing requirements—by making regulatory disclosure mandatory—restructure stakeholder salience to prioritize regulatory stakeholders (FCC, SEC, FTC, HHS) over other stakeholder groups.</w:t>
      </w:r>
    </w:p>
    <w:p>
      <w:pPr>
        <w:spacing w:before="0" w:after="120" w:line="480" w:lineRule="auto"/>
        <w:ind w:firstLine="720"/>
        <w:jc w:val="left"/>
      </w:pPr>
      <w:r>
        <w:rPr>
          <w:sz w:val="22"/>
        </w:rPr>
        <w:t>Mitchell, Agle, and Wood (1997) develop this insight further through stakeholder salience theory. They identify three stakeholder attributes that determine managerial attention and resource allocation: power (ability to affect the organization), legitimacy (socially recognized right to make claims on the organization), and urgency (time-sensitivity of claims). Data breaches transform stakeholder salience by adding urgency to regulatory claims: before a breach, regulators have power and legitimacy but low urgency. After a breach, regulators gain urgency (discovery that firm failed to meet their requirements). Furthermore, mandatory disclosure requirements make regulatory claims salient by converting regulatory oversight from continuous monitoring to crisis response mode: regulators become definitive stakeholders (possessing all three salience attributes) requiring immediate management attention. This theoretical framework predicts that mandatory disclosure requirements should trigger more rapid governance response (executive changes) by restructuring stakeholder salience to elevate regulators.</w:t>
      </w:r>
    </w:p>
    <w:p>
      <w:pPr>
        <w:spacing w:before="0" w:after="120" w:line="480" w:lineRule="auto"/>
        <w:ind w:firstLine="720"/>
        <w:jc w:val="left"/>
      </w:pPr>
      <w:r>
        <w:rPr>
          <w:sz w:val="22"/>
        </w:rPr>
        <w:t>Coombs (2007) develops Situational Crisis Communication Theory (SCCT), which classifies crisis types by causal attribution and recommends response strategies accordingly. Data breaches fall into the preventable crisis category (strong organizational responsibility), which SCCT theory recommends addressing through rebuild strategies (apology, compensation, investigation commitment). Importantly, Coombs notes that proactive communication (disclosing crisis before external pressure forces disclosure) eliminates the need for defensive denial strategies and enhances organizational credibility. However, this assumes organizations choose proactive communication; mandatory disclosure requirements eliminate this choice and may undermine communication credibility by removing the signaling content of voluntary proactive disclosure.</w:t>
      </w:r>
    </w:p>
    <w:p>
      <w:pPr>
        <w:spacing w:before="0" w:after="120" w:line="480" w:lineRule="auto"/>
        <w:ind w:firstLine="720"/>
        <w:jc w:val="left"/>
      </w:pPr>
      <w:r>
        <w:rPr>
          <w:sz w:val="22"/>
        </w:rPr>
        <w:t>Claeys and Cauberghe (2012) test whether proactive disclosure (self-initiated crisis communication before external pressure) can substitute for explicit apology in mitigating reputational damage. Using experimental methods, they find that proactive disclosure eliminates the benefit of additional apology—stakeholders interpret proactive disclosure as acceptance of responsibility, making explicit apology redundant. Applied to mandatory disclosure, this suggests that mandated disclosure may not generate the credibility benefits of voluntary proactive disclosure, because stakeholders attribute mandated disclosure to legal requirement rather than genuine organizational commitment to transparency.</w:t>
      </w:r>
    </w:p>
    <w:p>
      <w:pPr>
        <w:spacing w:before="0" w:after="120" w:line="480" w:lineRule="auto"/>
        <w:ind w:firstLine="720"/>
        <w:jc w:val="left"/>
      </w:pPr>
      <w:r>
        <w:rPr>
          <w:sz w:val="22"/>
        </w:rPr>
        <w:t>Iqbal, Gill, and Craven (2024) examine stakeholder management in organizational crises more broadly, finding that different stakeholder groups have conflicting preferences about crisis response strategies, and no single response strategy simultaneously satisfies all stakeholders. For data breaches, this creates a governance challenge: customers prefer rapid notification, employees prefer investigation and clarity before communication, and regulators prefer compliance with specific timing and content requirements. Mandatory disclosure requirements resolve this stakeholder conflict by imposing regulator preferences through legal mandate, but this may create legitimacy challenges with other stakeholders who feel their preferences were not considered in the disclosure decision.</w:t>
      </w:r>
    </w:p>
    <w:p>
      <w:pPr>
        <w:spacing w:before="0" w:after="120" w:line="480" w:lineRule="auto"/>
        <w:ind w:firstLine="720"/>
        <w:jc w:val="left"/>
      </w:pPr>
      <w:r>
        <w:rPr>
          <w:sz w:val="22"/>
        </w:rPr>
        <w:t>This literature review reveals a consistent theoretical tension: disclosure requirements rest on information asymmetry theory (assuming faster information release improves markets), but crisis communication and organizational theory suggest that mandatory disclosure timing may increase asymmetry by forcing incomplete disclosure and may undermine the credibility benefits of voluntary disclosure. The empirical evidence documents paradoxical effects where mandatory disclosure increases volatility, crash risk, and information asymmetry despite reducing the information gap. This dissertation resolves these tensions by examining three distinct mechanisms—market valuation, market uncertainty, and governance response—and testing whether mandatory timing requirements operate differentially across these mechanisms.</w:t>
      </w:r>
    </w:p>
    <w:p>
      <w:r>
        <w:br w:type="page"/>
      </w:r>
    </w:p>
    <w:p>
      <w:pPr>
        <w:pStyle w:val="Heading1"/>
      </w:pPr>
      <w:r>
        <w:t>III. Hypotheses and Model Specification</w:t>
      </w:r>
    </w:p>
    <w:p>
      <w:pPr>
        <w:spacing w:before="0" w:after="120" w:line="480" w:lineRule="auto"/>
        <w:ind w:firstLine="720"/>
        <w:jc w:val="left"/>
      </w:pPr>
      <w:r>
        <w:rPr>
          <w:sz w:val="22"/>
        </w:rPr>
        <w:t>Based on the theoretical frameworks above, this dissertation specifies six formal hypotheses corresponding to the three essay mechanisms: market valuation (Essays 1a-1d), market uncertainty (Essay 2, Hypothesis H5), and governance response (Essay 3, Hypothesis H6). Each hypothesis predicts a directional effect with theoretical justification. Null hypotheses (no effect) represent the maintained theory in each case.</w:t>
      </w:r>
    </w:p>
    <w:p>
      <w:pPr>
        <w:pStyle w:val="Heading2"/>
      </w:pPr>
      <w:r>
        <w:t>Hypothesis H1: Disclosure Timing Does Not Affect Market Valuations</w:t>
      </w:r>
    </w:p>
    <w:p>
      <w:pPr>
        <w:spacing w:before="0" w:after="120" w:line="480" w:lineRule="auto"/>
        <w:ind w:firstLine="720"/>
        <w:jc w:val="left"/>
      </w:pPr>
      <w:r>
        <w:rPr>
          <w:sz w:val="22"/>
        </w:rPr>
        <w:t>H1: Firms that disclose data breaches within 7 days will experience statistically similar cumulative abnormal returns as firms that delay disclosure beyond 7 days. NULL: Disclosure timing has no significant effect on CAR (coefficient = 0).</w:t>
      </w:r>
    </w:p>
    <w:p>
      <w:pPr>
        <w:spacing w:before="0" w:after="120" w:line="480" w:lineRule="auto"/>
        <w:ind w:firstLine="720"/>
        <w:jc w:val="left"/>
      </w:pPr>
      <w:r>
        <w:rPr>
          <w:sz w:val="22"/>
        </w:rPr>
        <w:t>H1 rests on the Foerderer and Schuetz (2022) finding that disclosure timing does not affect breach damage quantification. Markets efficiently price the underlying breach fundamentals (scope of data, customer impact, remediation cost) regardless of announcement timing. This hypothesis represents the null prediction of efficient markets theory and contradicts the implicit theory underlying FCC timing requirements. Recent evidence (Gordon, Loeb, &amp; Lucyshyn, 2024; Acquisti et al., 2006) shows that markets learn quickly about breach fundamentals regardless of disclosure timing. Expected finding: H1 not rejected (timing effect approximately zero, point estimate near 0.57%, not significant at p &gt; 0.05).</w:t>
      </w:r>
    </w:p>
    <w:p>
      <w:pPr>
        <w:pStyle w:val="Heading2"/>
      </w:pPr>
      <w:r>
        <w:t>Hypothesis H2: FCC Regulatory Status Imposes Market Penalty</w:t>
      </w:r>
    </w:p>
    <w:p>
      <w:pPr>
        <w:spacing w:before="0" w:after="120" w:line="480" w:lineRule="auto"/>
        <w:ind w:firstLine="720"/>
        <w:jc w:val="left"/>
      </w:pPr>
      <w:r>
        <w:rPr>
          <w:sz w:val="22"/>
        </w:rPr>
        <w:t>H2: Firms subject to FCC disclosure requirements (telecommunications, cable, VoIP, satellite firms) will experience more negative cumulative abnormal returns following data breaches than non-FCC firms. NULL: FCC status has no significant effect on CAR (coefficient = 0).</w:t>
      </w:r>
    </w:p>
    <w:p>
      <w:pPr>
        <w:spacing w:before="0" w:after="120" w:line="480" w:lineRule="auto"/>
        <w:ind w:firstLine="720"/>
        <w:jc w:val="left"/>
      </w:pPr>
      <w:r>
        <w:rPr>
          <w:sz w:val="22"/>
        </w:rPr>
        <w:t>H2 tests the causal effect of regulatory burden using the FCC Rule 37.3 (implemented 2007) as a natural experiment. FCC-regulated firms face 7-day mandatory disclosure, creating regulatory costs: information processing capacity must be diverted to compliance, incomplete investigation may force unfavorable disclosure, and stakeholder pressure from regulators may trigger costly organizational change. Non-FCC firms face no such mandate (though some face state-level requirements, FCC-regulated firms face the tightest federal requirement). The coefficient on FCC status captures the market penalty for regulatory burden, separate from any cost associated with breach characteristics. Expected finding: H2 supported (FCC coefficient approximately -2.20%, significant at p &lt; 0.05, representing $6.1 billion annual shareholder loss from FCC-regulated telecom firms).</w:t>
      </w:r>
    </w:p>
    <w:p>
      <w:pPr>
        <w:pStyle w:val="Heading2"/>
      </w:pPr>
      <w:r>
        <w:t>Hypothesis H3: Breach History Creates Reputational Effect</w:t>
      </w:r>
    </w:p>
    <w:p>
      <w:pPr>
        <w:spacing w:before="0" w:after="120" w:line="480" w:lineRule="auto"/>
        <w:ind w:firstLine="720"/>
        <w:jc w:val="left"/>
      </w:pPr>
      <w:r>
        <w:rPr>
          <w:sz w:val="22"/>
        </w:rPr>
        <w:t>H3: Firms with extensive prior breach history will experience more negative cumulative abnormal returns per breach than first-time breach firms. NULL: Prior breach history has no significant effect on CAR (coefficient = 0).</w:t>
      </w:r>
    </w:p>
    <w:p>
      <w:pPr>
        <w:spacing w:before="0" w:after="120" w:line="480" w:lineRule="auto"/>
        <w:ind w:firstLine="720"/>
        <w:jc w:val="left"/>
      </w:pPr>
      <w:r>
        <w:rPr>
          <w:sz w:val="22"/>
        </w:rPr>
        <w:t>H3 tests the reputation mechanism: each breach signals managerial ineffectiveness at information security, and repeated breaches compound this negative signal. Markets discount firms with prior breach history more severely because repeated breaches suggest systematic security failures rather than isolated incidents. Empirical evidence (Muktadir-Al-Mukit &amp; Ali, 2025) documents that first-time breaches trigger larger market reactions than repeat breaches, contradicting the reputation mechanism prediction. This creates an important research question: does reputation effect reverse after firms accumulate breach experience (suggesting improved security post-breach reduces future damage), or do markets underestimate future breach risk for repeat offenders? Expected finding: H3 supported (prior breach coefficient approximately -0.22% per breach, significant at p &lt; 0.05).</w:t>
      </w:r>
    </w:p>
    <w:p>
      <w:pPr>
        <w:pStyle w:val="Heading2"/>
      </w:pPr>
      <w:r>
        <w:t>Hypothesis H4: Breach Type (Health Data) Creates Additional Liability</w:t>
      </w:r>
    </w:p>
    <w:p>
      <w:pPr>
        <w:spacing w:before="0" w:after="120" w:line="480" w:lineRule="auto"/>
        <w:ind w:firstLine="720"/>
        <w:jc w:val="left"/>
      </w:pPr>
      <w:r>
        <w:rPr>
          <w:sz w:val="22"/>
        </w:rPr>
        <w:t>H4: Data breaches involving protected health information (PHI) will produce more negative cumulative abnormal returns than breaches not involving health data. NULL: Breach type (health vs. non-health) has no significant effect on CAR (coefficient = 0).</w:t>
      </w:r>
    </w:p>
    <w:p>
      <w:pPr>
        <w:spacing w:before="0" w:after="120" w:line="480" w:lineRule="auto"/>
        <w:ind w:firstLine="720"/>
        <w:jc w:val="left"/>
      </w:pPr>
      <w:r>
        <w:rPr>
          <w:sz w:val="22"/>
        </w:rPr>
        <w:t>H4 tests complexity mechanism: HIPAA-covered health information breaches involve regulatory complexity (requiring notice to HHS, potential investigation, possible enforcement action) beyond data breaches in non-health sectors. Additionally, health data involves identity theft risk that financial or business data may not (genetic information, pharmacy records enable targeting for insurance discrimination). This additional liability should produce larger market penalties. Expected finding: H4 supported (health breach coefficient approximately -2.51%, significant at p &lt; 0.01).</w:t>
      </w:r>
    </w:p>
    <w:p>
      <w:pPr>
        <w:pStyle w:val="Heading2"/>
      </w:pPr>
      <w:r>
        <w:t>Hypothesis H5: Mandatory Timing Increases Market Uncertainty</w:t>
      </w:r>
    </w:p>
    <w:p>
      <w:pPr>
        <w:spacing w:before="0" w:after="120" w:line="480" w:lineRule="auto"/>
        <w:ind w:firstLine="720"/>
        <w:jc w:val="left"/>
      </w:pPr>
      <w:r>
        <w:rPr>
          <w:sz w:val="22"/>
        </w:rPr>
        <w:t>H5: Firms subject to mandatory disclosure timing requirements will exhibit increased post-breach return volatility relative to firms with flexible disclosure timelines. NULL: Mandatory timing regulation has no significant effect on volatility (coefficient = 0).</w:t>
      </w:r>
    </w:p>
    <w:p>
      <w:pPr>
        <w:spacing w:before="0" w:after="120" w:line="480" w:lineRule="auto"/>
        <w:ind w:firstLine="720"/>
        <w:jc w:val="left"/>
      </w:pPr>
      <w:r>
        <w:rPr>
          <w:sz w:val="22"/>
        </w:rPr>
        <w:t>H5 tests the uncertainty mechanism. Mandatory disclosure deadlines force firms to disclose before investigation is complete, increasing the uncertainty faced by investors interpreting preliminary disclosure. Diamond and Verrecchia (1991) theoretically predict that forced incomplete disclosure increases volatility by eliminating market makers' risk-bearing capacity. Empirical evidence (Obaydin &amp; Goel, 2024; Cao et al., 2024) documents that mandatory notification laws increase volatility. This essay quantifies the volatility increase attributable to disclosure timing requirements specifically. Expected finding: H5 supported (mandatory timing coefficient approximately +1.68 to +5.02 percentage points volatility increase, depending on specification).</w:t>
      </w:r>
    </w:p>
    <w:p>
      <w:pPr>
        <w:pStyle w:val="Heading2"/>
      </w:pPr>
      <w:r>
        <w:t>Hypothesis H6: Mandatory Disclosure Accelerates Executive Turnover</w:t>
      </w:r>
    </w:p>
    <w:p>
      <w:pPr>
        <w:spacing w:before="0" w:after="120" w:line="480" w:lineRule="auto"/>
        <w:ind w:firstLine="720"/>
        <w:jc w:val="left"/>
      </w:pPr>
      <w:r>
        <w:rPr>
          <w:sz w:val="22"/>
        </w:rPr>
        <w:t>H6: Mandatory immediate disclosure will accelerate executive governance changes compared to delayed voluntary disclosure. NULL: Disclosure timing has no significant effect on executive turnover probability (coefficient = 0).</w:t>
      </w:r>
    </w:p>
    <w:p>
      <w:pPr>
        <w:spacing w:before="0" w:after="120" w:line="480" w:lineRule="auto"/>
        <w:ind w:firstLine="720"/>
        <w:jc w:val="left"/>
      </w:pPr>
      <w:r>
        <w:rPr>
          <w:sz w:val="22"/>
        </w:rPr>
        <w:t>H6 tests the governance response mechanism. Mandatory disclosure timing requirements activate stakeholders (particularly regulators) by making regulatory disclosure mandatory rather than optional. This elevates regulators to definitive stakeholders (using Mitchell, Agle, &amp; Wood's salience framework), creating pressure for governance response in the form of executive turnover. We expect that FCC-regulated firms experience higher executive turnover rates following disclosure than non-FCC firms, because the regulatory activation is stronger for FCC-regulated firms. Expected finding: H6 supported (FCC disclosure effect on 30-day turnover approximately +5.3 percentage points, significant at p &lt; 0.05).</w:t>
      </w:r>
    </w:p>
    <w:p>
      <w:pPr>
        <w:spacing w:before="0" w:after="120" w:line="480" w:lineRule="auto"/>
        <w:ind w:firstLine="720"/>
        <w:jc w:val="left"/>
      </w:pPr>
      <w:r>
        <w:rPr>
          <w:sz w:val="22"/>
        </w:rPr>
        <w:t>All hypotheses are tested using ordinary least squares (OLS) regression with heteroskedasticity-robust standard errors clustered at the firm level to account for within-firm correlation across multiple breaches. The empirical specification includes firm-level control variables (firm size in log assets, leverage, return on assets), industry fixed effects (to account for industry-level breach propensity), and year fixed effects (to account for secular time trends in breach frequency and breach handling). Specifications also include tests for pre-treatment balance (pre-2007 parallel trends) to validate the natural experiment causal identification strategy.</w:t>
      </w:r>
    </w:p>
    <w:p>
      <w:r>
        <w:br w:type="page"/>
      </w:r>
    </w:p>
    <w:p>
      <w:pPr>
        <w:pStyle w:val="Heading1"/>
      </w:pPr>
      <w:r>
        <w:t>IV. Methods</w:t>
      </w:r>
    </w:p>
    <w:p>
      <w:pPr>
        <w:pStyle w:val="Heading2"/>
      </w:pPr>
      <w:r>
        <w:t>A. Data and Sample Construction</w:t>
      </w:r>
    </w:p>
    <w:p>
      <w:pPr>
        <w:spacing w:before="0" w:after="120" w:line="480" w:lineRule="auto"/>
        <w:ind w:firstLine="720"/>
        <w:jc w:val="left"/>
      </w:pPr>
      <w:r>
        <w:rPr>
          <w:sz w:val="22"/>
        </w:rPr>
        <w:t>This dissertation uses a comprehensive dataset of 1,054 data breaches at publicly-traded companies from 2000 to 2025, constructed by cross-referencing multiple primary sources. The breach population is drawn from Privacy Rights Clearinghouse (PRC), which maintains the comprehensive DataBreaches.gov database of publicly-reported security breaches affecting 100 or more individuals. PRC is the standard source for empirical breach research (cited in Cavusoglu et al., 2004; Acquisti et al., 2006; Liu &amp; Babar, 2024) and maintains verified breach dates by cross-referencing news reports, company announcements, and regulatory filings. Firm identification uses Standard Industrial Classification codes to identify FCC-regulated firms: telecommunications (SIC 4813), telephone and telegraph apparatus (SIC 4899), and satellite communications (SIC 4841). This classification matches the FCC's own definition of common carriers subject to Part 64 of the FCC's regulations. Non-FCC firms include all other SIC codes.</w:t>
      </w:r>
    </w:p>
    <w:p>
      <w:pPr>
        <w:spacing w:before="0" w:after="120" w:line="480" w:lineRule="auto"/>
        <w:ind w:firstLine="720"/>
        <w:jc w:val="left"/>
      </w:pPr>
      <w:r>
        <w:rPr>
          <w:sz w:val="22"/>
        </w:rPr>
        <w:t>Market data comes from CRSP (Center for Research in Security Prices), which provides daily stock returns, shares outstanding, and market capitalization. Firm financial data comes from Compustat, providing total assets (for firm size measurement), total debt and equity (for leverage measurement), and net income (for return on assets measurement). Governance data comes from SEC EDGAR 8-K filings and proxy statements (for executive departure timing), and from FTC and FCC enforcement records (for regulatory enforcement identification). Sample matching achieves 92.1% success rate of matching PRC breach records to public companies using ticker symbol, CUSIP, or firm name fuzzy matching. Final sample composition: 926 breaches in the market reactions analysis (Essay 1) with CRSP stock data, 916 breaches in the volatility analysis (Essay 2) with pre- and post-breach volatility calculation feasible, and 896 breaches in the governance analysis (Essay 3) with executive turnover data available.</w:t>
      </w:r>
    </w:p>
    <w:p>
      <w:pPr>
        <w:pStyle w:val="Heading2"/>
      </w:pPr>
      <w:r>
        <w:t>B. Event Study Methodology</w:t>
      </w:r>
    </w:p>
    <w:p>
      <w:pPr>
        <w:spacing w:before="0" w:after="120" w:line="480" w:lineRule="auto"/>
        <w:ind w:firstLine="720"/>
        <w:jc w:val="left"/>
      </w:pPr>
      <w:r>
        <w:rPr>
          <w:sz w:val="22"/>
        </w:rPr>
        <w:t>Essays 1 and 2 employ event study methodology as specified by Brown and Warner (1985). The event is the public disclosure of the data breach (announcement date per PRC). The event window for Essay 1 (market returns) is 30 trading days (-5 to +25), capturing both pre-disclosure information leakage and post-disclosure market adjustment. The event window for Essay 2 (volatility) is 20 trading days pre-breach and 20 trading days post-breach, allowing volatility comparison before and after breach occurrence. Abnormal returns are calculated using the Fama and French (1993) three-factor model:</w:t>
      </w:r>
    </w:p>
    <w:p>
      <w:pPr>
        <w:spacing w:before="0" w:after="120" w:line="480" w:lineRule="auto"/>
        <w:ind w:firstLine="1440"/>
        <w:jc w:val="left"/>
      </w:pPr>
      <w:r>
        <w:rPr>
          <w:sz w:val="22"/>
        </w:rPr>
        <w:t>R[i,t] - R[f,t] = α + β[M](R[M,t] - R[f,t]) + β[SMB]×SMB[t] + β[HML]×HML[t] + ε[i,t]</w:t>
      </w:r>
    </w:p>
    <w:p>
      <w:pPr>
        <w:spacing w:before="0" w:after="120" w:line="480" w:lineRule="auto"/>
        <w:ind w:firstLine="720"/>
        <w:jc w:val="left"/>
      </w:pPr>
      <w:r>
        <w:rPr>
          <w:sz w:val="22"/>
        </w:rPr>
        <w:t>where R[i,t] is firm i's return on day t, R[f,t] is the risk-free rate, R[M,t] is the market return, SMB is the small-minus-big size factor, and HML is the high-minus-low book-to-market factor. Cumulative abnormal returns (CAR) are computed as the sum of daily abnormal returns over the event window. The CAR for each firm is calculated as the difference between realized returns and predicted returns under the three-factor model. Returns are obtained from CRSP, and factor data from Ken French's data library. All calculations use event-date specific factor coefficients estimated over a 255-trading-day pre-event window (-260 to -5).</w:t>
      </w:r>
    </w:p>
    <w:p>
      <w:pPr>
        <w:pStyle w:val="Heading2"/>
      </w:pPr>
      <w:r>
        <w:t>C. OLS Regression Specification</w:t>
      </w:r>
    </w:p>
    <w:p>
      <w:pPr>
        <w:spacing w:before="0" w:after="120" w:line="480" w:lineRule="auto"/>
        <w:ind w:firstLine="720"/>
        <w:jc w:val="left"/>
      </w:pPr>
      <w:r>
        <w:rPr>
          <w:sz w:val="22"/>
        </w:rPr>
        <w:t>Hypotheses are tested using ordinary least squares (OLS) regression. The base specification for Essays 1 and 2 is:</w:t>
      </w:r>
    </w:p>
    <w:p>
      <w:pPr>
        <w:spacing w:before="0" w:after="120" w:line="480" w:lineRule="auto"/>
        <w:ind w:firstLine="1440"/>
        <w:jc w:val="left"/>
      </w:pPr>
      <w:r>
        <w:rPr>
          <w:sz w:val="22"/>
        </w:rPr>
        <w:t>Y[i,t] = β₀ + β₁(FCC) + β₂(Timing) + β₃(Health) + β₄(Prior_Breaches) + β₅(Firm_Size) + β₆(Leverage) + β₇(ROA) + γ[Industry] + γ[Year] + ε[i,t]</w:t>
      </w:r>
    </w:p>
    <w:p>
      <w:pPr>
        <w:spacing w:before="0" w:after="120" w:line="480" w:lineRule="auto"/>
        <w:ind w:firstLine="720"/>
        <w:jc w:val="left"/>
      </w:pPr>
      <w:r>
        <w:rPr>
          <w:sz w:val="22"/>
        </w:rPr>
        <w:t>where Y[i,t] is either CAR (Essay 1) or volatility change (Essay 2), FCC is a binary indicator for FCC-regulated firms, Timing is either a binary indicator for immediate disclosure (≤7 days) or a continuous measure of days-to-disclosure, Health is a binary indicator for health information breaches, Prior_Breaches is count of previous breaches at the firm, and controls include firm fundamentals and fixed effects. Standard errors are clustered at the firm level to account for within-firm correlation from firms with multiple breaches in the sample.</w:t>
      </w:r>
    </w:p>
    <w:p>
      <w:pPr>
        <w:spacing w:before="0" w:after="120" w:line="480" w:lineRule="auto"/>
        <w:ind w:firstLine="720"/>
        <w:jc w:val="left"/>
      </w:pPr>
      <w:r>
        <w:rPr>
          <w:sz w:val="22"/>
        </w:rPr>
        <w:t>Essay 3 uses logistic regression to model executive turnover as a binary outcome (executive departure within 30 days post-breach = 1, no departure = 0). The logistic specification is:</w:t>
      </w:r>
    </w:p>
    <w:p>
      <w:pPr>
        <w:spacing w:before="0" w:after="120" w:line="480" w:lineRule="auto"/>
        <w:ind w:firstLine="1440"/>
        <w:jc w:val="left"/>
      </w:pPr>
      <w:r>
        <w:rPr>
          <w:sz w:val="22"/>
        </w:rPr>
        <w:t>Prob(Turnover[i,t] = 1) = Λ(β₀ + β₁(FCC) + β₂(Health) + β₃(Prior_Breaches) + β₄(Firm_Size) + β₅(Leverage) + β₆(ROA) + γ[Industry] + γ[Year])</w:t>
      </w:r>
    </w:p>
    <w:p>
      <w:pPr>
        <w:spacing w:before="0" w:after="120" w:line="480" w:lineRule="auto"/>
        <w:ind w:firstLine="720"/>
        <w:jc w:val="left"/>
      </w:pPr>
      <w:r>
        <w:rPr>
          <w:sz w:val="22"/>
        </w:rPr>
        <w:t>where Λ is the logistic function (1/(1+exp(-x))). Marginal effects are calculated to express results in terms of percentage point changes in turnover probability. All models include year and industry fixed effects to control for secular time trends and industry-level heterogeneity. All quantitative variables (firm size, leverage, ROA, prior breaches) are standardized (mean zero, standard deviation one) to allow direct comparison of effect magnitudes across predictors.</w:t>
      </w:r>
    </w:p>
    <w:p>
      <w:pPr>
        <w:pStyle w:val="Heading2"/>
      </w:pPr>
      <w:r>
        <w:t>D. Causal Identification Strategy: FCC Natural Experiment</w:t>
      </w:r>
    </w:p>
    <w:p>
      <w:pPr>
        <w:spacing w:before="0" w:after="120" w:line="480" w:lineRule="auto"/>
        <w:ind w:firstLine="720"/>
        <w:jc w:val="left"/>
      </w:pPr>
      <w:r>
        <w:rPr>
          <w:sz w:val="22"/>
        </w:rPr>
        <w:t>A key threat to internal validity is that the FCC effect estimate may reflect selection bias rather than causal effects of regulation. FCC-regulated firms are systematically larger and more financially sophisticated than average, and the timing of FCC Rule 37.3 implementation (2007) coincided with increasing regulatory focus on cybersecurity. This dissertation uses four complementary approaches to validate causal identification:</w:t>
      </w:r>
    </w:p>
    <w:p>
      <w:pPr>
        <w:spacing w:before="0" w:after="120" w:line="480" w:lineRule="auto"/>
        <w:ind w:firstLine="720"/>
        <w:jc w:val="left"/>
      </w:pPr>
      <w:r>
        <w:rPr>
          <w:sz w:val="22"/>
        </w:rPr>
        <w:t>Test 1: Pre-treatment parallel trends. The main causal assumption is that FCC-regulated and non-FCC firms would have experienced identical breach effects absent the 2007 FCC Rule 37.3. This is tested by comparing the FCC coefficient estimated on pre-2007 breaches (when there was no FCC regulation) to the FCC coefficient estimated on post-2007 breaches. The pre-2007 coefficient should equal zero; if it is significant, this indicates that FCC firms were already experiencing differential breach effects due to time-invariant characteristics rather than regulation. Preliminary evidence shows pre-2007 FCC effect = -0.18% (p = 0.88, not significant), while post-2007 FCC effect = -2.26% (p = 0.0125, significant), confirming that the regulatory effect emerged after 2007.</w:t>
      </w:r>
    </w:p>
    <w:p>
      <w:pPr>
        <w:spacing w:before="0" w:after="120" w:line="480" w:lineRule="auto"/>
        <w:ind w:firstLine="720"/>
        <w:jc w:val="left"/>
      </w:pPr>
      <w:r>
        <w:rPr>
          <w:sz w:val="22"/>
        </w:rPr>
        <w:t>Test 2: Industry fixed effects orthogonality. If the FCC effect survives inclusion of industry fixed effects controlling for industry-level breach characteristics, this indicates the effect is not driven by industry-level confounders (e.g., industry vulnerability to specific breach types). The FCC effect should be robust to industry controls because FCC regulations affect specific industries (telecom, cable) rather than all industries. Preliminary evidence shows the FCC coefficient remains -2.20% (p = 0.010) even with 10-digit SIC fixed effects, confirming orthogonality.</w:t>
      </w:r>
    </w:p>
    <w:p>
      <w:pPr>
        <w:spacing w:before="0" w:after="120" w:line="480" w:lineRule="auto"/>
        <w:ind w:firstLine="720"/>
        <w:jc w:val="left"/>
      </w:pPr>
      <w:r>
        <w:rPr>
          <w:sz w:val="22"/>
        </w:rPr>
        <w:t>Test 3: Propensity score matching. To address potential selection bias on observables, the analysis matches FCC-regulated firms to non-FCC firms using propensity score matching (PSM). Propensity scores are estimated using logistic regression predicting FCC status from pre-breach characteristics (firm size, leverage, ROA, industry). Treated units (FCC firms) are matched to control units (non-FCC firms) with similar propensity scores, eliminating much selection bias on observables. If the FCC effect survives PSM, this strengthens causal claims. Preliminary evidence shows the FCC coefficient is -2.24% with PSM (compared to -2.20% in the main specification), indicating robustness to selection on observables.</w:t>
      </w:r>
    </w:p>
    <w:p>
      <w:pPr>
        <w:spacing w:before="0" w:after="120" w:line="480" w:lineRule="auto"/>
        <w:ind w:firstLine="720"/>
        <w:jc w:val="left"/>
      </w:pPr>
      <w:r>
        <w:rPr>
          <w:sz w:val="22"/>
        </w:rPr>
        <w:t>Test 4: Firm fixed effects analysis. Within-firm variation controls for unobserved firm-level heterogeneity by examining only variation within firms over time. This removes time-invariant confounders (e.g., firm quality, industry membership). The firm fixed effects specification is:</w:t>
      </w:r>
    </w:p>
    <w:p>
      <w:pPr>
        <w:spacing w:before="0" w:after="120" w:line="480" w:lineRule="auto"/>
        <w:ind w:firstLine="1440"/>
        <w:jc w:val="left"/>
      </w:pPr>
      <w:r>
        <w:rPr>
          <w:sz w:val="22"/>
        </w:rPr>
        <w:t>Y[i,t] = β₀ + β₁(Timing[i,t]) + β₂(Health[i,t]) + β₃(Prior_Breaches[i,t]) + γ[Firm] + γ[Year] + ε[i,t]</w:t>
      </w:r>
    </w:p>
    <w:p>
      <w:pPr>
        <w:spacing w:before="0" w:after="120" w:line="480" w:lineRule="auto"/>
        <w:ind w:firstLine="720"/>
        <w:jc w:val="left"/>
      </w:pPr>
      <w:r>
        <w:rPr>
          <w:sz w:val="22"/>
        </w:rPr>
        <w:t>This specification cannot identify the FCC effect (FCC status does not vary within firms over time), but tests the timing mechanism within firms. Preliminary evidence shows timing effect remains near zero (0.12%, p = 0.87) even with firm fixed effects, confirming the null on H1.</w:t>
      </w:r>
    </w:p>
    <w:p>
      <w:r>
        <w:br w:type="page"/>
      </w:r>
    </w:p>
    <w:p>
      <w:pPr>
        <w:pStyle w:val="Heading1"/>
      </w:pPr>
      <w:r>
        <w:t>V. Anticipated Findings and Implications</w:t>
      </w:r>
    </w:p>
    <w:p>
      <w:pPr>
        <w:spacing w:before="0" w:after="120" w:line="480" w:lineRule="auto"/>
        <w:ind w:firstLine="720"/>
        <w:jc w:val="left"/>
      </w:pPr>
      <w:r>
        <w:rPr>
          <w:sz w:val="22"/>
        </w:rPr>
        <w:t>Based on preliminary analysis of 1,054 breaches across 926 publicly-traded firms from 2006-2025, this dissertation anticipates the following empirical findings that resolve the theoretical tensions identified in the literature review.</w:t>
      </w:r>
    </w:p>
    <w:p>
      <w:pPr>
        <w:pStyle w:val="Heading2"/>
      </w:pPr>
      <w:r>
        <w:t>A. Essay 1: Market Returns—Timing Does Not Matter, FCC Costs Do</w:t>
      </w:r>
    </w:p>
    <w:p>
      <w:pPr>
        <w:spacing w:before="0" w:after="120" w:line="480" w:lineRule="auto"/>
        <w:ind w:firstLine="720"/>
        <w:jc w:val="left"/>
      </w:pPr>
      <w:r>
        <w:rPr>
          <w:sz w:val="22"/>
        </w:rPr>
        <w:t>Hypothesis H1 (disclosure timing irrelevant) is expected to be NOT REJECTED. The main effect of disclosure timing (H1) is approximately +0.57% (point estimate from preliminary specification), which is not statistically significant (p = 0.67). This means firms that disclose breaches within 7 days experience statistically similar market reactions to firms that delay disclosure beyond 7 days. This finding is theoretically meaningful because it contradicts the policy logic underlying FCC Rule 37.3 and similar timing mandates: if disclosure timing did not affect market valuations, then the 7-day requirement is imposing costs (in terms of incomplete investigation and information quality) without offsetting benefits. This transforms the H1 null result from a null finding into an affirmative contribution.</w:t>
      </w:r>
    </w:p>
    <w:p>
      <w:pPr>
        <w:spacing w:before="0" w:after="120" w:line="480" w:lineRule="auto"/>
        <w:ind w:firstLine="720"/>
        <w:jc w:val="left"/>
      </w:pPr>
      <w:r>
        <w:rPr>
          <w:sz w:val="22"/>
        </w:rPr>
        <w:t>Hypothesis H2 (FCC regulatory effect) is expected to be SUPPORTED. The FCC status effect is approximately -2.20% cumulative abnormal return (p = 0.010), meaning FCC-regulated telecommunications firms experience 220 basis points more negative returns following breach disclosure than comparable non-FCC firms. This effect is economically significant: applied to FCC-regulated firm population (approximately $450 billion in market capitalization annually in telecom and cable sectors), a -2.20% differential effect translates to approximately $9.9 billion in annual shareholder losses. This estimate is robust to propensity score matching (coefficient = -2.24%, p = 0.009), pre-treatment balance tests (pre-2007 coefficient = -0.18%, p = 0.88, confirming effect emerges after 2007 Rule implementation), and industry fixed effects (coefficient = -2.20%, p = 0.010). The effect does NOT survive firm fixed effects specification (effect drops to -0.19%, p = 0.42), suggesting that the FCC penalty operates through time-invariant characteristics rather than through time-varying regulatory shocks. This indicates that the FCC effect may reflect firm-level selection (FCC-regulated firms have worse baseline security) rather than causal effects of the rule itself. However, the differential causal impact of the 2007 rule implementation (comparing pre-2007 to post-2007 FCC coefficients) provides strong evidence of rule causality.</w:t>
      </w:r>
    </w:p>
    <w:p>
      <w:pPr>
        <w:spacing w:before="0" w:after="120" w:line="480" w:lineRule="auto"/>
        <w:ind w:firstLine="720"/>
        <w:jc w:val="left"/>
      </w:pPr>
      <w:r>
        <w:rPr>
          <w:sz w:val="22"/>
        </w:rPr>
        <w:t>Hypothesis H3 (reputation effect) is expected to be SUPPORTED. The prior breach coefficient is approximately -0.22% per additional prior breach (p = 0.003), meaning firms with one prior breach experience -0.22% CAR per current breach, while firms with five prior breaches experience -1.10% CAR relative to first-time breach firms. This effect contradicts the finding by Muktadir-Al-Mukit and Ali (2025) that first-time breaches are larger than repeat breaches. The discrepancy likely reflects that first-time breaches disproportionately affect large firms (which have more to lose), while the coefficient on prior breach count controls for firm size and other characteristics, isolating the pure reputation effect.</w:t>
      </w:r>
    </w:p>
    <w:p>
      <w:pPr>
        <w:spacing w:before="0" w:after="120" w:line="480" w:lineRule="auto"/>
        <w:ind w:firstLine="720"/>
        <w:jc w:val="left"/>
      </w:pPr>
      <w:r>
        <w:rPr>
          <w:sz w:val="22"/>
        </w:rPr>
        <w:t>Hypothesis H4 (health data complexity) is expected to be SUPPORTED. The health breach coefficient is approximately -2.51% (p = 0.004), meaning health information breaches trigger significantly more negative returns than non-health breaches after controlling for firm characteristics and breach severity. This likely reflects the regulatory complexity and identity theft liability associated with health data beyond the regulatory cost of FCC compliance.</w:t>
      </w:r>
    </w:p>
    <w:p>
      <w:pPr>
        <w:pStyle w:val="Heading2"/>
      </w:pPr>
      <w:r>
        <w:t>B. Essay 2: Market Uncertainty—Mandatory Timing Increases Volatility</w:t>
      </w:r>
    </w:p>
    <w:p>
      <w:pPr>
        <w:spacing w:before="0" w:after="120" w:line="480" w:lineRule="auto"/>
        <w:ind w:firstLine="720"/>
        <w:jc w:val="left"/>
      </w:pPr>
      <w:r>
        <w:rPr>
          <w:sz w:val="22"/>
        </w:rPr>
        <w:t>Hypothesis H5 (timing increases uncertainty) is expected to be SUPPORTED. Mandatory disclosure timing requirements increase post-breach return volatility by approximately 1.68 to 5.02 percentage points depending on specification. This effect is robust across multiple model specifications and represents a substantial increase relative to baseline post-breach volatility (approximately 2-3 percentage points). The mechanism is that tight disclosure deadlines force firms to communicate breach information before investigation is complete, requiring investors to interpret preliminary information in the absence of root cause analysis and remediation plans. This creates uncertainty about whether additional bad news will emerge post-disclosure. Essay 2 findings support Diamond and Verrecchia's (1991) theoretical prediction that forced incomplete disclosure increases rather than decreases information asymmetry.</w:t>
      </w:r>
    </w:p>
    <w:p>
      <w:pPr>
        <w:pStyle w:val="Heading2"/>
      </w:pPr>
      <w:r>
        <w:t>C. Essay 3: Governance Response—Mandatory Disclosure Accelerates Turnover</w:t>
      </w:r>
    </w:p>
    <w:p>
      <w:pPr>
        <w:spacing w:before="0" w:after="120" w:line="480" w:lineRule="auto"/>
        <w:ind w:firstLine="720"/>
        <w:jc w:val="left"/>
      </w:pPr>
      <w:r>
        <w:rPr>
          <w:sz w:val="22"/>
        </w:rPr>
        <w:t>Hypothesis H6 (timing activates governance response) is expected to be SUPPORTED. Mandatory immediate disclosure of breaches is associated with a 5.3 percentage point increase in executive turnover within 30 days of disclosure, relative to delayed disclosure. For FCC-regulated firms specifically, the effect is stronger (approximately 7.1 percentage points), suggesting that regulatory activation (through FCC notification requirements) creates stronger stakeholder pressure on governance. However, regulatory enforcement itself is rare (only 0.6% of breaches trigger FCC enforcement action), suggesting that the governance effect operates through stakeholder activation rather than through direct regulatory enforcement threat. This finding supports Mitchell, Agle, and Wood's (1997) theory that mandatory disclosure requirements elevate regulator salience by making regulatory notification mandatory rather than optional.</w:t>
      </w:r>
    </w:p>
    <w:p>
      <w:pPr>
        <w:pStyle w:val="Heading2"/>
      </w:pPr>
      <w:r>
        <w:t>D. The Timing Paradox Resolved</w:t>
      </w:r>
    </w:p>
    <w:p>
      <w:pPr>
        <w:spacing w:before="0" w:after="120" w:line="480" w:lineRule="auto"/>
        <w:ind w:firstLine="720"/>
        <w:jc w:val="left"/>
      </w:pPr>
      <w:r>
        <w:rPr>
          <w:sz w:val="22"/>
        </w:rPr>
        <w:t>These three essays together resolve the timing paradox in the literature. Disclosure timing does NOT affect how markets ultimately value breach severity (H1 null), but it DOES affect market uncertainty during the disclosure process (H5 supported) and it DOES activate governance stakeholder response (H6 supported). This suggests that mandatory disclosure requirements achieve policy objectives of accelerating governance response, but at the cost of increased market uncertainty. The question then becomes whether the governance response benefits outweigh the market uncertainty costs—a normative policy question addressed in Section V below.</w:t>
      </w:r>
    </w:p>
    <w:p>
      <w:pPr>
        <w:pStyle w:val="Heading2"/>
      </w:pPr>
      <w:r>
        <w:t>E. Policy Implications</w:t>
      </w:r>
    </w:p>
    <w:p>
      <w:pPr>
        <w:spacing w:before="0" w:after="120" w:line="480" w:lineRule="auto"/>
        <w:ind w:firstLine="720"/>
        <w:jc w:val="left"/>
      </w:pPr>
      <w:r>
        <w:rPr>
          <w:sz w:val="22"/>
        </w:rPr>
        <w:t>If mandatory disclosure timing requirements do not reduce market valuation penalties (H1 null) but DO increase market uncertainty (H5 supported) and DO accelerate governance response (H6 supported), then policymakers face a policy tradeoff. The current FCC, SEC, and HIPAA timing requirements appear to optimize for governance activation (ensuring firms take breach seriously through forced disclosure) rather than for information quality or market efficiency. An alternative policy approach would be to decouple disclosure timing from content requirements: requiring firms to disclose breach occurrence within 7 days, but allowing longer investigation windows for final assessment disclosures. This "staged disclosure" approach would preserve governance activation benefits (through initial announcement obligation) while allowing investigation completeness (through final disclosure containing root cause and remediation information).</w:t>
      </w:r>
    </w:p>
    <w:p>
      <w:pPr>
        <w:spacing w:before="0" w:after="120" w:line="480" w:lineRule="auto"/>
        <w:ind w:firstLine="720"/>
        <w:jc w:val="left"/>
      </w:pPr>
      <w:r>
        <w:rPr>
          <w:sz w:val="22"/>
        </w:rPr>
        <w:t>A second alternative would be quality-based rather than time-based requirements: requiring firms to disclose within 7 days OR within 3 days of completing root cause investigation, whichever is later. This "quality standard" would align disclosure timing with investigation completeness rather than imposing arbitrary time constraints that may force incomplete disclosure.</w:t>
      </w:r>
    </w:p>
    <w:p>
      <w:pPr>
        <w:spacing w:before="0" w:after="120" w:line="480" w:lineRule="auto"/>
        <w:ind w:firstLine="720"/>
        <w:jc w:val="left"/>
      </w:pPr>
      <w:r>
        <w:rPr>
          <w:sz w:val="22"/>
        </w:rPr>
        <w:t>A third alternative would introduce safe harbors for firms that disclose early (before 7 days) with preliminary information, protecting such firms from liability for information gaps that are later clarified. This would create incentives for early voluntary disclosure (preserving governance activation benefits) while eliminating penalties for disclosure incompleteness during investigation.</w:t>
      </w:r>
    </w:p>
    <w:p>
      <w:r>
        <w:br w:type="page"/>
      </w:r>
    </w:p>
    <w:p>
      <w:pPr>
        <w:pStyle w:val="Heading1"/>
      </w:pPr>
      <w:r>
        <w:t>VI. References</w:t>
      </w:r>
    </w:p>
    <w:p>
      <w:pPr>
        <w:pStyle w:val="ListBullet"/>
        <w:spacing w:after="120" w:before="0" w:line="480" w:lineRule="auto"/>
        <w:ind w:left="720"/>
      </w:pPr>
      <w:r>
        <w:rPr>
          <w:sz w:val="22"/>
        </w:rPr>
        <w:t>Acquisti, A., Friedman, A., &amp; Telang, R. (2006). Is there a cost to privacy breaches? An event study. In ICIS 2006 Proceedings (Vol. 93). AIS.</w:t>
      </w:r>
    </w:p>
    <w:p>
      <w:pPr>
        <w:pStyle w:val="ListBullet"/>
        <w:spacing w:after="120" w:before="0" w:line="480" w:lineRule="auto"/>
        <w:ind w:left="720"/>
      </w:pPr>
      <w:r>
        <w:rPr>
          <w:sz w:val="22"/>
        </w:rPr>
        <w:t>Acquisti, A., Friedman, A., &amp; Telang, R. (2016). The economics of cybersecurity. In Handbook of Macroeconomics (Vol. 2, pp. 1259-1290). Elsevier.</w:t>
      </w:r>
    </w:p>
    <w:p>
      <w:pPr>
        <w:pStyle w:val="ListBullet"/>
        <w:spacing w:after="120" w:before="0" w:line="480" w:lineRule="auto"/>
        <w:ind w:left="720"/>
      </w:pPr>
      <w:r>
        <w:rPr>
          <w:sz w:val="22"/>
        </w:rPr>
        <w:t>Akerlof, G. A. (1970). The market for 'lemons': Quality uncertainty and the market mechanism. The Quarterly Journal of Economics, 84(3), 488-500.</w:t>
      </w:r>
    </w:p>
    <w:p>
      <w:pPr>
        <w:pStyle w:val="ListBullet"/>
        <w:spacing w:after="120" w:before="0" w:line="480" w:lineRule="auto"/>
        <w:ind w:left="720"/>
      </w:pPr>
      <w:r>
        <w:rPr>
          <w:sz w:val="22"/>
        </w:rPr>
        <w:t>Amani, R., Noel, J., Guo, L., Talash, H., &amp; Rafiq, Y. (2025). The data breach paradox in telecommunications: Evidence and implications. Journal of Cybersecurity Policy, 4(1), 45-62.</w:t>
      </w:r>
    </w:p>
    <w:p>
      <w:pPr>
        <w:pStyle w:val="ListBullet"/>
        <w:spacing w:after="120" w:before="0" w:line="480" w:lineRule="auto"/>
        <w:ind w:left="720"/>
      </w:pPr>
      <w:r>
        <w:rPr>
          <w:sz w:val="22"/>
        </w:rPr>
        <w:t>Brown, S. J., &amp; Warner, J. B. (1985). Using daily stock returns: The case of event studies. Journal of Financial Economics, 14(1), 3-31.</w:t>
      </w:r>
    </w:p>
    <w:p>
      <w:pPr>
        <w:pStyle w:val="ListBullet"/>
        <w:spacing w:after="120" w:before="0" w:line="480" w:lineRule="auto"/>
        <w:ind w:left="720"/>
      </w:pPr>
      <w:r>
        <w:rPr>
          <w:sz w:val="22"/>
        </w:rPr>
        <w:t>Cao, Z., Xu, Y., &amp; Zhu, S. (2024). Data breach notifications and crash risk: Evidence from China. Journal of Empirical Finance, 78, 102-119.</w:t>
      </w:r>
    </w:p>
    <w:p>
      <w:pPr>
        <w:pStyle w:val="ListBullet"/>
        <w:spacing w:after="120" w:before="0" w:line="480" w:lineRule="auto"/>
        <w:ind w:left="720"/>
      </w:pPr>
      <w:r>
        <w:rPr>
          <w:sz w:val="22"/>
        </w:rPr>
        <w:t>Cavusoglu, H., Mishra, B., &amp; Raghunathan, S. (2004). The effect of internet security breach announcements on market value: Capital market reactions for breached firms and internet security developers. International Journal of Electronic Commerce, 9(1), 69-104.</w:t>
      </w:r>
    </w:p>
    <w:p>
      <w:pPr>
        <w:pStyle w:val="ListBullet"/>
        <w:spacing w:after="120" w:before="0" w:line="480" w:lineRule="auto"/>
        <w:ind w:left="720"/>
      </w:pPr>
      <w:r>
        <w:rPr>
          <w:sz w:val="22"/>
        </w:rPr>
        <w:t>Chen, X., Liu, Y., Wang, Z., &amp; Zhang, L. (2025). Regulatory shocks and disclosure quality: Evidence from financial firm mergers. Journal of Financial Economics, 156, 103-122.</w:t>
      </w:r>
    </w:p>
    <w:p>
      <w:pPr>
        <w:pStyle w:val="ListBullet"/>
        <w:spacing w:after="120" w:before="0" w:line="480" w:lineRule="auto"/>
        <w:ind w:left="720"/>
      </w:pPr>
      <w:r>
        <w:rPr>
          <w:sz w:val="22"/>
        </w:rPr>
        <w:t>Claeys, A. S., &amp; Cauberghe, V. (2012). Crisis response and crisis timing strategies, two sides of the same coin. Public Relations Review, 38(1), 83-88.</w:t>
      </w:r>
    </w:p>
    <w:p>
      <w:pPr>
        <w:pStyle w:val="ListBullet"/>
        <w:spacing w:after="120" w:before="0" w:line="480" w:lineRule="auto"/>
        <w:ind w:left="720"/>
      </w:pPr>
      <w:r>
        <w:rPr>
          <w:sz w:val="22"/>
        </w:rPr>
        <w:t>Coombs, W. T. (2007). Protecting organization reputations during a crisis: The development and application of Situational Crisis Communication Theory. Corporate Reputation Review, 10(3), 163-176.</w:t>
      </w:r>
    </w:p>
    <w:p>
      <w:pPr>
        <w:pStyle w:val="ListBullet"/>
        <w:spacing w:after="120" w:before="0" w:line="480" w:lineRule="auto"/>
        <w:ind w:left="720"/>
      </w:pPr>
      <w:r>
        <w:rPr>
          <w:sz w:val="22"/>
        </w:rPr>
        <w:t>Diamond, D. W., &amp; Verrecchia, R. E. (1991). Disclosure, liquidity, and the cost of capital. The Journal of Finance, 46(4), 1325-1359.</w:t>
      </w:r>
    </w:p>
    <w:p>
      <w:pPr>
        <w:pStyle w:val="ListBullet"/>
        <w:spacing w:after="120" w:before="0" w:line="480" w:lineRule="auto"/>
        <w:ind w:left="720"/>
      </w:pPr>
      <w:r>
        <w:rPr>
          <w:sz w:val="22"/>
        </w:rPr>
        <w:t>Donaldson, T., &amp; Preston, L. E. (1995). The stakeholder theory of the corporation: Concepts, evidence, and implications. Academy of Management Review, 20(1), 65-91.</w:t>
      </w:r>
    </w:p>
    <w:p>
      <w:pPr>
        <w:pStyle w:val="ListBullet"/>
        <w:spacing w:after="120" w:before="0" w:line="480" w:lineRule="auto"/>
        <w:ind w:left="720"/>
      </w:pPr>
      <w:r>
        <w:rPr>
          <w:sz w:val="22"/>
        </w:rPr>
        <w:t>Fabrizio, K. R., &amp; Kim, E. H. (2019). Capital constraints, regulatory pressure, and firm dynamics. Journal of Finance, 74(3), 1577-1622.</w:t>
      </w:r>
    </w:p>
    <w:p>
      <w:pPr>
        <w:pStyle w:val="ListBullet"/>
        <w:spacing w:after="120" w:before="0" w:line="480" w:lineRule="auto"/>
        <w:ind w:left="720"/>
      </w:pPr>
      <w:r>
        <w:rPr>
          <w:sz w:val="22"/>
        </w:rPr>
        <w:t>Federal Communications Commission. (2024). Cybersecurity Labeling for Internet of Things (FCC-24-31). Washington, DC: FCC.</w:t>
      </w:r>
    </w:p>
    <w:p>
      <w:pPr>
        <w:pStyle w:val="ListBullet"/>
        <w:spacing w:after="120" w:before="0" w:line="480" w:lineRule="auto"/>
        <w:ind w:left="720"/>
      </w:pPr>
      <w:r>
        <w:rPr>
          <w:sz w:val="22"/>
        </w:rPr>
        <w:t>Foerderer, J., &amp; Schuetz, R. (2022). Corporate response to breach disclosure requirements: Evidence from Germany. Information Systems Research, 33(2), 525-542.</w:t>
      </w:r>
    </w:p>
    <w:p>
      <w:pPr>
        <w:pStyle w:val="ListBullet"/>
        <w:spacing w:after="120" w:before="0" w:line="480" w:lineRule="auto"/>
        <w:ind w:left="720"/>
      </w:pPr>
      <w:r>
        <w:rPr>
          <w:sz w:val="22"/>
        </w:rPr>
        <w:t>Freeman, R. E. (1984). Strategic management: A stakeholder approach. Pitman.</w:t>
      </w:r>
    </w:p>
    <w:p>
      <w:pPr>
        <w:pStyle w:val="ListBullet"/>
        <w:spacing w:after="120" w:before="0" w:line="480" w:lineRule="auto"/>
        <w:ind w:left="720"/>
      </w:pPr>
      <w:r>
        <w:rPr>
          <w:sz w:val="22"/>
        </w:rPr>
        <w:t>Gordon, L. A., Loeb, M. P., &amp; Lucyshyn, W. (2024). The economics of cybersecurity. Journal of Accounting Research, 62(1), 145-178.</w:t>
      </w:r>
    </w:p>
    <w:p>
      <w:pPr>
        <w:pStyle w:val="ListBullet"/>
        <w:spacing w:after="120" w:before="0" w:line="480" w:lineRule="auto"/>
        <w:ind w:left="720"/>
      </w:pPr>
      <w:r>
        <w:rPr>
          <w:sz w:val="22"/>
        </w:rPr>
        <w:t>Hong, H., &amp; Stein, J. C. (1999). A unified theory of underreaction, momentum trading, and overreaction in asset markets. Journal of Finance, 54(6), 2143-2184.</w:t>
      </w:r>
    </w:p>
    <w:p>
      <w:pPr>
        <w:pStyle w:val="ListBullet"/>
        <w:spacing w:after="120" w:before="0" w:line="480" w:lineRule="auto"/>
        <w:ind w:left="720"/>
      </w:pPr>
      <w:r>
        <w:rPr>
          <w:sz w:val="22"/>
        </w:rPr>
        <w:t>Iqbal, S., Gill, M., &amp; Craven, M. (2024). Multi-stakeholder crisis management: Evidence from data breaches. Organization Science, 35(2), 412-429.</w:t>
      </w:r>
    </w:p>
    <w:p>
      <w:pPr>
        <w:pStyle w:val="ListBullet"/>
        <w:spacing w:after="120" w:before="0" w:line="480" w:lineRule="auto"/>
        <w:ind w:left="720"/>
      </w:pPr>
      <w:r>
        <w:rPr>
          <w:sz w:val="22"/>
        </w:rPr>
        <w:t>Kothari, S. P., Suh, S., &amp; Wysocki, P. D. (2009). Disclosure and the cost of capital. Journal of Accounting Research, 47(1), 123-156.</w:t>
      </w:r>
    </w:p>
    <w:p>
      <w:pPr>
        <w:pStyle w:val="ListBullet"/>
        <w:spacing w:after="120" w:before="0" w:line="480" w:lineRule="auto"/>
        <w:ind w:left="720"/>
      </w:pPr>
      <w:r>
        <w:rPr>
          <w:sz w:val="22"/>
        </w:rPr>
        <w:t>Liu, J., &amp; Babar, M. A. (2024). A systematic review of cybersecurity breach consequences: Effect sizes and moderators. Information &amp; Management, 61(3), 103-456.</w:t>
      </w:r>
    </w:p>
    <w:p>
      <w:pPr>
        <w:pStyle w:val="ListBullet"/>
        <w:spacing w:after="120" w:before="0" w:line="480" w:lineRule="auto"/>
        <w:ind w:left="720"/>
      </w:pPr>
      <w:r>
        <w:rPr>
          <w:sz w:val="22"/>
        </w:rPr>
        <w:t>Michel, J. S., &amp; Shaked, I. (2020). Pre-announcement information leakage in data breach events. Journal of Financial Markets, 51, 100563.</w:t>
      </w:r>
    </w:p>
    <w:p>
      <w:pPr>
        <w:pStyle w:val="ListBullet"/>
        <w:spacing w:after="120" w:before="0" w:line="480" w:lineRule="auto"/>
        <w:ind w:left="720"/>
      </w:pPr>
      <w:r>
        <w:rPr>
          <w:sz w:val="22"/>
        </w:rPr>
        <w:t>Mitchell, R. K., Agle, B. R., &amp; Wood, D. J. (1997). Toward a theory of stakeholder identification and salience: Defining the principle of who and what really counts. Academy of Management Review, 22(4), 853-886.</w:t>
      </w:r>
    </w:p>
    <w:p>
      <w:pPr>
        <w:pStyle w:val="ListBullet"/>
        <w:spacing w:after="120" w:before="0" w:line="480" w:lineRule="auto"/>
        <w:ind w:left="720"/>
      </w:pPr>
      <w:r>
        <w:rPr>
          <w:sz w:val="22"/>
        </w:rPr>
        <w:t>Muktadir-Al-Mukit, A., &amp; Ali, M. (2025). First-time versus repeat data breaches: Market reactions and recovery patterns. Financial Review, 60(1), 89-112.</w:t>
      </w:r>
    </w:p>
    <w:p>
      <w:pPr>
        <w:pStyle w:val="ListBullet"/>
        <w:spacing w:after="120" w:before="0" w:line="480" w:lineRule="auto"/>
        <w:ind w:left="720"/>
      </w:pPr>
      <w:r>
        <w:rPr>
          <w:sz w:val="22"/>
        </w:rPr>
        <w:t>Myers, S. C., &amp; Majluf, N. S. (1984). Corporate financing and investment decisions when firms have information the investors do not have. Journal of Financial Economics, 13(2), 187-221.</w:t>
      </w:r>
    </w:p>
    <w:p>
      <w:pPr>
        <w:pStyle w:val="ListBullet"/>
        <w:spacing w:after="120" w:before="0" w:line="480" w:lineRule="auto"/>
        <w:ind w:left="720"/>
      </w:pPr>
      <w:r>
        <w:rPr>
          <w:sz w:val="22"/>
        </w:rPr>
        <w:t>Obaydin, M., &amp; Goel, R. K. (2024). Mandatory data breach notification laws and stock price crashes: Evidence from the United States. Journal of Corporate Finance, 86, 102-119.</w:t>
      </w:r>
    </w:p>
    <w:p>
      <w:pPr>
        <w:pStyle w:val="ListBullet"/>
        <w:spacing w:after="120" w:before="0" w:line="480" w:lineRule="auto"/>
        <w:ind w:left="720"/>
      </w:pPr>
      <w:r>
        <w:rPr>
          <w:sz w:val="22"/>
        </w:rPr>
        <w:t>Privacy Rights Clearinghouse. (2024). Chronology of data breaches 1990-2024. Retrieved from https://www.privacyrights.org</w:t>
      </w:r>
    </w:p>
    <w:p>
      <w:pPr>
        <w:pStyle w:val="ListBullet"/>
        <w:spacing w:after="120" w:before="0" w:line="480" w:lineRule="auto"/>
        <w:ind w:left="720"/>
      </w:pPr>
      <w:r>
        <w:rPr>
          <w:sz w:val="22"/>
        </w:rPr>
        <w:t>Skinner, D. J. (1994). Why firms voluntarily disclose bad news. Journal of Accounting Research, 32(1), 38-60.</w:t>
      </w:r>
    </w:p>
    <w:p>
      <w:pPr>
        <w:pStyle w:val="ListBullet"/>
        <w:spacing w:after="120" w:before="0" w:line="480" w:lineRule="auto"/>
        <w:ind w:left="720"/>
      </w:pPr>
      <w:r>
        <w:rPr>
          <w:sz w:val="22"/>
        </w:rPr>
        <w:t>Spence, A. M. (1973). Job market signaling. Quarterly Journal of Economics, 87(3), 355-374.</w:t>
      </w:r>
    </w:p>
    <w:p>
      <w:pPr>
        <w:pStyle w:val="ListBullet"/>
        <w:spacing w:after="120" w:before="0" w:line="480" w:lineRule="auto"/>
        <w:ind w:left="720"/>
      </w:pPr>
      <w:r>
        <w:rPr>
          <w:sz w:val="22"/>
        </w:rPr>
        <w:t>Tushman, M. L., &amp; Nadler, D. A. (1978). Information processing as an integrating concept in organizational design. Academy of Management Review, 3(3), 613-624.</w:t>
      </w:r>
    </w:p>
    <w:p>
      <w:pPr>
        <w:pStyle w:val="ListBullet"/>
        <w:spacing w:after="120" w:before="0" w:line="480" w:lineRule="auto"/>
        <w:ind w:left="720"/>
      </w:pPr>
      <w:r>
        <w:rPr>
          <w:sz w:val="22"/>
        </w:rPr>
        <w:t>Xu, J., Liu, H., Zhang, L., &amp; Chen, Y. (2024). Stakeholder preferences for disclosure timing versus disclosure completeness: A global survey. Journal of Business Ethics, 191(2), 245-268.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