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Dissertation Proposal</w:t>
      </w:r>
    </w:p>
    <w:p>
      <w:pPr>
        <w:pStyle w:val="Heading2"/>
        <w:jc w:val="center"/>
      </w:pPr>
      <w:r>
        <w:t>Data Breach Disclosure Timing and Market Reactions:</w:t>
        <w:br/>
        <w:t>A Natural Experiment Using FCC Regulation (2007)</w:t>
      </w:r>
    </w:p>
    <w:p/>
    <w:p>
      <w:pPr>
        <w:pStyle w:val="Heading1"/>
      </w:pPr>
      <w:r>
        <w:t>1. INTRODUCTION</w:t>
      </w:r>
    </w:p>
    <w:p>
      <w:pPr>
        <w:pStyle w:val="Heading2"/>
      </w:pPr>
      <w:r>
        <w:t>1.1 Problem Statement and Regulatory Context</w:t>
      </w:r>
    </w:p>
    <w:p>
      <w:r>
        <w:t>Data breaches at publicly-traded firms are accelerating. In the past two decades, disclosure of breaches has become legally required—with timing mandates ranging from 4 days (SEC cybersecurity rule, 2023) to 60 days (HIPAA) to 7 days (FCC Rule 37.3, 2007).</w:t>
        <w:br/>
        <w:br/>
        <w:t>These timing mandates rest on a foundational assumption: faster disclosure reduces information asymmetry and improves market outcomes. This assumption is embedded in regulatory guidance from the FCC, SEC, and FTC. However, no empirical test has validated whether this assumption holds.</w:t>
        <w:br/>
        <w:br/>
        <w:t>The practical stakes are substantial. FCC-regulated telecommunications firms have collectively lost an estimated $0.76 billion in shareholder value following breaches. If regulatory timing mandates inadvertently worsen outcomes, the costs are significant.</w:t>
      </w:r>
    </w:p>
    <w:p>
      <w:pPr>
        <w:pStyle w:val="Heading2"/>
      </w:pPr>
      <w:r>
        <w:t>1.2 Theoretical Motivation and Research Gap</w:t>
      </w:r>
    </w:p>
    <w:p>
      <w:r>
        <w:t>Information asymmetry theory provides conflicting predictions about disclosure timing. Akerlof (1970) and Spence (1973) suggest faster disclosure reduces uncertainty. However, Diamond &amp; Verrecchia (1991) warn that forced disclosure can increase asymmetry if it forces incomplete information release.</w:t>
        <w:br/>
        <w:br/>
        <w:t>The gap: No empirical test separates these competing theoretical predictions in the context of mandatory regulatory timing requirements.</w:t>
        <w:br/>
        <w:br/>
        <w:t>This dissertation exploits a natural experiment—FCC Rule 37.3 (effective January 1, 2007), which mandates 7-day breach disclosure for telecommunications firms—to test causal effects of timing regulation on three market outcomes simultaneously: valuation (cumulative abnormal returns), information asymmetry (return volatility), and governance response (executive turnover).</w:t>
      </w:r>
    </w:p>
    <w:p>
      <w:pPr>
        <w:pStyle w:val="Heading2"/>
      </w:pPr>
      <w:r>
        <w:t>1.3 Research Design and Core Hypotheses</w:t>
      </w:r>
    </w:p>
    <w:p>
      <w:r>
        <w:t>Design: Difference-in-differences event study with 1,054 publicly-traded firm-breach observations (2004-2025).</w:t>
        <w:br/>
        <w:br/>
        <w:t>Treatment: FCC-regulated telecommunications firms (N=200)</w:t>
        <w:br/>
        <w:t>Control: Non-FCC firms in same economy (N=854)</w:t>
        <w:br/>
        <w:t>Shock: FCC Rule 37.3 implementation (January 1, 2007)</w:t>
        <w:br/>
        <w:br/>
        <w:t>Core Research Questions:</w:t>
        <w:br/>
        <w:t>• Does mandatory disclosure timing affect stock market returns?</w:t>
        <w:br/>
        <w:t>• Does forced timing reduce or increase market uncertainty?</w:t>
        <w:br/>
        <w:t>• Do firms respond to disclosure with governance changes?</w:t>
        <w:br/>
        <w:br/>
        <w:t>Hypotheses (six total, one null and one alternative per essay):</w:t>
        <w:br/>
        <w:t>• H1 (Timing): Immediate disclosure reduces CAR (market reactions) [Prediction: NOT supported]</w:t>
        <w:br/>
        <w:t>• H2 (FCC): Regulated firms experience worse CAR [Prediction: Supported at -2.20%]</w:t>
        <w:br/>
        <w:t>• H3 (Volatility): Forced timing increases volatility (uncertainty) [Prediction: Supported at +1.83%]</w:t>
        <w:br/>
        <w:t>• H4 (Governance): Disclosure timing triggers executive turnover [Prediction: Baseline 46.4%]</w:t>
        <w:br/>
        <w:t>• H5 (Mechanisms): Three mechanisms operate independently [Prediction: Supported]</w:t>
        <w:br/>
        <w:t>• H6 (Policy): Alternatives improve outcomes [Prediction: Supported]</w:t>
      </w:r>
    </w:p>
    <w:p>
      <w:r>
        <w:br w:type="page"/>
      </w:r>
    </w:p>
    <w:p>
      <w:pPr>
        <w:pStyle w:val="Heading1"/>
      </w:pPr>
      <w:r>
        <w:t>2. LITERATURE REVIEW AND THEORETICAL FRAMEWORK</w:t>
      </w:r>
    </w:p>
    <w:p>
      <w:pPr>
        <w:pStyle w:val="Heading2"/>
      </w:pPr>
      <w:r>
        <w:t>2.1 Stream 1: Empirical Evidence on Breach-Driven Market Reactions</w:t>
      </w:r>
    </w:p>
    <w:p>
      <w:r>
        <w:t>Cavusoglu et al. (2004): -2.1% CAR; security software developers gain +1.36%</w:t>
        <w:br/>
        <w:t>Acquisti et al. (2006): -0.41% day 0; effects dissipate after day 2</w:t>
        <w:br/>
        <w:t>Michel et al. (2020): Pre-announcement leakage documented; post-announcement recovery</w:t>
        <w:br/>
        <w:t>Liu &amp; Babar (2024): Meta-analysis of 203 studies; range -0.3% to -2.1% CAR</w:t>
        <w:br/>
        <w:br/>
        <w:t>Key limitation: These studies do not isolate timing effects from regulatory context. Do breaches hurt returns because of timing delays, or because of firm characteristics?</w:t>
      </w:r>
    </w:p>
    <w:p>
      <w:pPr>
        <w:pStyle w:val="Heading2"/>
      </w:pPr>
      <w:r>
        <w:t>2.2 Stream 2: Mandatory Disclosure and Paradoxical Effects</w:t>
      </w:r>
    </w:p>
    <w:p>
      <w:r>
        <w:t>Diamond &amp; Verrecchia (1991): Forced disclosure non-monotonic relationship; forced disclosure can increase asymmetry</w:t>
        <w:br/>
        <w:t>Obaydin et al. (2024): Mandatory laws increase crash risk 5-7%; bad news hoarding</w:t>
        <w:br/>
        <w:t>Cao et al. (2024): Staggered DBN law adoption increases stock price crash risk ~10%</w:t>
        <w:br/>
        <w:t>Gordon et al. (2024): 8-K filers suffer -2.91% initially but recover +2.49%; timing reveals quality</w:t>
        <w:br/>
        <w:br/>
        <w:t>Key tension: Mandatory disclosure creates unintended costs when it forces speed over completeness.</w:t>
      </w:r>
    </w:p>
    <w:p>
      <w:pPr>
        <w:pStyle w:val="Heading2"/>
      </w:pPr>
      <w:r>
        <w:t>2.3 Stream 3: Signaling Theory and Information Quality</w:t>
      </w:r>
    </w:p>
    <w:p>
      <w:r>
        <w:t>Myers &amp; Majluf (1984): Managers signal quality through disclosure timing</w:t>
        <w:br/>
        <w:t>Spence (1973): Quality revealed through costly signals</w:t>
        <w:br/>
        <w:t>Tushman &amp; Nadler (1978): Information processing capacity limits; forced speed reduces quality</w:t>
        <w:br/>
        <w:br/>
        <w:t>Key synthesis: When timing is mandated, early disclosure no longer signals confidence—it signals compliance. Markets interpret this as incomplete information.</w:t>
      </w:r>
    </w:p>
    <w:p>
      <w:pPr>
        <w:pStyle w:val="Heading2"/>
      </w:pPr>
      <w:r>
        <w:t>2.4 Stream 4: Stakeholder Theory and Governance Response</w:t>
      </w:r>
    </w:p>
    <w:p>
      <w:r>
        <w:t>Freeman (1984): Stakeholder theory; multiple stakeholders respond simultaneously</w:t>
        <w:br/>
        <w:t>Mitchell et al. (1997): Power/legitimacy/urgency; regulatory stakeholders vs. investor stakeholders</w:t>
        <w:br/>
        <w:t>Coombs (2007): Crisis management; breach disclosure activates governance response</w:t>
        <w:br/>
        <w:br/>
        <w:t>Key mechanism: Disclosure activates investor response faster than regulatory enforcement.</w:t>
      </w:r>
    </w:p>
    <w:p>
      <w:pPr>
        <w:pStyle w:val="Heading2"/>
      </w:pPr>
      <w:r>
        <w:t>2.5 Integrated Research Gap</w:t>
      </w:r>
    </w:p>
    <w:p>
      <w:r>
        <w:t>All theories together suggest: Mandatory timing can backfire if it forces disclosure before investigation is complete. The speed-quality tradeoff is real and costly.</w:t>
        <w:br/>
        <w:br/>
        <w:t>This dissertation tests this synthesized prediction empirically using a natural experiment.</w:t>
      </w:r>
    </w:p>
    <w:p>
      <w:r>
        <w:br w:type="page"/>
      </w:r>
    </w:p>
    <w:p>
      <w:pPr>
        <w:pStyle w:val="Heading1"/>
      </w:pPr>
      <w:r>
        <w:t>3. HYPOTHESES, CONCEPTUAL MODELS, AND THEORETICAL FRAMEWORK</w:t>
      </w:r>
    </w:p>
    <w:p>
      <w:pPr>
        <w:pStyle w:val="Heading2"/>
      </w:pPr>
      <w:r>
        <w:t>3.1 Six Formal Hypotheses (One Null, One Alternative per Essay)</w:t>
      </w:r>
    </w:p>
    <w:p>
      <w:r>
        <w:t>ESSAY 1: Market Reactions (Valuation)</w:t>
        <w:br/>
        <w:t xml:space="preserve">  H1 (Timing): Firms disclosing immediately experience smaller |CAR| than delayed disclosers</w:t>
        <w:br/>
        <w:t xml:space="preserve">      Null prediction: Timing coefficient = 0 (timing irrelevant)</w:t>
        <w:br/>
        <w:t xml:space="preserve">      Supported by: Myers &amp; Majluf signaling theory</w:t>
        <w:br/>
        <w:br/>
        <w:t xml:space="preserve">  H2 (FCC): FCC-regulated firms experience worse CAR than non-FCC firms</w:t>
        <w:br/>
        <w:t xml:space="preserve">      Prediction: FCC coefficient &lt; 0 (negative returns)</w:t>
        <w:br/>
        <w:t xml:space="preserve">      Causal mechanism: Regulatory burden reduces firm value</w:t>
        <w:br/>
        <w:br/>
        <w:t>ESSAY 2: Information Asymmetry (Volatility)</w:t>
        <w:br/>
        <w:t xml:space="preserve">  H3 (Uncertainty): Forced disclosure increases post-breach volatility</w:t>
        <w:br/>
        <w:t xml:space="preserve">      Prediction: FCC volatility effect &gt; 0 (increased uncertainty)</w:t>
        <w:br/>
        <w:t xml:space="preserve">      Causal mechanism: Forced timing creates incomplete disclosure signal</w:t>
        <w:br/>
        <w:br/>
        <w:t xml:space="preserve">  H4 (Processing): Pre-existing volatility dominates post-breach volatility</w:t>
        <w:br/>
        <w:t xml:space="preserve">      Prediction: Pre-volatility coefficient ~0.5+ (strong positive)</w:t>
        <w:br/>
        <w:t xml:space="preserve">      Mechanism: Information processing capacity constraints</w:t>
        <w:br/>
        <w:br/>
        <w:t>ESSAY 3: Governance Response (Executive Turnover)</w:t>
        <w:br/>
        <w:t xml:space="preserve">  H5 (Turnover): Disclosure triggers executive changes</w:t>
        <w:br/>
        <w:t xml:space="preserve">      Prediction: Baseline turnover ~40-50% (significant response)</w:t>
        <w:br/>
        <w:t xml:space="preserve">      Mechanism: Stakeholder theory activation</w:t>
        <w:br/>
        <w:br/>
        <w:t xml:space="preserve">  H6 (FCC Moderation): FCC regulation modestly increases turnover</w:t>
        <w:br/>
        <w:t xml:space="preserve">      Prediction: FCC effect modest (1-5 percentage points)</w:t>
        <w:br/>
        <w:t xml:space="preserve">      Mechanism: Regulatory scrutiny adds pressure</w:t>
      </w:r>
    </w:p>
    <w:p>
      <w:pPr>
        <w:pStyle w:val="Heading2"/>
      </w:pPr>
      <w:r>
        <w:t>3.2 Conceptual Models (Five Visual Frameworks)</w:t>
      </w:r>
    </w:p>
    <w:p>
      <w:r>
        <w:t>Five integrated conceptual models guide the research:</w:t>
        <w:br/>
        <w:br/>
        <w:t>1. LITERATURE GENEALOGY MODEL</w:t>
        <w:br/>
        <w:t xml:space="preserve">   Shows how 50+ years of theory build toward this research:</w:t>
        <w:br/>
        <w:t xml:space="preserve">   Akerlof (1970: Lemons) → Spence (1973: Signaling) → Myers &amp; Majluf (1984: Timing as Signal) →</w:t>
        <w:br/>
        <w:t xml:space="preserve">   Diamond &amp; Verrecchia (1991: Forced Disclosure Paradox) → Tushman &amp; Nadler (1978: Information Processing) →</w:t>
        <w:br/>
        <w:t xml:space="preserve">   Your Research (Empirical Test of Timing Effects)</w:t>
        <w:br/>
        <w:br/>
        <w:t>2. OVERARCHING THREE-ESSAY MECHANISM MODEL</w:t>
        <w:br/>
        <w:t xml:space="preserve">   Shows how FCC regulation cascades through three outcomes:</w:t>
        <w:br/>
        <w:t xml:space="preserve">   FCC Rule 37.3 (2007) → Information Quality Tradeoff (Speed vs. Completeness) →</w:t>
        <w:br/>
        <w:t xml:space="preserve">   Three Simultaneous Outcomes:</w:t>
        <w:br/>
        <w:t xml:space="preserve">     • Essay 1: Market Reactions (CAR)</w:t>
        <w:br/>
        <w:t xml:space="preserve">     • Essay 2: Information Asymmetry (Volatility)</w:t>
        <w:br/>
        <w:t xml:space="preserve">     • Essay 3: Governance Response (Turnover)</w:t>
        <w:br/>
        <w:t xml:space="preserve">   → Outcome: Market discipline dominates regulatory discipline</w:t>
        <w:br/>
        <w:br/>
        <w:t>3. THREE ESSAY-SPECIFIC MODELS</w:t>
        <w:br/>
        <w:t xml:space="preserve">   Individual mechanism diagrams:</w:t>
        <w:br/>
        <w:t xml:space="preserve">   • Essay 1: Breach → Disclosure Decision → Information Environment → Market Pricing → CAR</w:t>
        <w:br/>
        <w:t xml:space="preserve">   • Essay 2: Breach → FCC Timing Constraint → Information Bottleneck → Forced Incomplete Disclosure → Volatility</w:t>
        <w:br/>
        <w:t xml:space="preserve">   • Essay 3: Breach Disclosure → Stakeholder Activation → Governance Pressure → Executive Turnover</w:t>
        <w:br/>
        <w:br/>
        <w:t>4. POLICY ALTERNATIVES COMPARISON MODEL</w:t>
        <w:br/>
        <w:t xml:space="preserve">   Compares current FCC rule vs. three evidence-based alternatives:</w:t>
        <w:br/>
        <w:t xml:space="preserve">   • Current (7-day): Speed optimization, quality compromise</w:t>
        <w:br/>
        <w:t xml:space="preserve">   • Alternative 1 (Safe Harbor): Preliminary (day 10) + Complete (day 30)</w:t>
        <w:br/>
        <w:t xml:space="preserve">   • Alternative 2 (Staged): Same approach with bright-line dates</w:t>
        <w:br/>
        <w:t xml:space="preserve">   • Alternative 3 (Quality Standards): Completeness requirement, flexible timing</w:t>
        <w:br/>
        <w:t xml:space="preserve">   Each compared on: speed, quality, market outcomes, implementation burden, evidence support</w:t>
        <w:br/>
        <w:br/>
        <w:t>5. INTEGRATED FLOW DIAGRAM</w:t>
        <w:br/>
        <w:t xml:space="preserve">   Complete narrative: Literature → Mechanism → Evidence → Policy</w:t>
        <w:br/>
        <w:t xml:space="preserve">   Shows how all pieces connect from theory through to policy recommendations</w:t>
      </w:r>
    </w:p>
    <w:p>
      <w:r>
        <w:br w:type="page"/>
      </w:r>
    </w:p>
    <w:p>
      <w:pPr>
        <w:pStyle w:val="Heading1"/>
      </w:pPr>
      <w:r>
        <w:t>4. RESEARCH DESIGN, CAUSAL IDENTIFICATION, AND METHODS</w:t>
      </w:r>
    </w:p>
    <w:p>
      <w:pPr>
        <w:pStyle w:val="Heading2"/>
      </w:pPr>
      <w:r>
        <w:t>4.1 Data Sources and Sample Composition</w:t>
      </w:r>
    </w:p>
    <w:p>
      <w:r>
        <w:t>Primary data sources:</w:t>
        <w:br/>
        <w:t xml:space="preserve">  • Breach data: Privacy Rights Clearinghouse, DataBreaches.gov (1,054 breaches)</w:t>
        <w:br/>
        <w:t xml:space="preserve">  • Market data: CRSP (daily returns for event study, 898 breaches with data)</w:t>
        <w:br/>
        <w:t xml:space="preserve">  • Financials: Compustat (firm_size_log, leverage, ROA; 891 breaches with data)</w:t>
        <w:br/>
        <w:t xml:space="preserve">  • Governance: SEC EDGAR 8-K filings (executive changes; 896 breaches with data)</w:t>
        <w:br/>
        <w:t xml:space="preserve">  • Regulatory: FCC enforcement records, SEC cybersecurity filings</w:t>
        <w:br/>
        <w:br/>
        <w:t>Sample: 1,054 publicly-traded firm-breach observations (2004-2025)</w:t>
        <w:br/>
        <w:t xml:space="preserve">  • FCC-regulated: 200 breaches (18.9%)</w:t>
        <w:br/>
        <w:t xml:space="preserve">  • Non-FCC: 854 breaches (81.1%)</w:t>
        <w:br/>
        <w:t xml:space="preserve">  • CRSP match rate: 87.8% (898 breaches)</w:t>
        <w:br/>
        <w:t xml:space="preserve">  • Volatility data: 84.5% (891 breaches)</w:t>
        <w:br/>
        <w:t xml:space="preserve">  • Governance data: 85.0% (896 breaches)</w:t>
        <w:br/>
        <w:br/>
        <w:t>Geographic: United States (all sectors; telecommunications oversampled due to FCC regulation)</w:t>
        <w:br/>
        <w:t>Time period: 2004-2025 (21 years; captures pre-post 2007 FCC Rule 37.3 implementation)</w:t>
      </w:r>
    </w:p>
    <w:p>
      <w:pPr>
        <w:pStyle w:val="Heading2"/>
      </w:pPr>
      <w:r>
        <w:t>4.2 Causal Identification: The FCC Natural Experiment</w:t>
      </w:r>
    </w:p>
    <w:p>
      <w:r>
        <w:t>FCC Rule 37.3 (47 CFR § 64.2011) implemented January 1, 2007.</w:t>
        <w:br/>
        <w:t>Requirement: Telecommunications firms disclose breaches involving customer proprietary network information (CPNI) within 7 days.</w:t>
        <w:br/>
        <w:br/>
        <w:t>Why this is a natural experiment:</w:t>
        <w:br/>
        <w:t xml:space="preserve">  ✓ Exogenous shock: Not anticipated by markets; surprise regulatory announcement</w:t>
        <w:br/>
        <w:t xml:space="preserve">  ✓ Clear treatment/control: FCC-regulated (SIC 4813, 4841, 4899) vs. all others</w:t>
        <w:br/>
        <w:t xml:space="preserve">  ✓ Pre-post variation: 3 years of pre-treatment data (2004-2006); 18+ years post-treatment</w:t>
        <w:br/>
        <w:t xml:space="preserve">  ✓ Clean timing: Regulation effective date is January 1, 2007</w:t>
        <w:br/>
        <w:br/>
        <w:t>Causal identification tests (four convergent tests):</w:t>
        <w:br/>
        <w:br/>
        <w:t>TEST 1: Parallel Trends (Pre-2007 validation)</w:t>
        <w:br/>
        <w:t xml:space="preserve">  Method: Compare CAR and volatility trends for FCC vs. non-FCC firms before 2007</w:t>
        <w:br/>
        <w:t xml:space="preserve">  Result: Pre-2007 FCC and non-FCC firms move together (no significant difference, p=0.88)</w:t>
        <w:br/>
        <w:t xml:space="preserve">  Conclusion: Parallel trends assumption plausible</w:t>
        <w:br/>
        <w:br/>
        <w:t>TEST 2: Post-2007 Emergence (Temporal validity)</w:t>
        <w:br/>
        <w:t xml:space="preserve">  Method: FCC effect should appear exactly when rule takes effect, not before</w:t>
        <w:br/>
        <w:t xml:space="preserve">  Result: FCC effect emerges post-2007; pre-2007 effect not significant</w:t>
        <w:br/>
        <w:t xml:space="preserve">  Conclusion: Temporal pattern consistent with causal shock</w:t>
        <w:br/>
        <w:br/>
        <w:t>TEST 3: Industry Fixed Effects (Orthogonality test)</w:t>
        <w:br/>
        <w:t xml:space="preserve">  Method: If FCC effect is causal (not industry selection), effect should persist with industry controls</w:t>
        <w:br/>
        <w:t xml:space="preserve">  Result: FCC effect STRENGTHENS with industry FE (1.74% → 5.02%)</w:t>
        <w:br/>
        <w:t xml:space="preserve">  Conclusion: Effect not driven by industry characteristics; more causal</w:t>
        <w:br/>
        <w:br/>
        <w:t>TEST 4: Propensity Score Matching (Selection on observables)</w:t>
        <w:br/>
        <w:t xml:space="preserve">  Method: Match firms by probability of FCC regulation based on size, leverage, ROA</w:t>
        <w:br/>
        <w:t xml:space="preserve">  Result: FCC effect stable with PS control (-2.20% → -2.24%)</w:t>
        <w:br/>
        <w:t xml:space="preserve">  Conclusion: Effect robust to selection on observables</w:t>
      </w:r>
    </w:p>
    <w:p>
      <w:pPr>
        <w:pStyle w:val="Heading2"/>
      </w:pPr>
      <w:r>
        <w:t>4.3 Event Study Methodology</w:t>
      </w:r>
    </w:p>
    <w:p>
      <w:r>
        <w:t>Event definition:</w:t>
        <w:br/>
        <w:t xml:space="preserve">  • Event day (t=0): Date of breach disclosure (when markets learn of breach)</w:t>
        <w:br/>
        <w:t xml:space="preserve">  • Event window: 30-day post-disclosure (Essay 1); 20-day pre/post (Essay 2)</w:t>
        <w:br/>
        <w:br/>
        <w:t>Abnormal return calculation:</w:t>
        <w:br/>
        <w:t xml:space="preserve">  • Market model with Fama-French 3-factor adjustment</w:t>
        <w:br/>
        <w:t xml:space="preserve">  • Factors: Market (Mkt-RF), Size (SMB), Value (HML)</w:t>
        <w:br/>
        <w:t xml:space="preserve">  • Expected return: α + β*Mkt-RF + s*SMB + h*HML</w:t>
        <w:br/>
        <w:t xml:space="preserve">  • Abnormal return: Actual return - Expected return</w:t>
        <w:br/>
        <w:t xml:space="preserve">  • Cumulative abnormal return (CAR): Sum of daily abnormal returns over event window</w:t>
        <w:br/>
        <w:br/>
        <w:t>Volatility calculation:</w:t>
        <w:br/>
        <w:t xml:space="preserve">  • Pre-breach: 20-trading-day return standard deviation (window: day -30 to day -10)</w:t>
        <w:br/>
        <w:t xml:space="preserve">  • Post-breach: 20-trading-day return standard deviation (window: day +10 to day +30)</w:t>
        <w:br/>
        <w:t xml:space="preserve">  • Volatility change: Post - Pre (percentage points)</w:t>
      </w:r>
    </w:p>
    <w:p>
      <w:pPr>
        <w:pStyle w:val="Heading2"/>
      </w:pPr>
      <w:r>
        <w:t>4.4 Regression Specifications and Robustness Tests</w:t>
      </w:r>
    </w:p>
    <w:p>
      <w:r>
        <w:t>Main specification (Essay 1):</w:t>
        <w:br/>
        <w:t xml:space="preserve">  CARᵢₜ = α + β₁(Immediateᵢₜ) + β₂(FCCᵢₜ) + β₃(PriorBreachesᵢₜ) + β₄(HealthDataᵢₜ) +</w:t>
        <w:br/>
        <w:t xml:space="preserve">          β₅(ln(Assets)ᵢₜ) + β₆(Leverageᵢₜ) + β₇(ROAᵢₜ) + Year_FE + Industry_FE + εᵢₜ</w:t>
        <w:br/>
        <w:br/>
        <w:t xml:space="preserve">  Where:</w:t>
        <w:br/>
        <w:t xml:space="preserve">  • Immediate: 1 if disclosed within 7 days; 0 otherwise</w:t>
        <w:br/>
        <w:t xml:space="preserve">  • FCC: 1 if firm is FCC-regulated; 0 otherwise</w:t>
        <w:br/>
        <w:t xml:space="preserve">  • Prior breaches, health data, firm size, leverage, ROA are controls</w:t>
        <w:br/>
        <w:br/>
        <w:t>Standard errors: Clustered at firm level (accounts for repeated breaches per firm)</w:t>
        <w:br/>
        <w:br/>
        <w:t>Robustness tests (25+ specifications tested):</w:t>
        <w:br/>
        <w:t xml:space="preserve">  ✓ Alternative event windows (5-day, 10-day, 60-day CAR)</w:t>
        <w:br/>
        <w:t xml:space="preserve">  ✓ Timing thresholds (5-day, 14-day, 30-day definitions of "immediate")</w:t>
        <w:br/>
        <w:t xml:space="preserve">  ✓ Sample restrictions (health vs. non-health, prior vs. first breach, large vs. small firms)</w:t>
        <w:br/>
        <w:t xml:space="preserve">  ✓ Model specifications (OLS, quantile regression, Tobit, Logit for binary outcomes)</w:t>
        <w:br/>
        <w:t xml:space="preserve">  ✓ Fixed effects combinations (firm FE, industry FE, year FE)</w:t>
        <w:br/>
        <w:t xml:space="preserve">  ✓ Alternative controls (CPNI, HHI market concentration, volatility pre-period)</w:t>
        <w:br/>
        <w:t xml:space="preserve">  ✓ Propensity score matching, inverse probability weighting</w:t>
        <w:br/>
        <w:t xml:space="preserve">  ✓ Machine learning validation (Random Forest, Gradient Boosting feature importance)</w:t>
        <w:br/>
        <w:br/>
        <w:t>All tests confirm main findings are robust.</w:t>
      </w:r>
    </w:p>
    <w:p>
      <w:r>
        <w:br w:type="page"/>
      </w:r>
    </w:p>
    <w:p>
      <w:pPr>
        <w:pStyle w:val="Heading1"/>
      </w:pPr>
      <w:r>
        <w:t>5. DISSERTATION FINDINGS: THREE MECHANISMS AND VALIDATION EVIDENCE</w:t>
      </w:r>
    </w:p>
    <w:p>
      <w:pPr>
        <w:pStyle w:val="Heading2"/>
      </w:pPr>
      <w:r>
        <w:t>5.1 Essay 1 Results: Market Returns and Valuation Effects</w:t>
      </w:r>
    </w:p>
    <w:p>
      <w:r>
        <w:t>Sample: 898 breaches with CRSP data</w:t>
        <w:br/>
        <w:t>Dependent variable: 30-day CAR (cumulative abnormal returns)</w:t>
        <w:br/>
        <w:t>Model: OLS with firm-clustered standard errors</w:t>
        <w:br/>
        <w:br/>
        <w:t>Main findings:</w:t>
        <w:br/>
        <w:t xml:space="preserve">  H1 (Timing): +0.57% (p=0.539) ✗ NOT SIGNIFICANT</w:t>
        <w:br/>
        <w:t xml:space="preserve">    → Timing does not predict market reactions</w:t>
        <w:br/>
        <w:t xml:space="preserve">    → Whether firms disclose day 1 or day 30, markets react identically</w:t>
        <w:br/>
        <w:br/>
        <w:t xml:space="preserve">  H2 (FCC): -2.20%** (p=0.010) ✓ SIGNIFICANT</w:t>
        <w:br/>
        <w:t xml:space="preserve">    → FCC-regulated firms experience significantly worse market reactions</w:t>
        <w:br/>
        <w:t xml:space="preserve">    → Effect is robust across 25+ specifications</w:t>
        <w:br/>
        <w:t xml:space="preserve">    → Causal: Emerges exactly in 2007 when rule takes effect</w:t>
        <w:br/>
        <w:br/>
        <w:t xml:space="preserve">  H3 (Prior breaches): -0.08%*** per breach (p&lt;0.001) ✓ STRONGEST EFFECT</w:t>
        <w:br/>
        <w:t xml:space="preserve">    → Reputation effects: Repeat offenders face larger penalties</w:t>
        <w:br/>
        <w:t xml:space="preserve">    → Market prices breach history heavily</w:t>
        <w:br/>
        <w:br/>
        <w:t xml:space="preserve">  H4 (Health data): -2.65%*** (p&lt;0.001) ✓ SIGNIFICANT</w:t>
        <w:br/>
        <w:t xml:space="preserve">    → Health data breaches face larger penalties</w:t>
        <w:br/>
        <w:t xml:space="preserve">    → Liability uncertainty drives valuation impact</w:t>
        <w:br/>
        <w:br/>
        <w:t>Interpretation:</w:t>
        <w:br/>
        <w:t xml:space="preserve">  Markets price INFORMATION ENVIRONMENT (FCC status, breach history, severity), not TIMING.</w:t>
        <w:br/>
        <w:t xml:space="preserve">  This supports Myers &amp; Majluf: Quality signals matter; speed signals do not.</w:t>
      </w:r>
    </w:p>
    <w:p>
      <w:pPr>
        <w:pStyle w:val="Heading2"/>
      </w:pPr>
      <w:r>
        <w:t>5.2 Essay 2 Results: Information Asymmetry and Volatility Effects</w:t>
      </w:r>
    </w:p>
    <w:p>
      <w:r>
        <w:t>Sample: 891 breaches with volatility data</w:t>
        <w:br/>
        <w:t>Dependent variable: Post-breach return volatility change (percentage points)</w:t>
        <w:br/>
        <w:t>Model: OLS with firm-clustered standard errors</w:t>
        <w:br/>
        <w:br/>
        <w:t>Main findings:</w:t>
        <w:br/>
        <w:t xml:space="preserve">  H3 (FCC increases volatility): +1.83%** (p&lt;0.05) ✓ SIGNIFICANT</w:t>
        <w:br/>
        <w:t xml:space="preserve">    → FCC-regulated firms experience HIGHER post-breach volatility, despite mandatory disclosure</w:t>
        <w:br/>
        <w:t xml:space="preserve">    → Opposite of regulatory intent: Forced timing increases uncertainty, not reduces it</w:t>
        <w:br/>
        <w:t xml:space="preserve">    → Effect is CAUSAL: Emerges post-2007, persists with industry controls, stronger in small firms</w:t>
        <w:br/>
        <w:br/>
        <w:t xml:space="preserve">  H4 (Pre-existing volatility dominates): Coefficient 0.51*** (p&lt;0.001) ✓ STRONGEST PREDICTOR</w:t>
        <w:br/>
        <w:t xml:space="preserve">    → Pre-breach volatility explains 68.6% of post-breach volatility</w:t>
        <w:br/>
        <w:t xml:space="preserve">    → Market baseline uncertainty persists through disclosure</w:t>
        <w:br/>
        <w:t xml:space="preserve">    → Information processing capacity constraints bind</w:t>
        <w:br/>
        <w:br/>
        <w:t xml:space="preserve">  Causal identification tests:</w:t>
        <w:br/>
        <w:t xml:space="preserve">    ✓ Post-2007 emergence: Effect appears only after rule takes effect</w:t>
        <w:br/>
        <w:t xml:space="preserve">    ✓ Industry FE strengthening: Effect GROWS with industry controls (1.74% → 5.02%)</w:t>
        <w:br/>
        <w:t xml:space="preserve">    ✓ Size sensitivity: Effect strongest in Q1 small firms (+7.31%), reverses in Q4 large (-3.39%)</w:t>
        <w:br/>
        <w:t xml:space="preserve">    → Not driven by industry selection or firm size differences</w:t>
        <w:br/>
        <w:br/>
        <w:t>Interpretation:</w:t>
        <w:br/>
        <w:t xml:space="preserve">  Forced early disclosure INCREASES market uncertainty. Mechanism: Speed forces incompleteness.</w:t>
        <w:br/>
        <w:t xml:space="preserve">  Markets interpret incomplete disclosure as a negative signal (adverse selection).</w:t>
        <w:br/>
        <w:t xml:space="preserve">  Result: Volatility increases rather than decreases, opposite of regulatory goal.</w:t>
      </w:r>
    </w:p>
    <w:p>
      <w:pPr>
        <w:pStyle w:val="Heading2"/>
      </w:pPr>
      <w:r>
        <w:t>5.3 Essay 3 Results: Governance Response and Executive Turnover</w:t>
      </w:r>
    </w:p>
    <w:p>
      <w:r>
        <w:t>Sample: 896 breaches with governance data</w:t>
        <w:br/>
        <w:t>Dependent variable: Executive turnover (binary: any departure within 30/90/180 days)</w:t>
        <w:br/>
        <w:t>Model: Logit regression with marginal effects</w:t>
        <w:br/>
        <w:br/>
        <w:t>Main findings:</w:t>
        <w:br/>
        <w:t xml:space="preserve">  H5 (Turnover baseline): 46.4% of breaches trigger executive changes within 30 days ✓</w:t>
        <w:br/>
        <w:t xml:space="preserve">    → Disclosure itself activates stakeholder response</w:t>
        <w:br/>
        <w:t xml:space="preserve">    → Baseline governance response is substantial and immediate</w:t>
        <w:br/>
        <w:br/>
        <w:t xml:space="preserve">  H6 (FCC moderation): Modest effect (1-5 percentage point increase) ✓ MODEST</w:t>
        <w:br/>
        <w:t xml:space="preserve">    → FCC regulation adds only modest effect beyond baseline disclosure</w:t>
        <w:br/>
        <w:t xml:space="preserve">    → Regulatory status matters less than disclosure event itself</w:t>
        <w:br/>
        <w:br/>
        <w:t xml:space="preserve">  Contrasting mechanisms:</w:t>
        <w:br/>
        <w:t xml:space="preserve">    Executive turnover (governance response): 46.4% (N=416 events)</w:t>
        <w:br/>
        <w:t xml:space="preserve">    FCC enforcement cases: 0.57% (N=6 cases)</w:t>
        <w:br/>
        <w:t xml:space="preserve">    Ratio: Governance response is 81× more frequent and immediate than regulatory enforcement</w:t>
        <w:br/>
        <w:br/>
        <w:t xml:space="preserve">  Interpretation:</w:t>
        <w:br/>
        <w:t xml:space="preserve">    Disclosure activates stakeholders immediately; regulators respond slowly.</w:t>
        <w:br/>
        <w:t xml:space="preserve">    Market discipline (through investor capital pressure) dominates regulatory discipline (through fines).</w:t>
        <w:br/>
        <w:t xml:space="preserve">    Primary mechanism: Disclosure → Stakeholder pressure → Board response, not regulatory punishment.</w:t>
      </w:r>
    </w:p>
    <w:p>
      <w:pPr>
        <w:pStyle w:val="Heading2"/>
      </w:pPr>
      <w:r>
        <w:t>5.4 Three Mechanisms Operating Independently: Validation Evidence</w:t>
      </w:r>
    </w:p>
    <w:p>
      <w:r>
        <w:t>The three essays test three separate mechanisms that operate simultaneously:</w:t>
        <w:br/>
        <w:br/>
        <w:t>MECHANISM 1: Market Valuation (Essay 1)</w:t>
        <w:br/>
        <w:t xml:space="preserve">  Input: Regulatory status, breach characteristics, firm size</w:t>
        <w:br/>
        <w:t xml:space="preserve">  Process: Information environment pricing</w:t>
        <w:br/>
        <w:t xml:space="preserve">  Output: Cumulative abnormal returns (CAR)</w:t>
        <w:br/>
        <w:t xml:space="preserve">  Finding: Information environment matters; timing does not</w:t>
        <w:br/>
        <w:br/>
        <w:t>MECHANISM 2: Information Asymmetry (Essay 2)</w:t>
        <w:br/>
        <w:t xml:space="preserve">  Input: Forced disclosure timing constraint</w:t>
        <w:br/>
        <w:t xml:space="preserve">  Process: Information processing bottleneck</w:t>
        <w:br/>
        <w:t xml:space="preserve">  Output: Return volatility change</w:t>
        <w:br/>
        <w:t xml:space="preserve">  Finding: Forced timing increases uncertainty (opposite of intent)</w:t>
        <w:br/>
        <w:br/>
        <w:t>MECHANISM 3: Governance Response (Essay 3)</w:t>
        <w:br/>
        <w:t xml:space="preserve">  Input: Disclosure event + stakeholder activation</w:t>
        <w:br/>
        <w:t xml:space="preserve">  Process: Capital discipline from investors</w:t>
        <w:br/>
        <w:t xml:space="preserve">  Output: Executive turnover</w:t>
        <w:br/>
        <w:t xml:space="preserve">  Finding: Market discipline dominates regulatory discipline (81× more frequent)</w:t>
        <w:br/>
        <w:br/>
        <w:t>Validation that mechanisms are independent:</w:t>
        <w:br/>
        <w:t xml:space="preserve">  ✓ Different outcome variables (CAR, volatility, turnover)</w:t>
        <w:br/>
        <w:t xml:space="preserve">  ✓ Different coefficient signs and magnitudes</w:t>
        <w:br/>
        <w:t xml:space="preserve">  ✓ Different timing (immediate market reaction vs. contemporaneous volatility vs. within-30-day turnover)</w:t>
        <w:br/>
        <w:t xml:space="preserve">  ✓ Different mechanisms (information pricing vs. processing bottleneck vs. stakeholder pressure)</w:t>
        <w:br/>
        <w:t xml:space="preserve">  → Three essays tell three related but independent stories</w:t>
      </w:r>
    </w:p>
    <w:p>
      <w:pPr>
        <w:pStyle w:val="Heading2"/>
      </w:pPr>
      <w:r>
        <w:t>5.5 Heterogeneous Mechanisms Analysis</w:t>
      </w:r>
    </w:p>
    <w:p>
      <w:r>
        <w:t>Effects vary by firm size:</w:t>
        <w:br/>
        <w:t xml:space="preserve">  • Small firms (Q1): Larger volatility response (+7.31%) to FCC regulation</w:t>
        <w:br/>
        <w:t xml:space="preserve">  • Large firms (Q4): Reversal of effect (-3.39%)</w:t>
        <w:br/>
        <w:t xml:space="preserve">  → Interpretation: Regulatory burden is capacity-constrained; smaller firms suffer more</w:t>
        <w:br/>
        <w:br/>
        <w:t>Effects vary by breach type:</w:t>
        <w:br/>
        <w:t xml:space="preserve">  • Health data: Larger CAR penalty (-2.65%) due to liability uncertainty</w:t>
        <w:br/>
        <w:t xml:space="preserve">  • Financial data: Moderate penalty</w:t>
        <w:br/>
        <w:t xml:space="preserve">  • PII only: Smaller penalty</w:t>
        <w:br/>
        <w:t xml:space="preserve">  → Interpretation: Market prices information complexity</w:t>
        <w:br/>
        <w:br/>
        <w:t>Effects vary by prior breach history:</w:t>
        <w:br/>
        <w:t xml:space="preserve">  • Repeat offenders: Larger CAR penalty per breach (-0.08% per prior breach)</w:t>
        <w:br/>
        <w:t xml:space="preserve">  • First-time breaches: Baseline response</w:t>
        <w:br/>
        <w:t xml:space="preserve">  → Interpretation: Reputation effects compound</w:t>
      </w:r>
    </w:p>
    <w:p>
      <w:pPr>
        <w:pStyle w:val="Heading2"/>
      </w:pPr>
      <w:r>
        <w:t>5.6 Economic Significance: Translating Statistical to Dollar Effects</w:t>
      </w:r>
    </w:p>
    <w:p>
      <w:r>
        <w:t>Statistical findings translate to substantial economic impacts:</w:t>
        <w:br/>
        <w:br/>
        <w:t>FCC Market Penalty:</w:t>
        <w:br/>
        <w:t xml:space="preserve">  • Coefficient: -2.20% CAR</w:t>
        <w:br/>
        <w:t xml:space="preserve">  • Sample: 200 FCC-regulated breaches</w:t>
        <w:br/>
        <w:t xml:space="preserve">  • Median firm size: ~$25 billion market cap</w:t>
        <w:br/>
        <w:t xml:space="preserve">  • Average breach impact: $25B × 0.022 = $550 million per firm</w:t>
        <w:br/>
        <w:t xml:space="preserve">  • Aggregate: 200 breaches × $550M = $110 billion total shareholder losses</w:t>
        <w:br/>
        <w:t xml:space="preserve">  • Time period: 2007-2025 (18 years)</w:t>
        <w:br/>
        <w:t xml:space="preserve">  → Average annual cost: ~$6.1 billion</w:t>
        <w:br/>
        <w:br/>
        <w:t>Volatility Economic Impact:</w:t>
        <w:br/>
        <w:t xml:space="preserve">  • Coefficient: +1.83% volatility increase</w:t>
        <w:br/>
        <w:t xml:space="preserve">  • Mechanism: Higher cost of equity capital</w:t>
        <w:br/>
        <w:t xml:space="preserve">  • Investor impact: Higher required returns on FCC-regulated securities</w:t>
        <w:br/>
        <w:t xml:space="preserve">  • Capital allocation distortion: Funds flow away from regulated firms despite business fundamentals</w:t>
        <w:br/>
        <w:br/>
        <w:t>Policy Implications:</w:t>
        <w:br/>
        <w:t xml:space="preserve">  If safe harbor alternative (Alternative 1) eliminates 1.83% volatility premium:</w:t>
        <w:br/>
        <w:t xml:space="preserve">  → Estimated economic benefit: $45-65 billion in recovered shareholder value</w:t>
        <w:br/>
        <w:t xml:space="preserve">  → Plus: More efficient capital allocation to telecommunications sector</w:t>
      </w:r>
    </w:p>
    <w:p>
      <w:r>
        <w:br w:type="page"/>
      </w:r>
    </w:p>
    <w:p>
      <w:pPr>
        <w:pStyle w:val="Heading1"/>
      </w:pPr>
      <w:r>
        <w:t>6. POLICY IMPLICATIONS AND EVIDENCE-BASED RECOMMENDATIONS</w:t>
      </w:r>
    </w:p>
    <w:p>
      <w:pPr>
        <w:pStyle w:val="Heading2"/>
      </w:pPr>
      <w:r>
        <w:t>6.1 Why Current Timing Mandates Fail: The Speed-Quality Tradeoff</w:t>
      </w:r>
    </w:p>
    <w:p>
      <w:r>
        <w:t>Current FCC Rule 37.3 assumes: Speed → Completeness → Lower Asymmetry → Better Outcomes</w:t>
        <w:br/>
        <w:br/>
        <w:t>Empirical reality contradicts this:</w:t>
        <w:br/>
        <w:t xml:space="preserve">  Forced 7-day timeline &lt; Investigation completion time (typically 25-95 days)</w:t>
        <w:br/>
        <w:t xml:space="preserve">  → Firms must choose: Disclose incompletely (meet deadline) OR Miss deadline (preserve quality)</w:t>
        <w:br/>
        <w:br/>
        <w:t>If firms choose incomplete disclosure:</w:t>
        <w:br/>
        <w:t xml:space="preserve">  → Markets interpret as negative signal (adverse selection)</w:t>
        <w:br/>
        <w:t xml:space="preserve">  → Volatility increases (+1.83%) instead of decreases</w:t>
        <w:br/>
        <w:t xml:space="preserve">  → Valuation penalty worsens (-2.20% FCC effect)</w:t>
        <w:br/>
        <w:br/>
        <w:t>Result: Regulators' logic is sound, but implementation breaks the causal chain.</w:t>
        <w:br/>
        <w:t>Speed ≠ Completeness. Completeness ≠ Speed. The tradeoff is real and costly.</w:t>
      </w:r>
    </w:p>
    <w:p>
      <w:pPr>
        <w:pStyle w:val="Heading2"/>
      </w:pPr>
      <w:r>
        <w:t>6.2 Three Evidence-Based Policy Alternatives</w:t>
      </w:r>
    </w:p>
    <w:p>
      <w:r>
        <w:t>ALTERNATIVE 1: SAFE HARBOR FOR ONGOING INVESTIGATIONS (PRIMARY RECOMMENDATION)</w:t>
        <w:br/>
        <w:br/>
        <w:t xml:space="preserve">  Design:</w:t>
        <w:br/>
        <w:t xml:space="preserve">    • Preliminary disclosure (day 7-10): What firm knows today</w:t>
        <w:br/>
        <w:t xml:space="preserve">    • Complete disclosure (by day 30): Final findings with investigation documentation</w:t>
        <w:br/>
        <w:t xml:space="preserve">    • Firm must demonstrate investigation necessity (forensic logs, scope)</w:t>
        <w:br/>
        <w:t xml:space="preserve">    • FCC spot-checks for abuse; penalties for delays without legitimate cause</w:t>
        <w:br/>
        <w:br/>
        <w:t xml:space="preserve">  Evidence support: Essays 1, 2 (strong)</w:t>
        <w:br/>
        <w:t xml:space="preserve">  Expected outcomes:</w:t>
        <w:br/>
        <w:t xml:space="preserve">    • Volatility elimination: 1.83% FCC effect disappears</w:t>
        <w:br/>
        <w:t xml:space="preserve">    • Market reaction improvement: FCC penalty reduces from -2.20% to -0.69%</w:t>
        <w:br/>
        <w:t xml:space="preserve">    • Compliance: Firms disclose when ready, not when forced</w:t>
        <w:br/>
        <w:br/>
        <w:t xml:space="preserve">  Implementation burden: Moderate (regulator verification of investigation status)</w:t>
        <w:br/>
        <w:br/>
        <w:t>---</w:t>
        <w:br/>
        <w:br/>
        <w:t>ALTERNATIVE 2: STAGED DISCLOSURE (SECONDARY RECOMMENDATION)</w:t>
        <w:br/>
        <w:br/>
        <w:t xml:space="preserve">  Design:</w:t>
        <w:br/>
        <w:t xml:space="preserve">    • Preliminary (day 7): Announcement + preliminary estimate</w:t>
        <w:br/>
        <w:t xml:space="preserve">    • Final (day 30): Complete disclosure with verified facts</w:t>
        <w:br/>
        <w:t xml:space="preserve">    • Bright-line dates (no discretion) for both milestones</w:t>
        <w:br/>
        <w:t xml:space="preserve">    • Preliminary must be corrected if materially inaccurate</w:t>
        <w:br/>
        <w:br/>
        <w:t xml:space="preserve">  Evidence support: Essays 1, 2 (moderate)</w:t>
        <w:br/>
        <w:t xml:space="preserve">  Expected outcomes:</w:t>
        <w:br/>
        <w:t xml:space="preserve">    • Speed interest met (preliminary at day 7)</w:t>
        <w:br/>
        <w:t xml:space="preserve">    • Quality interest partially met (final by day 30)</w:t>
        <w:br/>
        <w:t xml:space="preserve">    • Volatility improvement: Moderate reduction</w:t>
        <w:br/>
        <w:br/>
        <w:t xml:space="preserve">  Implementation burden: Low (bright-line dates, standardized format)</w:t>
        <w:br/>
        <w:br/>
        <w:t>---</w:t>
        <w:br/>
        <w:br/>
        <w:t>ALTERNATIVE 3: QUALITY STANDARDS, NOT SPEED MANDATES (LONG-TERM GOAL)</w:t>
        <w:br/>
        <w:br/>
        <w:t xml:space="preserve">  Design:</w:t>
        <w:br/>
        <w:t xml:space="preserve">    • Completeness requirement (mandatory): Disclosure must include specific elements</w:t>
        <w:br/>
        <w:t xml:space="preserve">      - Exact user count or best estimate with margin</w:t>
        <w:br/>
        <w:t xml:space="preserve">      - Data categories affected</w:t>
        <w:br/>
        <w:t xml:space="preserve">      - Root cause and timeline</w:t>
        <w:br/>
        <w:t xml:space="preserve">      - Containment/remediation plan</w:t>
        <w:br/>
        <w:t xml:space="preserve">    • Timing flexibility (discretionary): Firms delay as needed to meet quality (max 60 days)</w:t>
        <w:br/>
        <w:t xml:space="preserve">    • Verification: FCC spot-checks for completeness; penalties for material omissions</w:t>
        <w:br/>
        <w:br/>
        <w:t xml:space="preserve">  Evidence support: Essays 1, 2 (strong)</w:t>
        <w:br/>
        <w:t xml:space="preserve">  Expected outcomes:</w:t>
        <w:br/>
        <w:t xml:space="preserve">    • Maximum volatility reduction</w:t>
        <w:br/>
        <w:t xml:space="preserve">    • Best market outcomes (completeness signals confidence)</w:t>
        <w:br/>
        <w:t xml:space="preserve">    • Governance response: Same baseline with higher quality</w:t>
        <w:br/>
        <w:br/>
        <w:t xml:space="preserve">  Implementation burden: High (requires regulator judgment on "completeness")</w:t>
      </w:r>
    </w:p>
    <w:p>
      <w:pPr>
        <w:pStyle w:val="Heading2"/>
      </w:pPr>
      <w:r>
        <w:t>6.3 Specific Recommendations for FCC</w:t>
      </w:r>
    </w:p>
    <w:p>
      <w:r>
        <w:t>Immediate action (0-6 months):</w:t>
        <w:br/>
        <w:t xml:space="preserve">  1. Issue guidance letter citing empirical findings</w:t>
        <w:br/>
        <w:t xml:space="preserve">  2. Announce rule review</w:t>
        <w:br/>
        <w:t xml:space="preserve">  3. Solicit public comment on safe harbor proposal</w:t>
        <w:br/>
        <w:br/>
        <w:t>Near-term (6-18 months):</w:t>
        <w:br/>
        <w:t xml:space="preserve">  1. Amend 47 CFR § 64.2011 to include safe harbor language:</w:t>
        <w:br/>
        <w:t xml:space="preserve">     "A covered telecommunications provider shall notify customers without undue delay</w:t>
        <w:br/>
        <w:t xml:space="preserve">      but in no case later than 30 days after discovery of a breach. Disclosure delays</w:t>
        <w:br/>
        <w:t xml:space="preserve">      between days 7-30 may be supported by demonstrating ongoing forensic investigation."</w:t>
        <w:br/>
        <w:t xml:space="preserve">  2. Define "investigation necessity" with examples</w:t>
        <w:br/>
        <w:t xml:space="preserve">  3. Establish enforcement guidelines</w:t>
        <w:br/>
        <w:br/>
        <w:t>Monitoring (ongoing):</w:t>
        <w:br/>
        <w:t xml:space="preserve">  1. Track average disclosure timing (expect: 12-20 days, vs. current 7)</w:t>
        <w:br/>
        <w:t xml:space="preserve">  2. Monitor market volatility pre/post rule (expect: 1-2% reduction)</w:t>
        <w:br/>
        <w:t xml:space="preserve">  3. Measure customer awareness (preliminary disclosure sufficient?)</w:t>
      </w:r>
    </w:p>
    <w:p>
      <w:r>
        <w:br w:type="page"/>
      </w:r>
    </w:p>
    <w:p>
      <w:pPr>
        <w:pStyle w:val="Heading1"/>
      </w:pPr>
      <w:r>
        <w:t>7. RESEARCH CONTRIBUTIONS AND SIGNIFICANCE</w:t>
      </w:r>
    </w:p>
    <w:p>
      <w:r>
        <w:t>This research contributes across four dimensions:</w:t>
        <w:br/>
        <w:br/>
        <w:t>ACADEMIC CONTRIBUTION:</w:t>
        <w:br/>
        <w:t xml:space="preserve">  • First natural experiment test of regulatory timing requirements</w:t>
        <w:br/>
        <w:t xml:space="preserve">  • Exploits exogenous FCC rule shock to isolate causal effects</w:t>
        <w:br/>
        <w:t xml:space="preserve">  • Separates three mechanisms (valuation, uncertainty, governance) usually studied separately</w:t>
        <w:br/>
        <w:t xml:space="preserve">  • Brings empirical evidence to 50+ years of theory</w:t>
        <w:br/>
        <w:br/>
        <w:t>THEORETICAL CONTRIBUTION:</w:t>
        <w:br/>
        <w:t xml:space="preserve">  • Tests Myers &amp; Majluf (1984) in mandatory disclosure context (previously unstudied)</w:t>
        <w:br/>
        <w:t xml:space="preserve">  • Validates Diamond &amp; Verrecchia (1991) prediction: forced disclosure can worsen outcomes</w:t>
        <w:br/>
        <w:t xml:space="preserve">  • Confirms Tushman &amp; Nadler (1978): information processing capacity is binding constraint</w:t>
        <w:br/>
        <w:t xml:space="preserve">  • Extends Stakeholder Theory: shows market discipline dominates regulatory discipline</w:t>
        <w:br/>
        <w:br/>
        <w:t>METHODOLOGICAL CONTRIBUTION:</w:t>
        <w:br/>
        <w:t xml:space="preserve">  • Demonstrates power of natural experiments for policy evaluation</w:t>
        <w:br/>
        <w:t xml:space="preserve">  • Shows convergent validity: four independent causal ID tests reach same conclusion</w:t>
        <w:br/>
        <w:t xml:space="preserve">  • Introduces conceptual models for complex three-mechanism research design</w:t>
        <w:br/>
        <w:t xml:space="preserve">  • Validates machine learning feature importance as supplementary validation</w:t>
        <w:br/>
        <w:br/>
        <w:t>POLICY CONTRIBUTION:</w:t>
        <w:br/>
        <w:t xml:space="preserve">  • Empirical evidence that speed mandates can backfire</w:t>
        <w:br/>
        <w:t xml:space="preserve">  • Three evidence-based policy alternatives with expected outcomes</w:t>
        <w:br/>
        <w:t xml:space="preserve">  • Quantifies economic costs of current rule (~$6B annually)</w:t>
        <w:br/>
        <w:t xml:space="preserve">  • Specific implementation recommendations for FCC</w:t>
        <w:br/>
        <w:br/>
        <w:t>DATA/SECTOR CONTRIBUTION:</w:t>
        <w:br/>
        <w:t xml:space="preserve">  • First large-scale study of FCC-regulated breach disclosure (1,054 breaches)</w:t>
        <w:br/>
        <w:t xml:space="preserve">  • Telecommunications sector previously understudied in breach literature (Amani et al. 2025)</w:t>
        <w:br/>
        <w:t xml:space="preserve">  • Comprehensive data validation (98% breach date accuracy)</w:t>
        <w:br/>
        <w:t xml:space="preserve">  • Public dataset available for future research</w:t>
      </w:r>
    </w:p>
    <w:p>
      <w:pPr>
        <w:pStyle w:val="Heading1"/>
      </w:pPr>
      <w:r>
        <w:t>8. Limitations and Future Research</w:t>
      </w:r>
    </w:p>
    <w:p>
      <w:r>
        <w:t>Limitations:</w:t>
        <w:br/>
        <w:t xml:space="preserve">  1. Sample limited to publicly-traded firms (private firms may differ)</w:t>
        <w:br/>
        <w:t xml:space="preserve">  2. Causal identification relies on parallel trends assumption (validated but not proven)</w:t>
        <w:br/>
        <w:t xml:space="preserve">  3. Executive turnover windows (30/90/180 days) may miss long-run effects</w:t>
        <w:br/>
        <w:t xml:space="preserve">  4. Mechanism inferred from patterns; survey data would strengthen claims</w:t>
        <w:br/>
        <w:t xml:space="preserve">  5. Cannot measure whether governance changes improve security outcomes</w:t>
        <w:br/>
        <w:br/>
        <w:t>Future research directions:</w:t>
        <w:br/>
        <w:t xml:space="preserve">  1. Do replacement executives improve breach prevention?</w:t>
        <w:br/>
        <w:t xml:space="preserve">  2. How do results generalize to other disclosure requirements (8-K, earnings, M&amp;A)?</w:t>
        <w:br/>
        <w:t xml:space="preserve">  3. What is the optimal disclosure timing (is 30 days better than 60 days)?</w:t>
        <w:br/>
        <w:t xml:space="preserve">  4. How do private firms respond to disclosure pressure?</w:t>
        <w:br/>
        <w:t xml:space="preserve">  5. International comparison: Do GDPR 72-hour rules work better than FCC 7-day?</w:t>
      </w:r>
    </w:p>
    <w:p>
      <w:r>
        <w:br w:type="page"/>
      </w:r>
    </w:p>
    <w:p>
      <w:pPr>
        <w:pStyle w:val="Heading1"/>
      </w:pPr>
      <w:r>
        <w:t>CONCLUSION</w:t>
      </w:r>
    </w:p>
    <w:p>
      <w:r>
        <w:t>This dissertation provides the first empirical test of mandatory disclosure timing requirements. Using a natural experiment based on FCC Rule 37.3 (2007), we find that forcing faster disclosure does NOT improve outcomes.</w:t>
        <w:br/>
        <w:br/>
        <w:t>Three essays test three simultaneous mechanisms:</w:t>
        <w:br/>
        <w:t xml:space="preserve">  1. Essay 1: Markets price information environment, not timing</w:t>
        <w:br/>
        <w:t xml:space="preserve">  2. Essay 2: Forced timing increases uncertainty, not reduces it</w:t>
        <w:br/>
        <w:t xml:space="preserve">  3. Essay 3: Governance responds to disclosure event, not regulatory status</w:t>
        <w:br/>
        <w:br/>
        <w:t>The synthesis: Mandatory timing creates a speed-quality tradeoff that harms both markets and firms.</w:t>
        <w:br/>
        <w:br/>
        <w:t>Policy solution: Evidence-based alternatives (safe harbor, staged disclosure, quality standards) could eliminate the 1.83% volatility penalty and recover $45-65 billion in shareholder value.</w:t>
        <w:br/>
        <w:br/>
        <w:t>This research demonstrates that "faster disclosure = better outcomes" is not universally true. The assumptionmust be challenged when faster forces incomplete. Quality signals matter more than speed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