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Dissertation Research Update</w:t>
      </w:r>
    </w:p>
    <w:p>
      <w:pPr>
        <w:jc w:val="center"/>
      </w:pPr>
      <w:r>
        <w:rPr>
          <w:i/>
          <w:sz w:val="28"/>
        </w:rPr>
        <w:t>Complete Presentation &amp; Proposal Package</w:t>
      </w:r>
    </w:p>
    <w:p/>
    <w:p>
      <w:r>
        <w:rPr>
          <w:b/>
        </w:rPr>
        <w:t xml:space="preserve">Subject: </w:t>
      </w:r>
      <w:r>
        <w:t>Dissertation Proposal Materials Complete - Comprehensive Research on Data Breach Disclosure Timing</w:t>
      </w:r>
    </w:p>
    <w:p/>
    <w:p>
      <w:pPr>
        <w:pStyle w:val="Heading1"/>
      </w:pPr>
      <w:r>
        <w:t>Overview</w:t>
      </w:r>
    </w:p>
    <w:p>
      <w:r>
        <w:t>This email summarizes the completion of a comprehensive dissertation proposal package, including a detailed written proposal, 28-slide presentation with speaker notes, and integration with an existing interactive dashboard. The research analyzes how regulatory disclosure timing requirements affect firm outcomes using a natural experiment approach.</w:t>
      </w:r>
    </w:p>
    <w:p>
      <w:pPr>
        <w:pStyle w:val="Heading1"/>
      </w:pPr>
      <w:r>
        <w:t>What This Research Achieves</w:t>
      </w:r>
    </w:p>
    <w:p>
      <w:pPr>
        <w:pStyle w:val="Heading2"/>
      </w:pPr>
      <w:r>
        <w:t>Central Question</w:t>
      </w:r>
    </w:p>
    <w:p>
      <w:r>
        <w:rPr>
          <w:b/>
        </w:rPr>
        <w:t>"Is there any benefit to disclosing data breaches immediately, or should companies delay until investigation is complete?"</w:t>
      </w:r>
    </w:p>
    <w:p>
      <w:r>
        <w:t>This research tests a core assumption underlying all major cybersecurity disclosure regulations (FCC 7-day rule, SEC 4-day rule, HIPAA 60-day rule): that faster disclosure is better.</w:t>
      </w:r>
    </w:p>
    <w:p>
      <w:pPr>
        <w:pStyle w:val="Heading2"/>
      </w:pPr>
      <w:r>
        <w:t>The Finding</w:t>
      </w:r>
    </w:p>
    <w:p>
      <w:r>
        <w:rPr>
          <w:b/>
        </w:rPr>
        <w:t>Markets punish WHO YOU ARE and WHAT WAS BREACHED — not WHEN YOU TALK.</w:t>
      </w:r>
    </w:p>
    <w:p>
      <w:r>
        <w:t>Rather than a single answer, the research reveals three independent mechanisms:</w:t>
      </w:r>
    </w:p>
    <w:p>
      <w:pPr>
        <w:pStyle w:val="ListBullet"/>
      </w:pPr>
      <w:r>
        <w:t>Valuation (Essay 1): Disclosure timing does NOT affect shareholder returns. Markets price firm characteristics (prior breach history, regulatory status, data type), not announcement speed.</w:t>
      </w:r>
    </w:p>
    <w:p>
      <w:pPr>
        <w:pStyle w:val="ListBullet"/>
      </w:pPr>
      <w:r>
        <w:t>Uncertainty (Essay 2): Mandatory disclosure timing INCREASES market volatility. Forced speed prevents investigation completion, creating incomplete disclosures that markets recognize as quality problems, raising uncertainty.</w:t>
      </w:r>
    </w:p>
    <w:p>
      <w:pPr>
        <w:pStyle w:val="ListBullet"/>
      </w:pPr>
      <w:r>
        <w:t>Governance (Essay 3): Mandatory disclosure ACCELERATES executive turnover. Immediate public disclosure triggers stakeholder pressure, forcing boards to respond with governance changes faster.</w:t>
      </w:r>
    </w:p>
    <w:p>
      <w:pPr>
        <w:pStyle w:val="Heading2"/>
      </w:pPr>
      <w:r>
        <w:t>Scope</w:t>
      </w:r>
    </w:p>
    <w:p>
      <w:pPr>
        <w:pStyle w:val="ListBullet"/>
      </w:pPr>
      <w:r>
        <w:t>1,054 data breaches (2006-2025)</w:t>
      </w:r>
    </w:p>
    <w:p>
      <w:pPr>
        <w:pStyle w:val="ListBullet"/>
      </w:pPr>
      <w:r>
        <w:t>926 breaches with complete stock price data (87.9% match rate)</w:t>
      </w:r>
    </w:p>
    <w:p>
      <w:pPr>
        <w:pStyle w:val="ListBullet"/>
      </w:pPr>
      <w:r>
        <w:t>Natural experiment: FCC Rule 37.3 (effective January 1, 2007) creates regulatory discontinuity</w:t>
      </w:r>
    </w:p>
    <w:p>
      <w:pPr>
        <w:pStyle w:val="ListBullet"/>
      </w:pPr>
      <w:r>
        <w:t>Treatment group: 200 FCC-regulated firms (telecom)</w:t>
      </w:r>
    </w:p>
    <w:p>
      <w:pPr>
        <w:pStyle w:val="ListBullet"/>
      </w:pPr>
      <w:r>
        <w:t>Control group: 854 firms in other industries</w:t>
      </w:r>
    </w:p>
    <w:p>
      <w:pPr>
        <w:pStyle w:val="ListBullet"/>
      </w:pPr>
      <w:r>
        <w:t>Economic impact: $0.76B in aggregate shareholder losses from FCC regulation alone</w:t>
      </w:r>
    </w:p>
    <w:p>
      <w:pPr>
        <w:pStyle w:val="Heading1"/>
      </w:pPr>
      <w:r>
        <w:t>What Was Delivered Today</w:t>
      </w:r>
    </w:p>
    <w:p>
      <w:pPr>
        <w:pStyle w:val="Heading2"/>
      </w:pPr>
      <w:r>
        <w:t>1. Dissertation_Proposal_Comprehensive.docx (58 KB, 25-35 pages)</w:t>
      </w:r>
    </w:p>
    <w:p>
      <w:r>
        <w:rPr>
          <w:b/>
        </w:rPr>
        <w:t xml:space="preserve">Purpose: </w:t>
      </w:r>
      <w:r>
        <w:t>Committee pre-reading document</w:t>
      </w:r>
    </w:p>
    <w:p>
      <w:pPr>
        <w:pStyle w:val="Heading3"/>
      </w:pPr>
      <w:r>
        <w:t>Contents:</w:t>
      </w:r>
    </w:p>
    <w:p>
      <w:pPr>
        <w:pStyle w:val="ListBullet"/>
      </w:pPr>
      <w:r>
        <w:t>Section 1 (Introduction): Problem statement, literature gap, research questions</w:t>
      </w:r>
    </w:p>
    <w:p>
      <w:pPr>
        <w:pStyle w:val="ListBullet"/>
      </w:pPr>
      <w:r>
        <w:t>Section 2 (Literature Review): Four thematic streams with 30+ citations</w:t>
      </w:r>
    </w:p>
    <w:p>
      <w:pPr>
        <w:pStyle w:val="ListBullet2"/>
      </w:pPr>
      <w:r>
        <w:t>Stream 1: Empirical evidence on breach-driven market reactions</w:t>
      </w:r>
    </w:p>
    <w:p>
      <w:pPr>
        <w:pStyle w:val="ListBullet2"/>
      </w:pPr>
      <w:r>
        <w:t>Stream 2: Mandatory disclosure paradoxes and unintended effects</w:t>
      </w:r>
    </w:p>
    <w:p>
      <w:pPr>
        <w:pStyle w:val="ListBullet2"/>
      </w:pPr>
      <w:r>
        <w:t>Stream 3: Signaling theory and information asymmetry under time pressure</w:t>
      </w:r>
    </w:p>
    <w:p>
      <w:pPr>
        <w:pStyle w:val="ListBullet2"/>
      </w:pPr>
      <w:r>
        <w:t>Stream 4: Stakeholder theory and governance response mechanisms</w:t>
      </w:r>
    </w:p>
    <w:p>
      <w:pPr>
        <w:pStyle w:val="ListBullet"/>
      </w:pPr>
      <w:r>
        <w:t>Section 3 (Hypotheses): Six testable hypotheses (H1-H6) with theoretical rationale</w:t>
      </w:r>
    </w:p>
    <w:p>
      <w:pPr>
        <w:pStyle w:val="ListBullet"/>
      </w:pPr>
      <w:r>
        <w:t>Section 4 (Methods): Data sources and sample composition (1,054 breaches, detailed breakdown)</w:t>
      </w:r>
    </w:p>
    <w:p>
      <w:pPr>
        <w:pStyle w:val="ListBullet"/>
      </w:pPr>
      <w:r>
        <w:t>Section 5 (Findings): All three essays' actual results with effect sizes and significance levels</w:t>
      </w:r>
    </w:p>
    <w:p>
      <w:pPr>
        <w:pStyle w:val="ListBullet"/>
      </w:pPr>
      <w:r>
        <w:t>Section 6 (Implications): Policy recommendations for FCC, SEC, HIPAA; firm strategy</w:t>
      </w:r>
    </w:p>
    <w:p>
      <w:pPr>
        <w:pStyle w:val="Heading3"/>
      </w:pPr>
      <w:r>
        <w:t>Key Features:</w:t>
      </w:r>
    </w:p>
    <w:p>
      <w:pPr>
        <w:pStyle w:val="ListBullet"/>
      </w:pPr>
      <w:r>
        <w:t>Based entirely on actual research findings</w:t>
      </w:r>
    </w:p>
    <w:p>
      <w:pPr>
        <w:pStyle w:val="ListBullet"/>
      </w:pPr>
      <w:r>
        <w:t>All citations in APA format</w:t>
      </w:r>
    </w:p>
    <w:p>
      <w:pPr>
        <w:pStyle w:val="ListBullet"/>
      </w:pPr>
      <w:r>
        <w:t>Double-spaced, professional formatting</w:t>
      </w:r>
    </w:p>
    <w:p>
      <w:pPr>
        <w:pStyle w:val="ListBullet"/>
      </w:pPr>
      <w:r>
        <w:t>Explicitly addresses all PR review feedback</w:t>
      </w:r>
    </w:p>
    <w:p>
      <w:pPr>
        <w:pStyle w:val="Heading2"/>
      </w:pPr>
      <w:r>
        <w:t>2. Dissertation_Presentation.pptx (64 KB, 28 slides)</w:t>
      </w:r>
    </w:p>
    <w:p>
      <w:r>
        <w:rPr>
          <w:b/>
        </w:rPr>
        <w:t xml:space="preserve">Purpose: </w:t>
      </w:r>
      <w:r>
        <w:t>In-person/Zoom presentation with visual storytelling</w:t>
      </w:r>
    </w:p>
    <w:p>
      <w:pPr>
        <w:pStyle w:val="Heading3"/>
      </w:pPr>
      <w:r>
        <w:t>Slide Structure:</w:t>
      </w:r>
    </w:p>
    <w:p>
      <w:pPr>
        <w:pStyle w:val="ListBullet"/>
      </w:pPr>
      <w:r>
        <w:t>Slides 1-4: Introduction (title, problem, why it matters, literature foundation)</w:t>
      </w:r>
    </w:p>
    <w:p>
      <w:pPr>
        <w:pStyle w:val="ListBullet"/>
      </w:pPr>
      <w:r>
        <w:t>Slides 5-7: Research design (sample, natural experiment, validation tests)</w:t>
      </w:r>
    </w:p>
    <w:p>
      <w:pPr>
        <w:pStyle w:val="ListBullet"/>
      </w:pPr>
      <w:r>
        <w:t>Slides 8-16: Hypotheses and findings (H1-H6, each with mechanism explanation)</w:t>
      </w:r>
    </w:p>
    <w:p>
      <w:pPr>
        <w:pStyle w:val="ListBullet"/>
      </w:pPr>
      <w:r>
        <w:t>Slides 17-19: Integration (three independent mechanisms, heterogeneous effects, robustness)</w:t>
      </w:r>
    </w:p>
    <w:p>
      <w:pPr>
        <w:pStyle w:val="ListBullet"/>
      </w:pPr>
      <w:r>
        <w:t>Slides 20-24: Economic significance and policy (FCC, SEC, optimal timeline, business implications)</w:t>
      </w:r>
    </w:p>
    <w:p>
      <w:pPr>
        <w:pStyle w:val="ListBullet"/>
      </w:pPr>
      <w:r>
        <w:t>Slides 25-28: Limitations, takeaways, dashboard preview, Q&amp;A</w:t>
      </w:r>
    </w:p>
    <w:p>
      <w:pPr>
        <w:pStyle w:val="Heading3"/>
      </w:pPr>
      <w:r>
        <w:t>Design:</w:t>
      </w:r>
    </w:p>
    <w:p>
      <w:pPr>
        <w:pStyle w:val="ListBullet"/>
      </w:pPr>
      <w:r>
        <w:t>Zoom-friendly (large text 22-24pt minimum, clear hierarchy)</w:t>
      </w:r>
    </w:p>
    <w:p>
      <w:pPr>
        <w:pStyle w:val="ListBullet"/>
      </w:pPr>
      <w:r>
        <w:t>~1.5-2 minutes per slide (45-50 minute presentation)</w:t>
      </w:r>
    </w:p>
    <w:p>
      <w:pPr>
        <w:pStyle w:val="ListBullet"/>
      </w:pPr>
      <w:r>
        <w:t>Professional color scheme (dark blue headers, light blue metrics, red/green accents)</w:t>
      </w:r>
    </w:p>
    <w:p>
      <w:pPr>
        <w:pStyle w:val="ListBullet"/>
      </w:pPr>
      <w:r>
        <w:t>Each finding on its own slide with mechanism explanation</w:t>
      </w:r>
    </w:p>
    <w:p>
      <w:pPr>
        <w:pStyle w:val="Heading2"/>
      </w:pPr>
      <w:r>
        <w:t>3. Dissertation_Speaker_Notes.txt (50 KB, 1,240 lines)</w:t>
      </w:r>
    </w:p>
    <w:p>
      <w:r>
        <w:rPr>
          <w:b/>
        </w:rPr>
        <w:t xml:space="preserve">Purpose: </w:t>
      </w:r>
      <w:r>
        <w:t>Talking points for presenting all 28 slides</w:t>
      </w:r>
    </w:p>
    <w:p>
      <w:pPr>
        <w:pStyle w:val="Heading3"/>
      </w:pPr>
      <w:r>
        <w:t>Contents:</w:t>
      </w:r>
    </w:p>
    <w:p>
      <w:pPr>
        <w:pStyle w:val="ListBullet"/>
      </w:pPr>
      <w:r>
        <w:t>Per slide: Specific language to use, key points to emphasize, timing estimates, transitions</w:t>
      </w:r>
    </w:p>
    <w:p>
      <w:pPr>
        <w:pStyle w:val="ListBullet"/>
      </w:pPr>
      <w:r>
        <w:t>Examples: Concrete numbers, stories, analogies</w:t>
      </w:r>
    </w:p>
    <w:p>
      <w:pPr>
        <w:pStyle w:val="ListBullet"/>
      </w:pPr>
      <w:r>
        <w:t>Contingencies: Q&amp;A guidance for likely questions</w:t>
      </w:r>
    </w:p>
    <w:p>
      <w:pPr>
        <w:pStyle w:val="ListBullet"/>
      </w:pPr>
      <w:r>
        <w:t>General tips: Pacing advice (45-50 minutes), emphasis on storytelling, transitions</w:t>
      </w:r>
    </w:p>
    <w:p>
      <w:pPr>
        <w:pStyle w:val="ListBullet"/>
      </w:pPr>
      <w:r>
        <w:t>Summary: Quick reference table for what to reference when</w:t>
      </w:r>
    </w:p>
    <w:p>
      <w:pPr>
        <w:pStyle w:val="Heading3"/>
      </w:pPr>
      <w:r>
        <w:t>How to Use:</w:t>
      </w:r>
    </w:p>
    <w:p>
      <w:pPr>
        <w:pStyle w:val="ListBullet"/>
      </w:pPr>
      <w:r>
        <w:t>Print or have on laptop during presentation</w:t>
      </w:r>
    </w:p>
    <w:p>
      <w:pPr>
        <w:pStyle w:val="ListBullet"/>
      </w:pPr>
      <w:r>
        <w:t>Glance while talking (audience sees slides, not notes)</w:t>
      </w:r>
    </w:p>
    <w:p>
      <w:pPr>
        <w:pStyle w:val="ListBullet"/>
      </w:pPr>
      <w:r>
        <w:t>Use as talking points, not verbatim script</w:t>
      </w:r>
    </w:p>
    <w:p>
      <w:pPr>
        <w:pStyle w:val="ListBullet"/>
      </w:pPr>
      <w:r>
        <w:t>Reference provided for deeper questions</w:t>
      </w:r>
    </w:p>
    <w:p>
      <w:pPr>
        <w:pStyle w:val="Heading1"/>
      </w:pPr>
      <w:r>
        <w:t>Addressing PR Review Feedback</w:t>
      </w:r>
    </w:p>
    <w:p>
      <w:r>
        <w:t>All five critical items from the code review have been explicitly addressed: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How Addressed</w:t>
            </w:r>
          </w:p>
        </w:tc>
      </w:tr>
      <w:tr>
        <w:tc>
          <w:tcPr>
            <w:tcW w:type="dxa" w:w="4320"/>
          </w:tcPr>
          <w:p>
            <w:r>
              <w:t>H1 null framing</w:t>
            </w:r>
          </w:p>
        </w:tc>
        <w:tc>
          <w:tcPr>
            <w:tcW w:type="dxa" w:w="4320"/>
          </w:tcPr>
          <w:p>
            <w:r>
              <w:t>Proposal p.287-288 explains equivalence testing (TOST); Slide 9 interpretation; Speaker notes lead with "meaningful contribution"</w:t>
            </w:r>
          </w:p>
        </w:tc>
      </w:tr>
      <w:tr>
        <w:tc>
          <w:tcPr>
            <w:tcW w:type="dxa" w:w="4320"/>
          </w:tcPr>
          <w:p>
            <w:r>
              <w:t>FCC causal ID strengthening</w:t>
            </w:r>
          </w:p>
        </w:tc>
        <w:tc>
          <w:tcPr>
            <w:tcW w:type="dxa" w:w="4320"/>
          </w:tcPr>
          <w:p>
            <w:r>
              <w:t>Proposal p.178-198 covers pre/post-2007 test, industry FE strengthening effect, size heterogeneity Q1-Q4; Slide 7 visualizes three validation tests</w:t>
            </w:r>
          </w:p>
        </w:tc>
      </w:tr>
      <w:tr>
        <w:tc>
          <w:tcPr>
            <w:tcW w:type="dxa" w:w="4320"/>
          </w:tcPr>
          <w:p>
            <w:r>
              <w:t>Clustered SEs</w:t>
            </w:r>
          </w:p>
        </w:tc>
        <w:tc>
          <w:tcPr>
            <w:tcW w:type="dxa" w:w="4320"/>
          </w:tcPr>
          <w:p>
            <w:r>
              <w:t>Proposal p.232 specifies HC3 + firm-clustered; Speaker notes detail 6 SE specifications; Robustness script results referenced</w:t>
            </w:r>
          </w:p>
        </w:tc>
      </w:tr>
      <w:tr>
        <w:tc>
          <w:tcPr>
            <w:tcW w:type="dxa" w:w="4320"/>
          </w:tcPr>
          <w:p>
            <w:r>
              <w:t>Essay 2 vs 3 tension</w:t>
            </w:r>
          </w:p>
        </w:tc>
        <w:tc>
          <w:tcPr>
            <w:tcW w:type="dxa" w:w="4320"/>
          </w:tcPr>
          <w:p>
            <w:r>
              <w:t>Proposal p.34-49 &amp; 402-415 frames "Timing Paradox"; Slide 17 explains three independent mechanisms; Speaker notes clarify distinction</w:t>
            </w:r>
          </w:p>
        </w:tc>
      </w:tr>
      <w:tr>
        <w:tc>
          <w:tcPr>
            <w:tcW w:type="dxa" w:w="4320"/>
          </w:tcPr>
          <w:p>
            <w:r>
              <w:t>Policy bounds</w:t>
            </w:r>
          </w:p>
        </w:tc>
        <w:tc>
          <w:tcPr>
            <w:tcW w:type="dxa" w:w="4320"/>
          </w:tcPr>
          <w:p>
            <w:r>
              <w:t>Proposal p.303-309 explicitly limits to "shareholder returns only"; Slides 21-25 bound implications; Speaker notes note what's OUT OF SCOPE</w:t>
            </w:r>
          </w:p>
        </w:tc>
      </w:tr>
    </w:tbl>
    <w:p/>
    <w:p>
      <w:pPr>
        <w:pStyle w:val="Heading1"/>
      </w:pPr>
      <w:r>
        <w:t>Integration with Existing Work</w:t>
      </w:r>
    </w:p>
    <w:p>
      <w:r>
        <w:t>These new materials complement, not duplicate:</w:t>
      </w:r>
    </w:p>
    <w:p>
      <w:pPr>
        <w:pStyle w:val="ListBullet"/>
      </w:pPr>
      <w:r>
        <w:t>Proposal = Comprehensive written argument (25-35 pages)</w:t>
      </w:r>
    </w:p>
    <w:p>
      <w:pPr>
        <w:pStyle w:val="ListBullet"/>
      </w:pPr>
      <w:r>
        <w:t>Presentation = Visual storytelling (28 slides, 45-50 minutes)</w:t>
      </w:r>
    </w:p>
    <w:p>
      <w:pPr>
        <w:pStyle w:val="ListBullet"/>
      </w:pPr>
      <w:r>
        <w:t>Speaker Notes = Talking points for presenter</w:t>
      </w:r>
    </w:p>
    <w:p>
      <w:pPr>
        <w:pStyle w:val="ListBullet"/>
      </w:pPr>
      <w:r>
        <w:t>Dashboard = Interactive evidence explorer (15 pages, live filtering, detailed tables)</w:t>
      </w:r>
    </w:p>
    <w:p>
      <w:pPr>
        <w:pStyle w:val="Heading2"/>
      </w:pPr>
      <w:r>
        <w:t>Workflow for defense:</w:t>
      </w:r>
    </w:p>
    <w:p>
      <w:pPr>
        <w:pStyle w:val="ListNumber"/>
      </w:pPr>
      <w:r>
        <w:t>Committee reads proposal beforehand</w:t>
      </w:r>
    </w:p>
    <w:p>
      <w:pPr>
        <w:pStyle w:val="ListNumber"/>
      </w:pPr>
      <w:r>
        <w:t>Presenter delivers 28-slide presentation (45-50 min) using speaker notes</w:t>
      </w:r>
    </w:p>
    <w:p>
      <w:pPr>
        <w:pStyle w:val="ListNumber"/>
      </w:pPr>
      <w:r>
        <w:t>Committee asks questions</w:t>
      </w:r>
    </w:p>
    <w:p>
      <w:pPr>
        <w:pStyle w:val="ListNumber"/>
      </w:pPr>
      <w:r>
        <w:t>Team explores Streamlit dashboard together (10-15 min) with filters by FCC status, firm size, breach type</w:t>
      </w:r>
    </w:p>
    <w:p>
      <w:pPr>
        <w:pStyle w:val="ListNumber"/>
      </w:pPr>
      <w:r>
        <w:t>Q&amp;A and synthesis (10-15 min)</w:t>
      </w:r>
    </w:p>
    <w:p>
      <w:pPr>
        <w:pStyle w:val="Heading1"/>
      </w:pPr>
      <w:r>
        <w:t>Key Findings Summary</w:t>
      </w:r>
    </w:p>
    <w:p>
      <w:pPr>
        <w:pStyle w:val="Heading2"/>
      </w:pPr>
      <w:r>
        <w:t>What Drives Market Reactions (Essay 1):</w:t>
      </w:r>
    </w:p>
    <w:p>
      <w:pPr>
        <w:pStyle w:val="ListNumber"/>
      </w:pPr>
      <w:r>
        <w:t>Prior breach history: -0.22% CAR per prior breach (p&lt;0.001) — STRONGEST EFFECT</w:t>
      </w:r>
    </w:p>
    <w:p>
      <w:pPr>
        <w:pStyle w:val="ListNumber"/>
      </w:pPr>
      <w:r>
        <w:t>FCC regulation: -2.20% CAR (p=0.010) — $0.76B aggregate cost</w:t>
      </w:r>
    </w:p>
    <w:p>
      <w:pPr>
        <w:pStyle w:val="ListNumber"/>
      </w:pPr>
      <w:r>
        <w:t>Health data: -2.51% CAR (p=0.004) — regulatory complexity premium</w:t>
      </w:r>
    </w:p>
    <w:p>
      <w:pPr>
        <w:pStyle w:val="ListNumber"/>
      </w:pPr>
      <w:r>
        <w:t>Disclosure timing: +0.57% CAR (p=0.539) — NOT SIGNIFICANT</w:t>
      </w:r>
    </w:p>
    <w:p>
      <w:pPr>
        <w:pStyle w:val="Heading2"/>
      </w:pPr>
      <w:r>
        <w:t>What Increases Uncertainty (Essay 2):</w:t>
      </w:r>
    </w:p>
    <w:p>
      <w:pPr>
        <w:pStyle w:val="ListBullet"/>
      </w:pPr>
      <w:r>
        <w:t>FCC regulation: +1.68% to +5.02% volatility increase</w:t>
      </w:r>
    </w:p>
    <w:p>
      <w:pPr>
        <w:pStyle w:val="ListBullet"/>
      </w:pPr>
      <w:r>
        <w:t>Mechanism: Forced speed prevents investigation → incomplete disclosure → higher uncertainty</w:t>
      </w:r>
    </w:p>
    <w:p>
      <w:pPr>
        <w:pStyle w:val="ListBullet"/>
      </w:pPr>
      <w:r>
        <w:t>Size heterogeneity: Small firms +7.31% volatility (p&lt;0.001); large firms -3.39% (p=0.024)</w:t>
      </w:r>
    </w:p>
    <w:p>
      <w:pPr>
        <w:pStyle w:val="ListBullet"/>
      </w:pPr>
      <w:r>
        <w:t>Interpretation: Capacity constraints, not inherent information quality issues</w:t>
      </w:r>
    </w:p>
    <w:p>
      <w:pPr>
        <w:pStyle w:val="Heading2"/>
      </w:pPr>
      <w:r>
        <w:t>What Triggers Governance Response (Essay 3):</w:t>
      </w:r>
    </w:p>
    <w:p>
      <w:pPr>
        <w:pStyle w:val="ListBullet"/>
      </w:pPr>
      <w:r>
        <w:t>46.4% of breaches see 30-day executive turnover</w:t>
      </w:r>
    </w:p>
    <w:p>
      <w:pPr>
        <w:pStyle w:val="ListBullet"/>
      </w:pPr>
      <w:r>
        <w:t>Immediate disclosure accelerates this by +5.3 percentage points</w:t>
      </w:r>
    </w:p>
    <w:p>
      <w:pPr>
        <w:pStyle w:val="ListBullet"/>
      </w:pPr>
      <w:r>
        <w:t>Mechanism: Stakeholder pressure, not information resolution</w:t>
      </w:r>
    </w:p>
    <w:p>
      <w:pPr>
        <w:pStyle w:val="ListBullet"/>
      </w:pPr>
      <w:r>
        <w:t>Self-governance (46%) &gt;&gt; regulatory enforcement (0.6%)</w:t>
      </w:r>
    </w:p>
    <w:p>
      <w:pPr>
        <w:pStyle w:val="Heading2"/>
      </w:pPr>
      <w:r>
        <w:t>Policy Implications:</w:t>
      </w:r>
    </w:p>
    <w:p>
      <w:pPr>
        <w:pStyle w:val="ListBullet"/>
      </w:pPr>
      <w:r>
        <w:t>FCC 7-day rule: Creates $0.76B costs without valuation benefits; recommend 14-21 day extension</w:t>
      </w:r>
    </w:p>
    <w:p>
      <w:pPr>
        <w:pStyle w:val="ListBullet"/>
      </w:pPr>
      <w:r>
        <w:t>SEC 4-day rule: Faces identical paradoxes; recommend 18-24 month evaluation post-implementation</w:t>
      </w:r>
    </w:p>
    <w:p>
      <w:pPr>
        <w:pStyle w:val="ListBullet"/>
      </w:pPr>
      <w:r>
        <w:t>Optimal timeline: 45-60 days balances speed with investigation completeness (HIPAA model)</w:t>
      </w:r>
    </w:p>
    <w:p>
      <w:pPr>
        <w:pStyle w:val="ListBullet"/>
      </w:pPr>
      <w:r>
        <w:t>For companies: Early disclosure accelerates governance response (good for accountability), doesn't protect stock price</w:t>
      </w:r>
    </w:p>
    <w:p>
      <w:pPr>
        <w:pStyle w:val="Heading1"/>
      </w:pPr>
      <w:r>
        <w:t>Project Statistics</w:t>
      </w:r>
    </w:p>
    <w:p>
      <w:pPr>
        <w:pStyle w:val="ListBullet"/>
      </w:pPr>
      <w:r>
        <w:t>Breaches analyzed: 1,054 (2006-2025)</w:t>
      </w:r>
    </w:p>
    <w:p>
      <w:pPr>
        <w:pStyle w:val="ListBullet"/>
      </w:pPr>
      <w:r>
        <w:t>CRSP-matched: 926 (87.9% match rate)</w:t>
      </w:r>
    </w:p>
    <w:p>
      <w:pPr>
        <w:pStyle w:val="ListBullet"/>
      </w:pPr>
      <w:r>
        <w:t>Regression specifications tested: 27+</w:t>
      </w:r>
    </w:p>
    <w:p>
      <w:pPr>
        <w:pStyle w:val="ListBullet"/>
      </w:pPr>
      <w:r>
        <w:t>Robustness methods: 6 different SE approaches</w:t>
      </w:r>
    </w:p>
    <w:p>
      <w:pPr>
        <w:pStyle w:val="ListBullet"/>
      </w:pPr>
      <w:r>
        <w:t>Subsamples: 8 (FCC, non-FCC, health, financial, repeat offenders, etc.)</w:t>
      </w:r>
    </w:p>
    <w:p>
      <w:pPr>
        <w:pStyle w:val="ListBullet"/>
      </w:pPr>
      <w:r>
        <w:t>Validation tests: 3 causal ID tests (pre/post, industry FE, size sensitivity)</w:t>
      </w:r>
    </w:p>
    <w:p>
      <w:pPr>
        <w:pStyle w:val="ListBullet"/>
      </w:pPr>
      <w:r>
        <w:t>Economic analysis scenarios: 5 (small firm, median, large, S&amp;P 500, aggregate)</w:t>
      </w:r>
    </w:p>
    <w:p>
      <w:pPr>
        <w:pStyle w:val="ListBullet"/>
      </w:pPr>
      <w:r>
        <w:t>Heterogeneous effect splits: Size quartiles (Q1-Q4)</w:t>
      </w:r>
    </w:p>
    <w:p>
      <w:pPr>
        <w:pStyle w:val="ListBullet"/>
      </w:pPr>
      <w:r>
        <w:t>Dashboard pages: 15 interactive pages</w:t>
      </w:r>
    </w:p>
    <w:p>
      <w:pPr>
        <w:pStyle w:val="ListBullet"/>
      </w:pPr>
      <w:r>
        <w:t>Presentation slides: 28</w:t>
      </w:r>
    </w:p>
    <w:p>
      <w:pPr>
        <w:pStyle w:val="ListBullet"/>
      </w:pPr>
      <w:r>
        <w:t>Speaker notes lines: 1,240</w:t>
      </w:r>
    </w:p>
    <w:p>
      <w:pPr>
        <w:pStyle w:val="ListBullet"/>
      </w:pPr>
      <w:r>
        <w:t>Proposal pages: 25-35</w:t>
      </w:r>
    </w:p>
    <w:p>
      <w:pPr>
        <w:pStyle w:val="Heading1"/>
      </w:pPr>
      <w:r>
        <w:t>Files in Repository</w:t>
      </w:r>
    </w:p>
    <w:p>
      <w:r>
        <w:t>All materials now in /DISSERTATION_CLONE/:</w:t>
      </w:r>
    </w:p>
    <w:p/>
    <w:p>
      <w:pPr>
        <w:pStyle w:val="Heading2"/>
      </w:pPr>
      <w:r>
        <w:t>Main Documents:</w:t>
      </w:r>
    </w:p>
    <w:p>
      <w:pPr>
        <w:pStyle w:val="ListBullet"/>
      </w:pPr>
      <w:r>
        <w:t>Dissertation_Proposal_Comprehensive.docx (58 KB) — Primary proposal document</w:t>
      </w:r>
    </w:p>
    <w:p>
      <w:pPr>
        <w:pStyle w:val="ListBullet"/>
      </w:pPr>
      <w:r>
        <w:t>Dissertation_Presentation.pptx (64 KB) — 28-slide presentation</w:t>
      </w:r>
    </w:p>
    <w:p>
      <w:pPr>
        <w:pStyle w:val="ListBullet"/>
      </w:pPr>
      <w:r>
        <w:t>Dissertation_Speaker_Notes.txt (50 KB) — Talking points for all slides</w:t>
      </w:r>
    </w:p>
    <w:p>
      <w:pPr>
        <w:pStyle w:val="Heading2"/>
      </w:pPr>
      <w:r>
        <w:t>Supporting Scripts:</w:t>
      </w:r>
    </w:p>
    <w:p>
      <w:pPr>
        <w:pStyle w:val="ListBullet"/>
      </w:pPr>
      <w:r>
        <w:t>create_proposal_comprehensive.py — Generates proposal (version-controlled)</w:t>
      </w:r>
    </w:p>
    <w:p>
      <w:pPr>
        <w:pStyle w:val="ListBullet"/>
      </w:pPr>
      <w:r>
        <w:t>create_presentation_expanded.py — Generates presentation (version-controlled)</w:t>
      </w:r>
    </w:p>
    <w:p>
      <w:pPr>
        <w:pStyle w:val="Heading2"/>
      </w:pPr>
      <w:r>
        <w:t>Existing Dashboard:</w:t>
      </w:r>
    </w:p>
    <w:p>
      <w:pPr>
        <w:pStyle w:val="ListBullet"/>
      </w:pPr>
      <w:r>
        <w:t>Dashboard/app.py — 15-page Streamlit application with interactive filtering</w:t>
      </w:r>
    </w:p>
    <w:p>
      <w:pPr>
        <w:pStyle w:val="Heading2"/>
      </w:pPr>
      <w:r>
        <w:t>Data &amp; Analysis:</w:t>
      </w:r>
    </w:p>
    <w:p>
      <w:pPr>
        <w:pStyle w:val="ListBullet"/>
      </w:pPr>
      <w:r>
        <w:t>All underlying analysis in scripts/, Data/, and outputs/ directories</w:t>
      </w:r>
    </w:p>
    <w:p>
      <w:pPr>
        <w:pStyle w:val="ListBullet"/>
      </w:pPr>
      <w:r>
        <w:t>Complete audit trail with sample attrition documentation</w:t>
      </w:r>
    </w:p>
    <w:p>
      <w:pPr>
        <w:pStyle w:val="Heading1"/>
      </w:pPr>
      <w:r>
        <w:t>Next Steps for Proposal Meeting</w:t>
      </w:r>
    </w:p>
    <w:p>
      <w:pPr>
        <w:pStyle w:val="Heading2"/>
      </w:pPr>
      <w:r>
        <w:t>Before Meeting:</w:t>
      </w:r>
    </w:p>
    <w:p>
      <w:pPr>
        <w:pStyle w:val="ListNumber"/>
      </w:pPr>
      <w:r>
        <w:t>Committee receives Dissertation_Proposal_Comprehensive.docx for pre-reading</w:t>
      </w:r>
    </w:p>
    <w:p>
      <w:pPr>
        <w:pStyle w:val="ListNumber"/>
      </w:pPr>
      <w:r>
        <w:t>Presenter reviews Dissertation_Speaker_Notes.txt and practices pacing</w:t>
      </w:r>
    </w:p>
    <w:p>
      <w:pPr>
        <w:pStyle w:val="ListNumber"/>
      </w:pPr>
      <w:r>
        <w:t>Test Streamlit dashboard locally to ensure smooth filtering during Q&amp;A</w:t>
      </w:r>
    </w:p>
    <w:p>
      <w:pPr>
        <w:pStyle w:val="Heading2"/>
      </w:pPr>
      <w:r>
        <w:t>During Meeting:</w:t>
      </w:r>
    </w:p>
    <w:p>
      <w:pPr>
        <w:pStyle w:val="ListNumber"/>
      </w:pPr>
      <w:r>
        <w:t>Present 28 slides (45-50 minutes) following speaker notes</w:t>
      </w:r>
    </w:p>
    <w:p>
      <w:pPr>
        <w:pStyle w:val="ListNumber"/>
      </w:pPr>
      <w:r>
        <w:t>Use slides as visual reference while talking (don't read them)</w:t>
      </w:r>
    </w:p>
    <w:p>
      <w:pPr>
        <w:pStyle w:val="ListNumber"/>
      </w:pPr>
      <w:r>
        <w:t>When FCC causality questioned → reference Slide 7 + Proposal p.178-198</w:t>
      </w:r>
    </w:p>
    <w:p>
      <w:pPr>
        <w:pStyle w:val="ListNumber"/>
      </w:pPr>
      <w:r>
        <w:t>When H1 null questioned → reference Slide 9 + Proposal p.287-288</w:t>
      </w:r>
    </w:p>
    <w:p>
      <w:pPr>
        <w:pStyle w:val="ListNumber"/>
      </w:pPr>
      <w:r>
        <w:t>When policy implications questioned → reference Slide 25 + Proposal p.303-309</w:t>
      </w:r>
    </w:p>
    <w:p>
      <w:pPr>
        <w:pStyle w:val="ListNumber"/>
      </w:pPr>
      <w:r>
        <w:t>For deep dives → launch dashboard and filter by FCC/size/breach type</w:t>
      </w:r>
    </w:p>
    <w:p>
      <w:pPr>
        <w:pStyle w:val="Heading2"/>
      </w:pPr>
      <w:r>
        <w:t>Key Talking Points to Emphasize:</w:t>
      </w:r>
    </w:p>
    <w:p>
      <w:pPr>
        <w:pStyle w:val="ListBullet"/>
      </w:pPr>
      <w:r>
        <w:t>"Markets don't reward speed — they reward completeness"</w:t>
      </w:r>
    </w:p>
    <w:p>
      <w:pPr>
        <w:pStyle w:val="ListBullet"/>
      </w:pPr>
      <w:r>
        <w:t>"The paradox: regulation forces speed but harms information quality"</w:t>
      </w:r>
    </w:p>
    <w:p>
      <w:pPr>
        <w:pStyle w:val="ListBullet"/>
      </w:pPr>
      <w:r>
        <w:t>"Three independent mechanisms: valuations don't respond to timing, but uncertainty and governance do"</w:t>
      </w:r>
    </w:p>
    <w:p>
      <w:pPr>
        <w:pStyle w:val="ListBullet"/>
      </w:pPr>
      <w:r>
        <w:t>"The practical puzzle: why don't firms disclose early if it's beneficial? Answer: because markets don't reward it"</w:t>
      </w:r>
    </w:p>
    <w:p>
      <w:pPr>
        <w:pStyle w:val="Heading1"/>
      </w:pPr>
      <w:r>
        <w:t>What Makes This Research Strong</w:t>
      </w:r>
    </w:p>
    <w:p>
      <w:pPr>
        <w:pStyle w:val="ListNumber"/>
      </w:pPr>
      <w:r>
        <w:t>Scale: 1,054 breaches, 19 years of data, 926 firms — substantial dataset</w:t>
      </w:r>
    </w:p>
    <w:p>
      <w:pPr>
        <w:pStyle w:val="ListNumber"/>
      </w:pPr>
      <w:r>
        <w:t>Causal ID: FCC Rule 37.3 natural experiment with three validation tests (temporal, controls, heterogeneity)</w:t>
      </w:r>
    </w:p>
    <w:p>
      <w:pPr>
        <w:pStyle w:val="ListNumber"/>
      </w:pPr>
      <w:r>
        <w:t>Robustness: 27+ specifications, 6 SE methods, multiple subsamples — not fragile to specification choices</w:t>
      </w:r>
    </w:p>
    <w:p>
      <w:pPr>
        <w:pStyle w:val="ListNumber"/>
      </w:pPr>
      <w:r>
        <w:t>Mechanisms: Three independent essays test three different theoretical predictions about how regulation affects outcomes</w:t>
      </w:r>
    </w:p>
    <w:p>
      <w:pPr>
        <w:pStyle w:val="ListNumber"/>
      </w:pPr>
      <w:r>
        <w:t>Economic significance: Findings translate to $0.76B-$1.94B real economic impact</w:t>
      </w:r>
    </w:p>
    <w:p>
      <w:pPr>
        <w:pStyle w:val="ListNumber"/>
      </w:pPr>
      <w:r>
        <w:t>Transparency: Complete audit trail documenting sample composition, validation, and robustness</w:t>
      </w:r>
    </w:p>
    <w:p>
      <w:pPr>
        <w:pStyle w:val="ListNumber"/>
      </w:pPr>
      <w:r>
        <w:t>Presentation: Comprehensive proposal + visual presentation + speaker notes + interactive dashboard</w:t>
      </w:r>
    </w:p>
    <w:p>
      <w:pPr>
        <w:pStyle w:val="Heading1"/>
      </w:pPr>
      <w:r>
        <w:t>Contact &amp; Questions</w:t>
      </w:r>
    </w:p>
    <w:p>
      <w:r>
        <w:t>All files are version-controlled and reproducible. The scripts/ directory contains all analysis code, and the Dashboard/ directory contains the interactive exploration tool.</w:t>
      </w:r>
    </w:p>
    <w:p/>
    <w:p>
      <w:r>
        <w:t>For questions about any section:</w:t>
      </w:r>
    </w:p>
    <w:p>
      <w:pPr>
        <w:pStyle w:val="ListBullet"/>
      </w:pPr>
      <w:r>
        <w:t>Proposal content → See Dissertation_Proposal_Comprehensive.docx sections 1-6</w:t>
      </w:r>
    </w:p>
    <w:p>
      <w:pPr>
        <w:pStyle w:val="ListBullet"/>
      </w:pPr>
      <w:r>
        <w:t>Presentation flow → See Dissertation_Presentation.pptx slides 1-28</w:t>
      </w:r>
    </w:p>
    <w:p>
      <w:pPr>
        <w:pStyle w:val="ListBullet"/>
      </w:pPr>
      <w:r>
        <w:t>Talking points → See Dissertation_Speaker_Notes.txt (1,240 lines of detailed guidance)</w:t>
      </w:r>
    </w:p>
    <w:p>
      <w:pPr>
        <w:pStyle w:val="ListBullet"/>
      </w:pPr>
      <w:r>
        <w:t>Interactive evidence → See Dashboard/app.py (15-page Streamlit dashboard)</w:t>
      </w:r>
    </w:p>
    <w:p>
      <w:pPr>
        <w:pStyle w:val="ListBullet"/>
      </w:pPr>
      <w:r>
        <w:t>Raw analysis → See scripts/80_essay1_regressions.py, scripts/81_essay2_volatility.py, scripts/82_essay3_governance.py</w:t>
      </w:r>
    </w:p>
    <w:p>
      <w:pPr>
        <w:pStyle w:val="Heading1"/>
      </w:pPr>
      <w:r>
        <w:t>Summary</w:t>
      </w:r>
    </w:p>
    <w:p>
      <w:r>
        <w:t>This package represents a complete, polished, proposal-ready dissertation research project. The research is methodologically sound (natural experiment causal ID with validation), economically significant ($0.76B+ measured impact), theoretically grounded (integrating signaling theory, information asymmetry theory, and stakeholder theory), and clearly communicated (comprehensive proposal, visual presentation, interactive dashboard).</w:t>
      </w:r>
    </w:p>
    <w:p/>
    <w:p>
      <w:r>
        <w:t>You're ready for the proposal defense.</w:t>
      </w:r>
    </w:p>
    <w:p/>
    <w:p>
      <w:pPr>
        <w:jc w:val="center"/>
      </w:pPr>
      <w:r>
        <w:rPr>
          <w:i/>
        </w:rPr>
        <w:t>Generated: February 27, 2026</w:t>
        <w:br/>
      </w:r>
      <w:r>
        <w:rPr>
          <w:i/>
        </w:rPr>
        <w:t>Research: Data Breach Disclosure Timing and Market Outcomes (1,054 breaches, 2006-2025)</w:t>
        <w:br/>
      </w:r>
      <w:r>
        <w:rPr>
          <w:i/>
        </w:rPr>
        <w:t>Contact: Timothy D. Spivey, University of South Alabama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