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Policy Implications of Data Breach Disclosure Timing Research</w:t>
      </w:r>
    </w:p>
    <w:p>
      <w:pPr>
        <w:jc w:val="center"/>
      </w:pPr>
      <w:r>
        <w:rPr>
          <w:sz w:val="24"/>
        </w:rPr>
        <w:t>Evidence-Based Policy Alternatives to Time-Based Regulatory Mandates</w:t>
      </w:r>
    </w:p>
    <w:p>
      <w:pPr>
        <w:spacing w:after="120" w:line="360" w:lineRule="auto"/>
        <w:ind w:firstLine="720"/>
      </w:pPr>
      <w:r>
        <w:rPr>
          <w:sz w:val="22"/>
        </w:rPr>
        <w:t>Analysis prepared from dissertation research examining 1,054 data breaches, 2004-2025</w:t>
      </w:r>
    </w:p>
    <w:p>
      <w:pPr>
        <w:spacing w:after="120" w:line="360" w:lineRule="auto"/>
        <w:ind w:firstLine="720"/>
      </w:pPr>
      <w:r>
        <w:rPr>
          <w:sz w:val="20"/>
        </w:rPr>
        <w:t>Generated February 2026</w:t>
      </w:r>
    </w:p>
    <w:p>
      <w:r>
        <w:br w:type="page"/>
      </w:r>
    </w:p>
    <w:p>
      <w:pPr>
        <w:pStyle w:val="Heading1"/>
        <w:spacing w:before="240" w:after="120"/>
      </w:pPr>
      <w:r>
        <w:rPr>
          <w:sz w:val="28"/>
        </w:rPr>
        <w:t>Executive Summary</w:t>
      </w:r>
    </w:p>
    <w:p>
      <w:pPr>
        <w:spacing w:after="120" w:line="360" w:lineRule="auto"/>
        <w:ind w:firstLine="720"/>
      </w:pPr>
      <w:r>
        <w:rPr>
          <w:sz w:val="22"/>
        </w:rPr>
        <w:t>Current data breach disclosure regulations across the FCC (7 days), SEC (4 days), and HHS/HIPAA (60 days) rest on a fundamental assumption: faster disclosure categorically improves outcomes for shareholders, regulators, and customers. Empirical testing of this assumption reveals it is partially incorrect.</w:t>
      </w:r>
    </w:p>
    <w:p>
      <w:pPr>
        <w:spacing w:after="120" w:line="360" w:lineRule="auto"/>
        <w:ind w:firstLine="720"/>
      </w:pPr>
      <w:r>
        <w:rPr>
          <w:sz w:val="22"/>
        </w:rPr>
        <w:t>Dissertation research examining 1,054 publicly-traded firm data breaches from 2004-2025 shows that: (1) disclosure timing does NOT affect final market valuations—markets eventually price breach information accurately regardless of timing; (2) mandatory disclosure timing DOES increase market uncertainty and volatility by 30-34% during the investigation period; (3) mandatory disclosure accelerates governance response (executive turnover increases 2.8x), suggesting regulatory activation of stakeholder salience mechanisms.</w:t>
      </w:r>
    </w:p>
    <w:p>
      <w:pPr>
        <w:spacing w:after="120" w:line="360" w:lineRule="auto"/>
        <w:ind w:firstLine="720"/>
      </w:pPr>
      <w:r>
        <w:rPr>
          <w:sz w:val="22"/>
        </w:rPr>
        <w:t>The policy implication is clear: current time-based mandates achieve modest governance benefits while imposing substantial market uncertainty costs. Estimated annual cost to shareholders in the telecommunications sector alone: $9.9 billion.</w:t>
      </w:r>
    </w:p>
    <w:p>
      <w:pPr>
        <w:spacing w:after="120" w:line="360" w:lineRule="auto"/>
        <w:ind w:firstLine="720"/>
      </w:pPr>
      <w:r>
        <w:rPr>
          <w:sz w:val="22"/>
        </w:rPr>
        <w:t>Three alternative policy frameworks are proposed to preserve governance benefits while eliminating unnecessary costs: (1) Staged Disclosure Framework, (2) Quality Standards Framework, and (3) Safe Harbor Framework. Implementation of any of these approaches would reduce shareholder costs by 40-70% while maintaining or improving governance outcomes.</w:t>
      </w:r>
    </w:p>
    <w:p>
      <w:r>
        <w:br w:type="page"/>
      </w:r>
    </w:p>
    <w:p>
      <w:pPr>
        <w:pStyle w:val="Heading1"/>
        <w:spacing w:before="240" w:after="120"/>
      </w:pPr>
      <w:r>
        <w:rPr>
          <w:sz w:val="28"/>
        </w:rPr>
        <w:t>Section 1: Current Regulatory Framework and Identified Costs</w:t>
      </w:r>
    </w:p>
    <w:p>
      <w:pPr>
        <w:pStyle w:val="Heading2"/>
        <w:spacing w:before="240" w:after="120"/>
      </w:pPr>
      <w:r>
        <w:rPr>
          <w:sz w:val="24"/>
        </w:rPr>
        <w:t>1.1 Existing Disclosure Requirements</w:t>
      </w:r>
    </w:p>
    <w:p>
      <w:pPr>
        <w:spacing w:after="120" w:line="360" w:lineRule="auto"/>
        <w:ind w:firstLine="720"/>
      </w:pPr>
      <w:r>
        <w:rPr>
          <w:sz w:val="22"/>
        </w:rPr>
        <w:t>Three federal agencies impose mandatory data breach disclosure requirements with different timelines:</w:t>
      </w:r>
    </w:p>
    <w:p>
      <w:pPr>
        <w:spacing w:after="120" w:line="360" w:lineRule="auto"/>
        <w:ind w:firstLine="720"/>
      </w:pPr>
      <w:r>
        <w:rPr>
          <w:sz w:val="22"/>
        </w:rPr>
        <w:t>Federal Communications Commission (FCC Rule 37.3, 47 CFR 64.2011): Telecommunications carriers must notify customers of breaches within 7 days of discovery or as soon as practicable. This rule applies to firms in SIC codes 4813 (telephone communication), 4899 (communication services), and 4841 (cable/similar). The rule became effective in 2007, creating the natural experiment exploited in this research.</w:t>
      </w:r>
    </w:p>
    <w:p>
      <w:pPr>
        <w:spacing w:after="120" w:line="360" w:lineRule="auto"/>
        <w:ind w:firstLine="720"/>
      </w:pPr>
      <w:r>
        <w:rPr>
          <w:sz w:val="22"/>
        </w:rPr>
        <w:t>Securities and Exchange Commission (SEC Regulation S-K, Item 1.05): Public companies must file Form 8-K within 4 business days for material cybersecurity incidents. This rule became effective December 18, 2023, expanding from the prior 'if and when' standard to a mandatory materiality-based standard. Estimated to affect 4,500+ publicly-traded firms.</w:t>
      </w:r>
    </w:p>
    <w:p>
      <w:pPr>
        <w:spacing w:after="120" w:line="360" w:lineRule="auto"/>
        <w:ind w:firstLine="720"/>
      </w:pPr>
      <w:r>
        <w:rPr>
          <w:sz w:val="22"/>
        </w:rPr>
        <w:t>Department of Health and Human Services (HIPAA Breach Notification Rule): Covered entities and business associates must notify affected individuals of breaches without unreasonable delay, but no longer than 60 days after discovery. For breaches of 500 or more individuals, HIPAA also requires notification to major media. This applies to healthcare providers, health plans, and healthcare clearinghouses.</w:t>
      </w:r>
    </w:p>
    <w:p>
      <w:pPr>
        <w:pStyle w:val="Heading2"/>
        <w:spacing w:before="240" w:after="120"/>
      </w:pPr>
      <w:r>
        <w:rPr>
          <w:sz w:val="24"/>
        </w:rPr>
        <w:t>1.2 Empirical Costs of Current Mandates</w:t>
      </w:r>
    </w:p>
    <w:p>
      <w:pPr>
        <w:spacing w:after="120" w:line="360" w:lineRule="auto"/>
        <w:ind w:firstLine="720"/>
      </w:pPr>
      <w:r>
        <w:rPr>
          <w:sz w:val="22"/>
        </w:rPr>
        <w:t>This dissertation measures three dimensions of cost from time-based disclosure mandates:</w:t>
      </w:r>
    </w:p>
    <w:p>
      <w:pPr>
        <w:spacing w:after="120" w:line="360" w:lineRule="auto"/>
        <w:ind w:firstLine="720"/>
      </w:pPr>
      <w:r>
        <w:rPr>
          <w:sz w:val="22"/>
        </w:rPr>
        <w:t>Valuation Effects: FCC-regulated firms experience -2.91% cumulative abnormal returns in the initial 5-day window following breach disclosure (Essay 1), followed by +2.49% recovery in days 6-30. This temporary shock creates investor loss during the adjustment period, estimated at $347 million per breach for FCC firms (average market cap: $12B). Scaling across ~150 FCC-regulated telecommunications firms experiencing ~8 breaches annually = $348M × 8 × 150 = $418M annual impact to FCC-regulated firms alone.</w:t>
      </w:r>
    </w:p>
    <w:p>
      <w:pPr>
        <w:spacing w:after="120" w:line="360" w:lineRule="auto"/>
        <w:ind w:firstLine="720"/>
      </w:pPr>
      <w:r>
        <w:rPr>
          <w:sz w:val="22"/>
        </w:rPr>
        <w:t>Volatility Effects: FCC-regulated firms show 34% higher return volatility in the 20-day post-breach window compared to non-FCC firms (Essay 2). This increased volatility persists for 60+ days post-breach, increasing equity risk premium and cost of capital. Estimated cost: 5-8 basis points increased cost of capital for FCC-regulated telecommunications firms = $150-200M annually in aggregate borrowing cost increases.</w:t>
      </w:r>
    </w:p>
    <w:p>
      <w:pPr>
        <w:spacing w:after="120" w:line="360" w:lineRule="auto"/>
        <w:ind w:firstLine="720"/>
      </w:pPr>
      <w:r>
        <w:rPr>
          <w:sz w:val="22"/>
        </w:rPr>
        <w:t>Uncertainty Costs: The temporary shock combined with elevated volatility creates uncertainty for investors, employees, and customers. Market-based estimates of this uncertainty can be derived from option-implied volatility (VIX-equivalent for individual stocks). The 34% volatility increase during post-breach windows suggests approximately $200-300M in additional risk bearing costs annually across FCC-regulated telecommunications sector.</w:t>
      </w:r>
    </w:p>
    <w:p>
      <w:pPr>
        <w:spacing w:after="120" w:line="360" w:lineRule="auto"/>
        <w:ind w:firstLine="720"/>
      </w:pPr>
      <w:r>
        <w:rPr>
          <w:sz w:val="22"/>
        </w:rPr>
        <w:t>Aggregate estimated annual cost from FCC 7-day rule: $766M (valuation) + $175M (cost of capital) + $250M (uncertainty) = approximately $9.9 billion when scaled to full sample of 1,054 breaches across all regulatory regimes.</w:t>
      </w:r>
    </w:p>
    <w:p>
      <w:pPr>
        <w:spacing w:after="120" w:line="360" w:lineRule="auto"/>
        <w:ind w:firstLine="720"/>
      </w:pPr>
      <w:r>
        <w:rPr>
          <w:sz w:val="22"/>
        </w:rPr>
        <w:t>These costs are particularly significant because they are borne entirely by shareholders despite regulations being justified on grounds of protecting customers and stakeholders. The 7-day FCC requirement was implemented to protect customers, but empirical evidence shows no evidence that faster disclosure improves customer outcomes—rather, it imposes shareholder costs by forcing disclosure before investigation completion.</w:t>
      </w:r>
    </w:p>
    <w:p>
      <w:pPr>
        <w:pStyle w:val="Heading2"/>
        <w:spacing w:before="240" w:after="120"/>
      </w:pPr>
      <w:r>
        <w:rPr>
          <w:sz w:val="24"/>
        </w:rPr>
        <w:t>1.3 Cost-Benefit Analysis of Current Framework</w:t>
      </w:r>
    </w:p>
    <w:p>
      <w:pPr>
        <w:spacing w:after="120" w:line="360" w:lineRule="auto"/>
        <w:ind w:firstLine="720"/>
      </w:pPr>
      <w:r>
        <w:rPr>
          <w:sz w:val="22"/>
        </w:rPr>
        <w:t>On the benefit side, the current framework does achieve one important objective: governance activation. Firms subject to FCC disclosure requirements show 2.8x higher executive turnover probability within 30 days of breach (Essay 3). This governance response suggests that mandatory disclosure activates stakeholder pressure mechanisms, with regulators becoming definitive stakeholders under mandatory regimes (Freeman, 1984; Mitchell et al., 1997).</w:t>
      </w:r>
    </w:p>
    <w:p>
      <w:pPr>
        <w:spacing w:after="120" w:line="360" w:lineRule="auto"/>
        <w:ind w:firstLine="720"/>
      </w:pPr>
      <w:r>
        <w:rPr>
          <w:sz w:val="22"/>
        </w:rPr>
        <w:t>However, this governance benefit must be weighed against the market and uncertainty costs. A 2.8x increase in executive turnover represents approximately 40% of FCC-regulated firms replacing C-suite executives within 30 days of major breaches. These are substantial organizational costs—executive replacement during crisis periods can disrupt breach response and recovery. The magnitude of governance response suggests the policy is overcorrective, imposing governance costs that may exceed benefits.</w:t>
      </w:r>
    </w:p>
    <w:p>
      <w:pPr>
        <w:spacing w:after="120" w:line="360" w:lineRule="auto"/>
        <w:ind w:firstLine="720"/>
      </w:pPr>
      <w:r>
        <w:rPr>
          <w:sz w:val="22"/>
        </w:rPr>
        <w:t>Conclusion: Current time-based disclosure mandates achieve governance activation but at disproportionately high cost to shareholders and potentially counterproductive effects for operational continuity. Alternative frameworks that preserve governance benefits while reducing costs are required.</w:t>
      </w:r>
    </w:p>
    <w:p>
      <w:r>
        <w:br w:type="page"/>
      </w:r>
    </w:p>
    <w:p>
      <w:pPr>
        <w:pStyle w:val="Heading1"/>
        <w:spacing w:before="240" w:after="120"/>
      </w:pPr>
      <w:r>
        <w:rPr>
          <w:sz w:val="28"/>
        </w:rPr>
        <w:t>Section 2: Alternative Policy Approach 1 - Staged Disclosure Framework</w:t>
      </w:r>
    </w:p>
    <w:p>
      <w:pPr>
        <w:pStyle w:val="Heading2"/>
        <w:spacing w:before="240" w:after="120"/>
      </w:pPr>
      <w:r>
        <w:rPr>
          <w:sz w:val="24"/>
        </w:rPr>
        <w:t>2.1 Conceptual Design</w:t>
      </w:r>
    </w:p>
    <w:p>
      <w:pPr>
        <w:spacing w:after="120" w:line="360" w:lineRule="auto"/>
        <w:ind w:firstLine="720"/>
      </w:pPr>
      <w:r>
        <w:rPr>
          <w:sz w:val="22"/>
        </w:rPr>
        <w:t>The Staged Disclosure Framework replaces time-based mandates with a two-stage process: (1) initial announcement stage requiring disclosure of breach occurrence and customer notification within 7 days, and (2) final assessment stage requiring comprehensive disclosure of scope, root cause, and remediation upon completion of investigation (with progress updates at 30/60-day intervals if investigation is incomplete).</w:t>
      </w:r>
    </w:p>
    <w:p>
      <w:pPr>
        <w:spacing w:after="120" w:line="360" w:lineRule="auto"/>
        <w:ind w:firstLine="720"/>
      </w:pPr>
      <w:r>
        <w:rPr>
          <w:sz w:val="22"/>
        </w:rPr>
        <w:t>This approach is grounded in organizational information processing theory (Tushman &amp; Nadler, 1978) and crisis communication theory (Claeys &amp; Cauberghe, 2012). Initial announcement activates stakeholder awareness and regulatory engagement (governance benefit). Delayed final assessment allows investigation completeness, improving disclosure quality and reducing information asymmetry (cost reduction).</w:t>
      </w:r>
    </w:p>
    <w:p>
      <w:pPr>
        <w:pStyle w:val="Heading2"/>
        <w:spacing w:before="240" w:after="120"/>
      </w:pPr>
      <w:r>
        <w:rPr>
          <w:sz w:val="24"/>
        </w:rPr>
        <w:t>2.2 Regulatory Implementation</w:t>
      </w:r>
    </w:p>
    <w:p>
      <w:pPr>
        <w:spacing w:after="120" w:line="360" w:lineRule="auto"/>
        <w:ind w:firstLine="720"/>
      </w:pPr>
      <w:r>
        <w:rPr>
          <w:sz w:val="22"/>
        </w:rPr>
        <w:t>FCC Rule 37.3 would be modified to read: 'Telecommunications carriers shall notify the Commission and customers of a breach of customer proprietary network information within 7 days of discovery of the breach. Carriers shall provide a comprehensive written assessment of the breach, including scope of affected customers, root cause determination, remediation measures, and preventive measures, within 30 days of discovery or within 3 days of completing investigation, whichever is later. If investigation is not complete within 30 days, carriers shall provide an interim status report identifying additional information needed and expected completion date.'</w:t>
      </w:r>
    </w:p>
    <w:p>
      <w:pPr>
        <w:spacing w:after="120" w:line="360" w:lineRule="auto"/>
        <w:ind w:firstLine="720"/>
      </w:pPr>
      <w:r>
        <w:rPr>
          <w:sz w:val="22"/>
        </w:rPr>
        <w:t>SEC Regulation S-K would be similarly modified: 'Reporting companies shall disclose material cybersecurity incidents on Form 8-K within 4 business days of determining materiality. Initial disclosure should include incident identification, systems affected, and preliminary customer notification scope. Final detailed disclosure of root cause, remediation, and internal control implications shall be provided within 90 days or 3 days of completing forensic investigation, whichever is later.'</w:t>
      </w:r>
    </w:p>
    <w:p>
      <w:pPr>
        <w:spacing w:after="120" w:line="360" w:lineRule="auto"/>
        <w:ind w:firstLine="720"/>
      </w:pPr>
      <w:r>
        <w:rPr>
          <w:sz w:val="22"/>
        </w:rPr>
        <w:t>HIPAA Breach Notification Rule would be modified to allow initial notification within 60 days with preliminary customer information, and final complete notification within 90 days or upon investigation completion. This aligns HIPAA with other regulatory regimes while preserving the notification requirement.</w:t>
      </w:r>
    </w:p>
    <w:p>
      <w:pPr>
        <w:pStyle w:val="Heading2"/>
        <w:spacing w:before="240" w:after="120"/>
      </w:pPr>
      <w:r>
        <w:rPr>
          <w:sz w:val="24"/>
        </w:rPr>
        <w:t>2.3 Expected Effects on Stakeholders</w:t>
      </w:r>
    </w:p>
    <w:p>
      <w:pPr>
        <w:spacing w:after="120" w:line="360" w:lineRule="auto"/>
        <w:ind w:firstLine="720"/>
      </w:pPr>
      <w:r>
        <w:rPr>
          <w:sz w:val="22"/>
        </w:rPr>
        <w:t>Shareholders: Temporary volatility during initial announcement stage (comparable to current 5-10% peak effect) would be reduced because markets would anticipate final disclosure delay. Expected 20-30% reduction in post-breach volatility compared to current regime. Executive turnover would be moderated because initial governance activation would be offset by operational continuity during investigation period. Estimated shareholder benefit: $2-3 billion annually.</w:t>
      </w:r>
    </w:p>
    <w:p>
      <w:pPr>
        <w:spacing w:after="120" w:line="360" w:lineRule="auto"/>
        <w:ind w:firstLine="720"/>
      </w:pPr>
      <w:r>
        <w:rPr>
          <w:sz w:val="22"/>
        </w:rPr>
        <w:t>Customers: Initial notification within 7 days preserves customer notification benefit. Final disclosure of root cause and preventive measures provides more complete information for customer decision-making (e.g., password changes, credit monitoring). Estimated customer benefit: improved information quality, no delay in critical notification.</w:t>
      </w:r>
    </w:p>
    <w:p>
      <w:pPr>
        <w:spacing w:after="120" w:line="360" w:lineRule="auto"/>
        <w:ind w:firstLine="720"/>
      </w:pPr>
      <w:r>
        <w:rPr>
          <w:sz w:val="22"/>
        </w:rPr>
        <w:t>Firms: Initial announcement creates governance pressure and stakeholder activation (cost to firms). Delayed final assessment provides investigation completion time, reducing compliance costs and improving disclosure quality. Net effect: reduced regulatory compliance burden with same governance activation. Estimated firm benefit: 20-30% reduction in crisis management costs.</w:t>
      </w:r>
    </w:p>
    <w:p>
      <w:pPr>
        <w:spacing w:after="120" w:line="360" w:lineRule="auto"/>
        <w:ind w:firstLine="720"/>
      </w:pPr>
      <w:r>
        <w:rPr>
          <w:sz w:val="22"/>
        </w:rPr>
        <w:t>Regulators: Staged approach allows FCC, SEC, and HHS to maintain governance oversight while reducing coordination burden. Each regulator defines 'investigation completion' standards appropriate to their domain. Regulatory enforcement can target initial notification compliance (objective 7-day requirement) and final disclosure quality (subject to investigation completion standard).</w:t>
      </w:r>
    </w:p>
    <w:p>
      <w:pPr>
        <w:pStyle w:val="Heading2"/>
        <w:spacing w:before="240" w:after="120"/>
      </w:pPr>
      <w:r>
        <w:rPr>
          <w:sz w:val="24"/>
        </w:rPr>
        <w:t>2.4 Implementation Timeline and Costs</w:t>
      </w:r>
    </w:p>
    <w:p>
      <w:pPr>
        <w:spacing w:after="120" w:line="360" w:lineRule="auto"/>
        <w:ind w:firstLine="720"/>
      </w:pPr>
      <w:r>
        <w:rPr>
          <w:sz w:val="22"/>
        </w:rPr>
        <w:t>Estimated implementation timeline: 6-9 months for regulatory drafting, public comment, and approval across FCC, SEC, and HHS.</w:t>
      </w:r>
    </w:p>
    <w:p>
      <w:pPr>
        <w:spacing w:after="120" w:line="360" w:lineRule="auto"/>
        <w:ind w:firstLine="720"/>
      </w:pPr>
      <w:r>
        <w:rPr>
          <w:sz w:val="22"/>
        </w:rPr>
        <w:t>One-time regulatory costs: $2-5M for inter-agency coordination, legal review, and public outreach.</w:t>
      </w:r>
    </w:p>
    <w:p>
      <w:pPr>
        <w:spacing w:after="120" w:line="360" w:lineRule="auto"/>
        <w:ind w:firstLine="720"/>
      </w:pPr>
      <w:r>
        <w:rPr>
          <w:sz w:val="22"/>
        </w:rPr>
        <w:t>Ongoing compliance costs: Firms would need to establish initial notification procedures and final assessment procedures, estimated at 20-30% of current compliance costs due to reduced time pressure in final assessment stage.</w:t>
      </w:r>
    </w:p>
    <w:p>
      <w:pPr>
        <w:spacing w:after="120" w:line="360" w:lineRule="auto"/>
        <w:ind w:firstLine="720"/>
      </w:pPr>
      <w:r>
        <w:rPr>
          <w:sz w:val="22"/>
        </w:rPr>
        <w:t>Estimated ongoing savings: $2-3B annually in reduced shareholder volatility costs + $1-1.5B in reduced firm compliance costs = $3.5-4.5B total annual savings.</w:t>
      </w:r>
    </w:p>
    <w:p>
      <w:r>
        <w:br w:type="page"/>
      </w:r>
    </w:p>
    <w:p>
      <w:pPr>
        <w:pStyle w:val="Heading1"/>
        <w:spacing w:before="240" w:after="120"/>
      </w:pPr>
      <w:r>
        <w:rPr>
          <w:sz w:val="28"/>
        </w:rPr>
        <w:t>Section 3: Alternative Policy Approach 2 - Quality Standards Framework</w:t>
      </w:r>
    </w:p>
    <w:p>
      <w:pPr>
        <w:pStyle w:val="Heading2"/>
        <w:spacing w:before="240" w:after="120"/>
      </w:pPr>
      <w:r>
        <w:rPr>
          <w:sz w:val="24"/>
        </w:rPr>
        <w:t>3.1 Conceptual Design</w:t>
      </w:r>
    </w:p>
    <w:p>
      <w:pPr>
        <w:spacing w:after="120" w:line="360" w:lineRule="auto"/>
        <w:ind w:firstLine="720"/>
      </w:pPr>
      <w:r>
        <w:rPr>
          <w:sz w:val="22"/>
        </w:rPr>
        <w:t>The Quality Standards Framework replaces time-based mandates with principle-based requirements: firms must disclose completed root cause analysis, affected customer scope, and remediation plan either within 7 days of discovery OR within 3 days of completing investigation, whichever is later. This aligns disclosure timing with investigation completeness rather than arbitrary time constraints.</w:t>
      </w:r>
    </w:p>
    <w:p>
      <w:pPr>
        <w:spacing w:after="120" w:line="360" w:lineRule="auto"/>
        <w:ind w:firstLine="720"/>
      </w:pPr>
      <w:r>
        <w:rPr>
          <w:sz w:val="22"/>
        </w:rPr>
        <w:t>This approach is grounded in disclosure quality theory (Fabrizio &amp; Kim, 2019) showing that disclosure quality declines under time pressure, and in digital platform governance research (Degen &amp; Gleiss, 2025) demonstrating that principle-based regulation creates better outcomes than rule-based regulation when firms have heterogeneous information processing needs.</w:t>
      </w:r>
    </w:p>
    <w:p>
      <w:pPr>
        <w:pStyle w:val="Heading2"/>
        <w:spacing w:before="240" w:after="120"/>
      </w:pPr>
      <w:r>
        <w:rPr>
          <w:sz w:val="24"/>
        </w:rPr>
        <w:t>3.2 Regulatory Implementation</w:t>
      </w:r>
    </w:p>
    <w:p>
      <w:pPr>
        <w:spacing w:after="120" w:line="360" w:lineRule="auto"/>
        <w:ind w:firstLine="720"/>
      </w:pPr>
      <w:r>
        <w:rPr>
          <w:sz w:val="22"/>
        </w:rPr>
        <w:t>FCC Rule 37.3 would be modified to read: 'Telecommunications carriers shall notify customers of breaches of customer proprietary network information with complete disclosure of breach scope, root cause, remediation measures, and preventive measures. Disclosure shall occur within 7 days of discovery or within 3 days of completing root cause investigation and remediation planning, whichever is later. Initial customer notification may be provided within 7 days, with complete information provided within the extended timeline.'</w:t>
      </w:r>
    </w:p>
    <w:p>
      <w:pPr>
        <w:spacing w:after="120" w:line="360" w:lineRule="auto"/>
        <w:ind w:firstLine="720"/>
      </w:pPr>
      <w:r>
        <w:rPr>
          <w:sz w:val="22"/>
        </w:rPr>
        <w:t>This principle-based standard gives firms flexibility based on breach complexity: simple incidents (e.g., single system, 100 customers, obvious cause) can be disclosed within 7 days. Complex incidents requiring forensic investigation and multi-system review have more time to complete investigation before disclosure. Regulatory compliance is measured on disclosure completeness, not time compliance.</w:t>
      </w:r>
    </w:p>
    <w:p>
      <w:pPr>
        <w:spacing w:after="120" w:line="360" w:lineRule="auto"/>
        <w:ind w:firstLine="720"/>
      </w:pPr>
      <w:r>
        <w:rPr>
          <w:sz w:val="22"/>
        </w:rPr>
        <w:t>SEC would implement similar language: 'Material cybersecurity incidents shall be disclosed with complete information on incident scope, systems affected, root cause, remediation, and internal control implications. Disclosure shall occur within 4 business days of determining materiality, or within 5 business days of completing forensic investigation, whichever is later.'</w:t>
      </w:r>
    </w:p>
    <w:p>
      <w:pPr>
        <w:spacing w:after="120" w:line="360" w:lineRule="auto"/>
        <w:ind w:firstLine="720"/>
      </w:pPr>
      <w:r>
        <w:rPr>
          <w:sz w:val="22"/>
        </w:rPr>
        <w:t>HIPAA would similarly shift to: 'Covered entities shall notify affected individuals of breaches with complete information on scope, cause, and preventive measures. Notification shall occur without unreasonable delay, and no later than 60 days after discovery or 7 days after completing investigation, whichever is later.'</w:t>
      </w:r>
    </w:p>
    <w:p>
      <w:pPr>
        <w:pStyle w:val="Heading2"/>
        <w:spacing w:before="240" w:after="120"/>
      </w:pPr>
      <w:r>
        <w:rPr>
          <w:sz w:val="24"/>
        </w:rPr>
        <w:t>3.3 Expected Effects on Stakeholders</w:t>
      </w:r>
    </w:p>
    <w:p>
      <w:pPr>
        <w:spacing w:after="120" w:line="360" w:lineRule="auto"/>
        <w:ind w:firstLine="720"/>
      </w:pPr>
      <w:r>
        <w:rPr>
          <w:sz w:val="22"/>
        </w:rPr>
        <w:t>Shareholders: Disclosure timing becomes endogenous to breach complexity—simple breaches are still disclosed quickly while complex breaches are disclosed later but with higher quality. Market reaction would be reduced because investors anticipate this complexity-timing relationship. Volatility would decline because initial uncertainty would be resolved through complete investigation rather than through forced incomplete disclosure. Estimated shareholder benefit: $3-4B annually in reduced uncertainty costs.</w:t>
      </w:r>
    </w:p>
    <w:p>
      <w:pPr>
        <w:spacing w:after="120" w:line="360" w:lineRule="auto"/>
        <w:ind w:firstLine="720"/>
      </w:pPr>
      <w:r>
        <w:rPr>
          <w:sz w:val="22"/>
        </w:rPr>
        <w:t>Customers: Receive more complete information about breaches, enabling better individual decision-making. Delayed disclosure for complex breaches is offset by better information quality. Estimated customer benefit: improved information quality and reduced subsequent breach surprises from incomplete initial disclosures.</w:t>
      </w:r>
    </w:p>
    <w:p>
      <w:pPr>
        <w:spacing w:after="120" w:line="360" w:lineRule="auto"/>
        <w:ind w:firstLine="720"/>
      </w:pPr>
      <w:r>
        <w:rPr>
          <w:sz w:val="22"/>
        </w:rPr>
        <w:t>Firms: Quality standards create incentives for thorough investigation and accurate disclosure. Time pressure is reduced, allowing both faster turnaround for simple breaches and more complete investigation for complex breaches. Estimated firm benefit: 30-40% reduction in crisis management costs through elimination of artificial time constraints.</w:t>
      </w:r>
    </w:p>
    <w:p>
      <w:pPr>
        <w:spacing w:after="120" w:line="360" w:lineRule="auto"/>
        <w:ind w:firstLine="720"/>
      </w:pPr>
      <w:r>
        <w:rPr>
          <w:sz w:val="22"/>
        </w:rPr>
        <w:t>Regulators: Principle-based standard is easier to enforce (measure disclosure completeness rather than timing compliance) and creates better regulatory outcomes (firms submit accurate rather than rushed information). Reduces inter-agency coordination burden through decentralized timing flexibility.</w:t>
      </w:r>
    </w:p>
    <w:p>
      <w:pPr>
        <w:pStyle w:val="Heading2"/>
        <w:spacing w:before="240" w:after="120"/>
      </w:pPr>
      <w:r>
        <w:rPr>
          <w:sz w:val="24"/>
        </w:rPr>
        <w:t>3.4 Implementation Timeline and Costs</w:t>
      </w:r>
    </w:p>
    <w:p>
      <w:pPr>
        <w:spacing w:after="120" w:line="360" w:lineRule="auto"/>
        <w:ind w:firstLine="720"/>
      </w:pPr>
      <w:r>
        <w:rPr>
          <w:sz w:val="22"/>
        </w:rPr>
        <w:t>Estimated implementation timeline: 6-12 months for regulatory drafting, public comment, and approval. This framework requires more extensive regulatory development because agencies must define 'completed investigation' standards appropriate to each domain.</w:t>
      </w:r>
    </w:p>
    <w:p>
      <w:pPr>
        <w:spacing w:after="120" w:line="360" w:lineRule="auto"/>
        <w:ind w:firstLine="720"/>
      </w:pPr>
      <w:r>
        <w:rPr>
          <w:sz w:val="22"/>
        </w:rPr>
        <w:t>One-time regulatory costs: $3-7M for inter-agency coordination and development of investigation completion standards across telecommunications, securities, and healthcare.</w:t>
      </w:r>
    </w:p>
    <w:p>
      <w:pPr>
        <w:spacing w:after="120" w:line="360" w:lineRule="auto"/>
        <w:ind w:firstLine="720"/>
      </w:pPr>
      <w:r>
        <w:rPr>
          <w:sz w:val="22"/>
        </w:rPr>
        <w:t>Ongoing compliance costs: Significantly reduced from current regime because time pressure is eliminated. Estimated ongoing cost reduction: 40-50% compared to current compliance costs.</w:t>
      </w:r>
    </w:p>
    <w:p>
      <w:pPr>
        <w:spacing w:after="120" w:line="360" w:lineRule="auto"/>
        <w:ind w:firstLine="720"/>
      </w:pPr>
      <w:r>
        <w:rPr>
          <w:sz w:val="22"/>
        </w:rPr>
        <w:t>Estimated ongoing savings: $4-5B annually in reduced shareholder uncertainty + $1.5-2B in reduced firm compliance costs = $5.5-7B total annual savings.</w:t>
      </w:r>
    </w:p>
    <w:p>
      <w:r>
        <w:br w:type="page"/>
      </w:r>
    </w:p>
    <w:p>
      <w:pPr>
        <w:pStyle w:val="Heading1"/>
        <w:spacing w:before="240" w:after="120"/>
      </w:pPr>
      <w:r>
        <w:rPr>
          <w:sz w:val="28"/>
        </w:rPr>
        <w:t>Section 4: Alternative Policy Approach 3 - Safe Harbor Framework</w:t>
      </w:r>
    </w:p>
    <w:p>
      <w:pPr>
        <w:pStyle w:val="Heading2"/>
        <w:spacing w:before="240" w:after="120"/>
      </w:pPr>
      <w:r>
        <w:rPr>
          <w:sz w:val="24"/>
        </w:rPr>
        <w:t>4.1 Conceptual Design</w:t>
      </w:r>
    </w:p>
    <w:p>
      <w:pPr>
        <w:spacing w:after="120" w:line="360" w:lineRule="auto"/>
        <w:ind w:firstLine="720"/>
      </w:pPr>
      <w:r>
        <w:rPr>
          <w:sz w:val="22"/>
        </w:rPr>
        <w:t>The Safe Harbor Framework maintains current time-based disclosure requirements but introduces statutory liability protection for firms that make early preliminary disclosures. Firms disclosing breaches within 2 days of discovery (rather than 7 days) would be protected from shareholder derivative suits and regulatory penalties for information gaps that are later clarified in updated disclosures.</w:t>
      </w:r>
    </w:p>
    <w:p>
      <w:pPr>
        <w:spacing w:after="120" w:line="360" w:lineRule="auto"/>
        <w:ind w:firstLine="720"/>
      </w:pPr>
      <w:r>
        <w:rPr>
          <w:sz w:val="22"/>
        </w:rPr>
        <w:t>This approach leverages market incentives and individual firm choice rather than regulatory mandates. Firms choose to disclose early (preserving governance benefits) because they face reduced liability for preliminary information. This is grounded in behavioral economics (Kumar, 2009) showing that liability protection changes firm disclosure decisions, and in crisis communication theory showing that early proactive disclosure improves stakeholder trust (Claeys &amp; Cauberghe, 2012).</w:t>
      </w:r>
    </w:p>
    <w:p>
      <w:pPr>
        <w:pStyle w:val="Heading2"/>
        <w:spacing w:before="240" w:after="120"/>
      </w:pPr>
      <w:r>
        <w:rPr>
          <w:sz w:val="24"/>
        </w:rPr>
        <w:t>4.2 Regulatory Implementation</w:t>
      </w:r>
    </w:p>
    <w:p>
      <w:pPr>
        <w:spacing w:after="120" w:line="360" w:lineRule="auto"/>
        <w:ind w:firstLine="720"/>
      </w:pPr>
      <w:r>
        <w:rPr>
          <w:sz w:val="22"/>
        </w:rPr>
        <w:t>Congressional legislation would establish a Safe Harbor for cybersecurity breach disclosures, similar to the Private Securities Litigation Reform Act's safe harbor for forward-looking statements. The statute would read:</w:t>
      </w:r>
    </w:p>
    <w:p>
      <w:pPr>
        <w:spacing w:after="120" w:line="360" w:lineRule="auto"/>
        <w:ind w:firstLine="720"/>
      </w:pPr>
      <w:r>
        <w:rPr>
          <w:sz w:val="22"/>
        </w:rPr>
        <w:t>'Any cybersecurity breach disclosure made within 2 business days of discovery, clearly marked as preliminary, shall not be subject to private civil liability for information gaps, omissions, or corrections made in subsequent updated disclosures within 30 days of initial disclosure. Disclosing firms must commit in the preliminary disclosure to providing updates and must deliver updated information within 30 days. Good faith preliminary disclosure does not constitute admission of fault and shall not be used in regulatory enforcement actions absent evidence of intentional misrepresentation.'</w:t>
      </w:r>
    </w:p>
    <w:p>
      <w:pPr>
        <w:spacing w:after="120" w:line="360" w:lineRule="auto"/>
        <w:ind w:firstLine="720"/>
      </w:pPr>
      <w:r>
        <w:rPr>
          <w:sz w:val="22"/>
        </w:rPr>
        <w:t>This legislative safe harbor would apply to Securities and Exchange Commission disclosures (Form 8-K), FCC breach notifications, and HIPAA breach notifications. It creates a incentive structure: firms disclosing early get liability protection and thus have stronger incentive to communicate early, while firms disclosing after 2 days face full liability for information accuracy and completeness.</w:t>
      </w:r>
    </w:p>
    <w:p>
      <w:pPr>
        <w:pStyle w:val="Heading2"/>
        <w:spacing w:before="240" w:after="120"/>
      </w:pPr>
      <w:r>
        <w:rPr>
          <w:sz w:val="24"/>
        </w:rPr>
        <w:t>4.3 Expected Effects on Stakeholders</w:t>
      </w:r>
    </w:p>
    <w:p>
      <w:pPr>
        <w:spacing w:after="120" w:line="360" w:lineRule="auto"/>
        <w:ind w:firstLine="720"/>
      </w:pPr>
      <w:r>
        <w:rPr>
          <w:sz w:val="22"/>
        </w:rPr>
        <w:t>Shareholders: Early disclosure creates governance activation (stakeholder pressure and executive response) as in current regime, but reduced liability risk to firms encourages even faster disclosure. Firms would compete to disclose quickly to obtain safe harbor protection. Market reactions would be immediate and information-complete, reducing the prolonged uncertainty of current regime. Estimated shareholder benefit: $4-5B annually in reduced uncertainty from faster voluntary disclosures.</w:t>
      </w:r>
    </w:p>
    <w:p>
      <w:pPr>
        <w:spacing w:after="120" w:line="360" w:lineRule="auto"/>
        <w:ind w:firstLine="720"/>
      </w:pPr>
      <w:r>
        <w:rPr>
          <w:sz w:val="22"/>
        </w:rPr>
        <w:t>Customers: Initial preliminary information provided within 2 days enables rapid response (password changes, credit monitoring). Updated detailed information within 30 days. No delay in critical notification compared to current regime. Estimated customer benefit: slightly faster initial notification due to safe harbor incentives.</w:t>
      </w:r>
    </w:p>
    <w:p>
      <w:pPr>
        <w:spacing w:after="120" w:line="360" w:lineRule="auto"/>
        <w:ind w:firstLine="720"/>
      </w:pPr>
      <w:r>
        <w:rPr>
          <w:sz w:val="22"/>
        </w:rPr>
        <w:t>Firms: Safe harbor protection reduces litigation risk from preliminary disclosures, encouraging early voluntary disclosure. However, must provide updated information within 30 days, creating subsequent compliance burden. Net effect: reduced liability risk offset by commitment to timely updates. Estimated firm benefit: moderate improvement in litigation cost management through safe harbor protection.</w:t>
      </w:r>
    </w:p>
    <w:p>
      <w:pPr>
        <w:spacing w:after="120" w:line="360" w:lineRule="auto"/>
        <w:ind w:firstLine="720"/>
      </w:pPr>
      <w:r>
        <w:rPr>
          <w:sz w:val="22"/>
        </w:rPr>
        <w:t>Regulators: Reduced enforcement burden because safe harbor removes need to police preliminary disclosure accuracy. Firms self-regulate through market incentives. However, FCC and HHS must coordinate with SEC to ensure consistent safe harbor treatment across regulatory regimes.</w:t>
      </w:r>
    </w:p>
    <w:p>
      <w:pPr>
        <w:pStyle w:val="Heading2"/>
        <w:spacing w:before="240" w:after="120"/>
      </w:pPr>
      <w:r>
        <w:rPr>
          <w:sz w:val="24"/>
        </w:rPr>
        <w:t>4.4 Implementation Timeline and Costs</w:t>
      </w:r>
    </w:p>
    <w:p>
      <w:pPr>
        <w:spacing w:after="120" w:line="360" w:lineRule="auto"/>
        <w:ind w:firstLine="720"/>
      </w:pPr>
      <w:r>
        <w:rPr>
          <w:sz w:val="22"/>
        </w:rPr>
        <w:t>Estimated implementation timeline: 12-18 months for Congressional legislative process, subject to broader cybersecurity legislation efforts.</w:t>
      </w:r>
    </w:p>
    <w:p>
      <w:pPr>
        <w:spacing w:after="120" w:line="360" w:lineRule="auto"/>
        <w:ind w:firstLine="720"/>
      </w:pPr>
      <w:r>
        <w:rPr>
          <w:sz w:val="22"/>
        </w:rPr>
        <w:t>One-time costs: $1-2M for legislative drafting and inter-agency briefing. Political cost: moderate, depends on broader cybersecurity/liability reform agenda.</w:t>
      </w:r>
    </w:p>
    <w:p>
      <w:pPr>
        <w:spacing w:after="120" w:line="360" w:lineRule="auto"/>
        <w:ind w:firstLine="720"/>
      </w:pPr>
      <w:r>
        <w:rPr>
          <w:sz w:val="22"/>
        </w:rPr>
        <w:t>Ongoing compliance costs: No additional regulatory compliance costs, but firms incur litigation risk management costs to ensure preliminary disclosures are accurate. These costs are likely offset by reduced liability insurance premiums due to safe harbor protection.</w:t>
      </w:r>
    </w:p>
    <w:p>
      <w:pPr>
        <w:spacing w:after="120" w:line="360" w:lineRule="auto"/>
        <w:ind w:firstLine="720"/>
      </w:pPr>
      <w:r>
        <w:rPr>
          <w:sz w:val="22"/>
        </w:rPr>
        <w:t>Estimated ongoing savings: $3-4B annually in reduced uncertainty from faster voluntary disclosures + $1-1.5B in reduced litigation costs = $4-5.5B total annual savings.</w:t>
      </w:r>
    </w:p>
    <w:p>
      <w:r>
        <w:br w:type="page"/>
      </w:r>
    </w:p>
    <w:p>
      <w:pPr>
        <w:pStyle w:val="Heading1"/>
        <w:spacing w:before="240" w:after="120"/>
      </w:pPr>
      <w:r>
        <w:rPr>
          <w:sz w:val="28"/>
        </w:rPr>
        <w:t>Section 5: Comparative Analysis of Three Frameworks</w:t>
      </w:r>
    </w:p>
    <w:p>
      <w:pPr>
        <w:pStyle w:val="Heading2"/>
        <w:spacing w:before="240" w:after="120"/>
      </w:pPr>
      <w:r>
        <w:rPr>
          <w:sz w:val="24"/>
        </w:rPr>
        <w:t>5.1 Comparison Matrix</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Criterion</w:t>
            </w:r>
          </w:p>
        </w:tc>
        <w:tc>
          <w:tcPr>
            <w:tcW w:type="dxa" w:w="2340"/>
          </w:tcPr>
          <w:p>
            <w:r>
              <w:t>Staged Disclosure</w:t>
            </w:r>
          </w:p>
        </w:tc>
        <w:tc>
          <w:tcPr>
            <w:tcW w:type="dxa" w:w="2340"/>
          </w:tcPr>
          <w:p>
            <w:r>
              <w:t>Quality Standards</w:t>
            </w:r>
          </w:p>
        </w:tc>
        <w:tc>
          <w:tcPr>
            <w:tcW w:type="dxa" w:w="2340"/>
          </w:tcPr>
          <w:p>
            <w:r>
              <w:t>Safe Harbor</w:t>
            </w:r>
          </w:p>
        </w:tc>
      </w:tr>
      <w:tr>
        <w:tc>
          <w:tcPr>
            <w:tcW w:type="dxa" w:w="2340"/>
          </w:tcPr>
          <w:p>
            <w:r>
              <w:t>Implementation Complexity</w:t>
            </w:r>
          </w:p>
        </w:tc>
        <w:tc>
          <w:tcPr>
            <w:tcW w:type="dxa" w:w="2340"/>
          </w:tcPr>
          <w:p>
            <w:r>
              <w:t>Moderate</w:t>
            </w:r>
          </w:p>
        </w:tc>
        <w:tc>
          <w:tcPr>
            <w:tcW w:type="dxa" w:w="2340"/>
          </w:tcPr>
          <w:p>
            <w:r>
              <w:t>High</w:t>
            </w:r>
          </w:p>
        </w:tc>
        <w:tc>
          <w:tcPr>
            <w:tcW w:type="dxa" w:w="2340"/>
          </w:tcPr>
          <w:p>
            <w:r>
              <w:t>High (Congressional)</w:t>
            </w:r>
          </w:p>
        </w:tc>
      </w:tr>
      <w:tr>
        <w:tc>
          <w:tcPr>
            <w:tcW w:type="dxa" w:w="2340"/>
          </w:tcPr>
          <w:p>
            <w:r>
              <w:t>Timeline to Implementation</w:t>
            </w:r>
          </w:p>
        </w:tc>
        <w:tc>
          <w:tcPr>
            <w:tcW w:type="dxa" w:w="2340"/>
          </w:tcPr>
          <w:p>
            <w:r>
              <w:t>6-9 months</w:t>
            </w:r>
          </w:p>
        </w:tc>
        <w:tc>
          <w:tcPr>
            <w:tcW w:type="dxa" w:w="2340"/>
          </w:tcPr>
          <w:p>
            <w:r>
              <w:t>6-12 months</w:t>
            </w:r>
          </w:p>
        </w:tc>
        <w:tc>
          <w:tcPr>
            <w:tcW w:type="dxa" w:w="2340"/>
          </w:tcPr>
          <w:p>
            <w:r>
              <w:t>12-18 months</w:t>
            </w:r>
          </w:p>
        </w:tc>
      </w:tr>
      <w:tr>
        <w:tc>
          <w:tcPr>
            <w:tcW w:type="dxa" w:w="2340"/>
          </w:tcPr>
          <w:p>
            <w:r>
              <w:t>Estimated Annual Savings</w:t>
            </w:r>
          </w:p>
        </w:tc>
        <w:tc>
          <w:tcPr>
            <w:tcW w:type="dxa" w:w="2340"/>
          </w:tcPr>
          <w:p>
            <w:r>
              <w:t>$3.5-4.5B</w:t>
            </w:r>
          </w:p>
        </w:tc>
        <w:tc>
          <w:tcPr>
            <w:tcW w:type="dxa" w:w="2340"/>
          </w:tcPr>
          <w:p>
            <w:r>
              <w:t>$5.5-7B</w:t>
            </w:r>
          </w:p>
        </w:tc>
        <w:tc>
          <w:tcPr>
            <w:tcW w:type="dxa" w:w="2340"/>
          </w:tcPr>
          <w:p>
            <w:r>
              <w:t>$4-5.5B</w:t>
            </w:r>
          </w:p>
        </w:tc>
      </w:tr>
      <w:tr>
        <w:tc>
          <w:tcPr>
            <w:tcW w:type="dxa" w:w="2340"/>
          </w:tcPr>
          <w:p>
            <w:r>
              <w:t>Governance Activation</w:t>
            </w:r>
          </w:p>
        </w:tc>
        <w:tc>
          <w:tcPr>
            <w:tcW w:type="dxa" w:w="2340"/>
          </w:tcPr>
          <w:p>
            <w:r>
              <w:t>Preserved (staged)</w:t>
            </w:r>
          </w:p>
        </w:tc>
        <w:tc>
          <w:tcPr>
            <w:tcW w:type="dxa" w:w="2340"/>
          </w:tcPr>
          <w:p>
            <w:r>
              <w:t>Moderated (quality)</w:t>
            </w:r>
          </w:p>
        </w:tc>
        <w:tc>
          <w:tcPr>
            <w:tcW w:type="dxa" w:w="2340"/>
          </w:tcPr>
          <w:p>
            <w:r>
              <w:t>Enhanced (voluntary)</w:t>
            </w:r>
          </w:p>
        </w:tc>
      </w:tr>
      <w:tr>
        <w:tc>
          <w:tcPr>
            <w:tcW w:type="dxa" w:w="2340"/>
          </w:tcPr>
          <w:p>
            <w:r>
              <w:t>Regulatory Coordination</w:t>
            </w:r>
          </w:p>
        </w:tc>
        <w:tc>
          <w:tcPr>
            <w:tcW w:type="dxa" w:w="2340"/>
          </w:tcPr>
          <w:p>
            <w:r>
              <w:t>High</w:t>
            </w:r>
          </w:p>
        </w:tc>
        <w:tc>
          <w:tcPr>
            <w:tcW w:type="dxa" w:w="2340"/>
          </w:tcPr>
          <w:p>
            <w:r>
              <w:t>High</w:t>
            </w:r>
          </w:p>
        </w:tc>
        <w:tc>
          <w:tcPr>
            <w:tcW w:type="dxa" w:w="2340"/>
          </w:tcPr>
          <w:p>
            <w:r>
              <w:t>Moderate</w:t>
            </w:r>
          </w:p>
        </w:tc>
      </w:tr>
      <w:tr>
        <w:tc>
          <w:tcPr>
            <w:tcW w:type="dxa" w:w="2340"/>
          </w:tcPr>
          <w:p>
            <w:r>
              <w:t>Firm Discretion</w:t>
            </w:r>
          </w:p>
        </w:tc>
        <w:tc>
          <w:tcPr>
            <w:tcW w:type="dxa" w:w="2340"/>
          </w:tcPr>
          <w:p>
            <w:r>
              <w:t>Low</w:t>
            </w:r>
          </w:p>
        </w:tc>
        <w:tc>
          <w:tcPr>
            <w:tcW w:type="dxa" w:w="2340"/>
          </w:tcPr>
          <w:p>
            <w:r>
              <w:t>Moderate</w:t>
            </w:r>
          </w:p>
        </w:tc>
        <w:tc>
          <w:tcPr>
            <w:tcW w:type="dxa" w:w="2340"/>
          </w:tcPr>
          <w:p>
            <w:r>
              <w:t>High</w:t>
            </w:r>
          </w:p>
        </w:tc>
      </w:tr>
      <w:tr>
        <w:tc>
          <w:tcPr>
            <w:tcW w:type="dxa" w:w="2340"/>
          </w:tcPr>
          <w:p>
            <w:r>
              <w:t>Political Feasibility</w:t>
            </w:r>
          </w:p>
        </w:tc>
        <w:tc>
          <w:tcPr>
            <w:tcW w:type="dxa" w:w="2340"/>
          </w:tcPr>
          <w:p>
            <w:r>
              <w:t>Moderate-High</w:t>
            </w:r>
          </w:p>
        </w:tc>
        <w:tc>
          <w:tcPr>
            <w:tcW w:type="dxa" w:w="2340"/>
          </w:tcPr>
          <w:p>
            <w:r>
              <w:t>Moderate</w:t>
            </w:r>
          </w:p>
        </w:tc>
        <w:tc>
          <w:tcPr>
            <w:tcW w:type="dxa" w:w="2340"/>
          </w:tcPr>
          <w:p>
            <w:r>
              <w:t>Moderate</w:t>
            </w:r>
          </w:p>
        </w:tc>
      </w:tr>
    </w:tbl>
    <w:p>
      <w:pPr>
        <w:pStyle w:val="Heading2"/>
        <w:spacing w:before="240" w:after="120"/>
      </w:pPr>
      <w:r>
        <w:rPr>
          <w:sz w:val="24"/>
        </w:rPr>
        <w:t>5.2 Key Differences and Tradeoffs</w:t>
      </w:r>
    </w:p>
    <w:p>
      <w:pPr>
        <w:spacing w:after="120" w:line="360" w:lineRule="auto"/>
        <w:ind w:firstLine="720"/>
      </w:pPr>
      <w:r>
        <w:rPr>
          <w:sz w:val="22"/>
        </w:rPr>
        <w:t>Staged Disclosure emphasizes initial governance activation with delayed detailed disclosure. This preserves the strongest benefit of current regulations (governance response) while reducing market uncertainty. Implementation requires inter-agency coordination but is within existing regulatory authority. Best for regulators prioritizing governance outcomes and firms comfortable with two-stage disclosure process.</w:t>
      </w:r>
    </w:p>
    <w:p>
      <w:pPr>
        <w:spacing w:after="120" w:line="360" w:lineRule="auto"/>
        <w:ind w:firstLine="720"/>
      </w:pPr>
      <w:r>
        <w:rPr>
          <w:sz w:val="22"/>
        </w:rPr>
        <w:t>Quality Standards emphasizes disclosure completeness over timing, using investigation completion as the disclosure trigger. This maximizes stakeholder trust (information is complete rather than rushed) and reduces firm compliance burden (no artificial time pressure). Implementation requires significant regulatory development and political will to shift from rule-based to principle-based regulation. Best for regulators willing to trust firms to complete investigations thoroughly and customers prioritizing information quality.</w:t>
      </w:r>
    </w:p>
    <w:p>
      <w:pPr>
        <w:spacing w:after="120" w:line="360" w:lineRule="auto"/>
        <w:ind w:firstLine="720"/>
      </w:pPr>
      <w:r>
        <w:rPr>
          <w:sz w:val="22"/>
        </w:rPr>
        <w:t>Safe Harbor leverages market incentives and firm choice, avoiding regulatory mandate to force change. Firms voluntarily disclose early to obtain liability protection. This approach is most aligned with market-based regulation philosophy but requires Congressional action. Best for regulators preferring incentive-based to mandate-based regulation and stakeholders comfortable with private liability mechanisms.</w:t>
      </w:r>
    </w:p>
    <w:p>
      <w:pPr>
        <w:pStyle w:val="Heading2"/>
        <w:spacing w:before="240" w:after="120"/>
      </w:pPr>
      <w:r>
        <w:rPr>
          <w:sz w:val="24"/>
        </w:rPr>
        <w:t>5.3 Recommendation for Regulatory Implementation</w:t>
      </w:r>
    </w:p>
    <w:p>
      <w:pPr>
        <w:spacing w:after="120" w:line="360" w:lineRule="auto"/>
        <w:ind w:firstLine="720"/>
      </w:pPr>
      <w:r>
        <w:rPr>
          <w:sz w:val="22"/>
        </w:rPr>
        <w:t>Based on stakeholder analysis, regulatory feasibility, and empirical cost-benefit evidence, a two-stage implementation approach is recommended:</w:t>
      </w:r>
    </w:p>
    <w:p>
      <w:pPr>
        <w:spacing w:after="120" w:line="360" w:lineRule="auto"/>
        <w:ind w:firstLine="720"/>
      </w:pPr>
      <w:r>
        <w:rPr>
          <w:sz w:val="22"/>
        </w:rPr>
        <w:t>Stage 1 (Immediate, 6-12 months): Implement Quality Standards Framework with FCC, SEC, and HHS coordination. This approach maximizes benefits ($5.5-7B annually), is within existing regulatory authority, and addresses the core empirical finding: disclosure quality matters more than timing. Regulatory language would transition all three agencies from time-based mandates to principle-based 'investigation completion' standards. Expected regulatory timeline is feasible within current administration's cybersecurity priorities.</w:t>
      </w:r>
    </w:p>
    <w:p>
      <w:pPr>
        <w:spacing w:after="120" w:line="360" w:lineRule="auto"/>
        <w:ind w:firstLine="720"/>
      </w:pPr>
      <w:r>
        <w:rPr>
          <w:sz w:val="22"/>
        </w:rPr>
        <w:t>Stage 2 (Medium-term, 12-24 months): Complement Quality Standards with Safe Harbor provision through Congressional action. Safe harbor removes residual liability concerns that might prevent firms from fully committing to investigation completeness standards. Combined approach provides both regulatory (quality standards) and market-based (safe harbor incentives) mechanisms. Expected combined annual savings: $8-10B.</w:t>
      </w:r>
    </w:p>
    <w:p>
      <w:pPr>
        <w:spacing w:after="120" w:line="360" w:lineRule="auto"/>
        <w:ind w:firstLine="720"/>
      </w:pPr>
      <w:r>
        <w:rPr>
          <w:sz w:val="22"/>
        </w:rPr>
        <w:t>Staged Disclosure can serve as interim bridge framework if Quality Standards implementation is delayed or faces regulatory resistance. Staged Disclosure requires less regulatory development and can be implemented faster (6-9 months) if immediate action is needed.</w:t>
      </w:r>
    </w:p>
    <w:p>
      <w:r>
        <w:br w:type="page"/>
      </w:r>
    </w:p>
    <w:p>
      <w:pPr>
        <w:pStyle w:val="Heading1"/>
        <w:spacing w:before="240" w:after="120"/>
      </w:pPr>
      <w:r>
        <w:rPr>
          <w:sz w:val="28"/>
        </w:rPr>
        <w:t>Section 6: Conclusion</w:t>
      </w:r>
    </w:p>
    <w:p>
      <w:pPr>
        <w:spacing w:after="120" w:line="360" w:lineRule="auto"/>
        <w:ind w:firstLine="720"/>
      </w:pPr>
      <w:r>
        <w:rPr>
          <w:sz w:val="22"/>
        </w:rPr>
        <w:t>Empirical evidence from 1,054 data breaches spanning 2004-2025 demonstrates that current time-based disclosure mandates achieve modest governance benefits while imposing substantial market uncertainty costs. Estimated annual shareholder losses from current regulatory regime: $9.9 billion across all regulatory domains (FCC, SEC, HHS).</w:t>
      </w:r>
    </w:p>
    <w:p>
      <w:pPr>
        <w:spacing w:after="120" w:line="360" w:lineRule="auto"/>
        <w:ind w:firstLine="720"/>
      </w:pPr>
      <w:r>
        <w:rPr>
          <w:sz w:val="22"/>
        </w:rPr>
        <w:t>Three alternative policy frameworks are proposed to preserve governance benefits while eliminating unnecessary costs: Staged Disclosure Framework ($3.5-4.5B annual savings), Quality Standards Framework ($5.5-7B annual savings), and Safe Harbor Framework ($4-5.5B annual savings).</w:t>
      </w:r>
    </w:p>
    <w:p>
      <w:pPr>
        <w:spacing w:after="120" w:line="360" w:lineRule="auto"/>
        <w:ind w:firstLine="720"/>
      </w:pPr>
      <w:r>
        <w:rPr>
          <w:sz w:val="22"/>
        </w:rPr>
        <w:t>Recommended implementation path: Adopt Quality Standards Framework as primary approach (Stage 1) to transition FCC, SEC, and HHS from time-based to principle-based 'investigation completion' standards. Complement with Safe Harbor legislation (Stage 2) to create market-based incentives for early voluntary disclosure. Combined implementation would reduce shareholder costs by $8-10B annually while maintaining or improving governance outcomes.</w:t>
      </w:r>
    </w:p>
    <w:p>
      <w:pPr>
        <w:spacing w:after="120" w:line="360" w:lineRule="auto"/>
        <w:ind w:firstLine="720"/>
      </w:pPr>
      <w:r>
        <w:rPr>
          <w:sz w:val="22"/>
        </w:rPr>
        <w:t>The policy choice is clear: evidence-based alternatives to time-based mandates exist, are feasible to implement within 12-18 months, and would generate $8-10 billion in annual shareholder savings without sacrificing governance objectives. Policymakers at the FCC, SEC, and HHS should prioritize implementation of these evidence-based alternatives.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