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Analysis sample N = 405 events (109 treated, 296 control; G = 119 parent CIKs, G1 = 13 treated clusters, 12 treated parent entities). Tables are numbered in the order the Results section first mentions them.</w:t>
      </w:r>
    </w:p>
    <w:p>
      <w:pPr>
        <w:spacing w:after="120" w:line="240" w:lineRule="auto"/>
      </w:pPr>
      <w:r>
        <w:rPr>
          <w:rFonts w:ascii="Times New Roman" w:hAnsi="Times New Roman"/>
          <w:b w:val="0"/>
          <w:i w:val="0"/>
          <w:sz w:val="22"/>
        </w:rPr>
        <w:t>Conventions: coefficients, standard errors, confidence intervals and minimum detectable effects are in percentage points to two decimals; rates are percent to one decimal; p, kappa, precision and recall carry three decimals with no leading zero; counts use thousands separators; the minus sign is U+2212.</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Gate 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 64.2011. The two indented sub-rows decompose the 75 events lost at the security-link step.</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Both DISH events postdate July 1, 2020, the Boost Mobile divestiture that the date-conditional rule turns on. G* is the effective number of clusters.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Name</w:t>
            </w:r>
          </w:p>
        </w:tc>
        <w:tc>
          <w:tcPr>
            <w:tcW w:type="dxa" w:w="1851"/>
          </w:tcPr>
          <w:p>
            <w:pPr>
              <w:spacing w:line="240" w:lineRule="auto"/>
            </w:pPr>
            <w:r/>
            <w:r>
              <w:rPr>
                <w:rFonts w:ascii="Times New Roman" w:hAnsi="Times New Roman"/>
                <w:b/>
                <w:sz w:val="18"/>
              </w:rPr>
              <w:t>Title as stated in the filing</w:t>
            </w:r>
          </w:p>
        </w:tc>
        <w:tc>
          <w:tcPr>
            <w:tcW w:type="dxa" w:w="1851"/>
          </w:tcPr>
          <w:p>
            <w:pPr>
              <w:spacing w:line="240" w:lineRule="auto"/>
            </w:pPr>
            <w:r/>
            <w:r>
              <w:rPr>
                <w:rFonts w:ascii="Times New Roman" w:hAnsi="Times New Roman"/>
                <w:b/>
                <w:sz w:val="18"/>
              </w:rPr>
              <w:t>Filing date</w:t>
            </w:r>
          </w:p>
        </w:tc>
        <w:tc>
          <w:tcPr>
            <w:tcW w:type="dxa" w:w="1851"/>
          </w:tcPr>
          <w:p>
            <w:pPr>
              <w:spacing w:line="240" w:lineRule="auto"/>
            </w:pPr>
            <w:r/>
            <w:r>
              <w:rPr>
                <w:rFonts w:ascii="Times New Roman" w:hAnsi="Times New Roman"/>
                <w:b/>
                <w:sz w:val="18"/>
              </w:rPr>
              <w:t>Accession</w:t>
            </w:r>
          </w:p>
        </w:tc>
        <w:tc>
          <w:tcPr>
            <w:tcW w:type="dxa" w:w="1851"/>
          </w:tcPr>
          <w:p>
            <w:pPr>
              <w:spacing w:line="240" w:lineRule="auto"/>
            </w:pPr>
            <w:r/>
            <w:r>
              <w:rPr>
                <w:rFonts w:ascii="Times New Roman" w:hAnsi="Times New Roman"/>
                <w:b/>
                <w:sz w:val="18"/>
              </w:rPr>
              <w:t>Window placement</w:t>
            </w:r>
          </w:p>
        </w:tc>
        <w:tc>
          <w:tcPr>
            <w:tcW w:type="dxa" w:w="1851"/>
          </w:tcPr>
          <w:p>
            <w:pPr>
              <w:spacing w:line="240" w:lineRule="auto"/>
            </w:pPr>
            <w:r/>
            <w:r>
              <w:rPr>
                <w:rFonts w:ascii="Times New Roman" w:hAnsi="Times New Roman"/>
                <w:b/>
                <w:sz w:val="18"/>
              </w:rPr>
              <w:t>Outcome-window events (180 days)</w:t>
            </w:r>
          </w:p>
        </w:tc>
        <w:tc>
          <w:tcPr>
            <w:tcW w:type="dxa" w:w="1851"/>
          </w:tcPr>
          <w:p>
            <w:pPr>
              <w:spacing w:line="240" w:lineRule="auto"/>
            </w:pPr>
            <w:r/>
            <w:r>
              <w:rPr>
                <w:rFonts w:ascii="Times New Roman" w:hAnsi="Times New Roman"/>
                <w:b/>
                <w:sz w:val="18"/>
              </w:rPr>
              <w:t>Placebo-window events</w:t>
            </w:r>
          </w:p>
        </w:tc>
      </w:tr>
      <w:tr>
        <w:tc>
          <w:tcPr>
            <w:tcW w:type="dxa" w:w="1851"/>
          </w:tcPr>
          <w:p>
            <w:pPr>
              <w:spacing w:line="240" w:lineRule="auto"/>
            </w:pPr>
            <w:r/>
            <w:r>
              <w:rPr>
                <w:rFonts w:ascii="Times New Roman" w:hAnsi="Times New Roman"/>
                <w:sz w:val="18"/>
              </w:rPr>
              <w:t>Gary A. King</w:t>
            </w:r>
          </w:p>
        </w:tc>
        <w:tc>
          <w:tcPr>
            <w:tcW w:type="dxa" w:w="1851"/>
          </w:tcPr>
          <w:p>
            <w:pPr>
              <w:spacing w:line="240" w:lineRule="auto"/>
            </w:pPr>
            <w:r/>
            <w:r>
              <w:rPr>
                <w:rFonts w:ascii="Times New Roman" w:hAnsi="Times New Roman"/>
                <w:sz w:val="18"/>
              </w:rPr>
              <w:t>Executive Vice President and Chief Information Officer</w:t>
            </w:r>
          </w:p>
        </w:tc>
        <w:tc>
          <w:tcPr>
            <w:tcW w:type="dxa" w:w="1851"/>
          </w:tcPr>
          <w:p>
            <w:pPr>
              <w:spacing w:line="240" w:lineRule="auto"/>
            </w:pPr>
            <w:r/>
            <w:r>
              <w:rPr>
                <w:rFonts w:ascii="Times New Roman" w:hAnsi="Times New Roman"/>
                <w:sz w:val="18"/>
              </w:rPr>
              <w:t>2016-02-19</w:t>
            </w:r>
          </w:p>
        </w:tc>
        <w:tc>
          <w:tcPr>
            <w:tcW w:type="dxa" w:w="1851"/>
          </w:tcPr>
          <w:p>
            <w:pPr>
              <w:spacing w:line="240" w:lineRule="auto"/>
            </w:pPr>
            <w:r/>
            <w:r>
              <w:rPr>
                <w:rFonts w:ascii="Times New Roman" w:hAnsi="Times New Roman"/>
                <w:sz w:val="18"/>
              </w:rPr>
              <w:t>0001193125-16-470124</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David A. Miller</w:t>
            </w:r>
          </w:p>
        </w:tc>
        <w:tc>
          <w:tcPr>
            <w:tcW w:type="dxa" w:w="1851"/>
          </w:tcPr>
          <w:p>
            <w:pPr>
              <w:spacing w:line="240" w:lineRule="auto"/>
            </w:pPr>
            <w:r/>
            <w:r>
              <w:rPr>
                <w:rFonts w:ascii="Times New Roman" w:hAnsi="Times New Roman"/>
                <w:sz w:val="18"/>
              </w:rPr>
              <w:t>Executive Vice President, General Counsel and Secretary</w:t>
            </w:r>
          </w:p>
        </w:tc>
        <w:tc>
          <w:tcPr>
            <w:tcW w:type="dxa" w:w="1851"/>
          </w:tcPr>
          <w:p>
            <w:pPr>
              <w:spacing w:line="240" w:lineRule="auto"/>
            </w:pPr>
            <w:r/>
            <w:r>
              <w:rPr>
                <w:rFonts w:ascii="Times New Roman" w:hAnsi="Times New Roman"/>
                <w:sz w:val="18"/>
              </w:rPr>
              <w:t>2021-09-16</w:t>
            </w:r>
          </w:p>
        </w:tc>
        <w:tc>
          <w:tcPr>
            <w:tcW w:type="dxa" w:w="1851"/>
          </w:tcPr>
          <w:p>
            <w:pPr>
              <w:spacing w:line="240" w:lineRule="auto"/>
            </w:pPr>
            <w:r/>
            <w:r>
              <w:rPr>
                <w:rFonts w:ascii="Times New Roman" w:hAnsi="Times New Roman"/>
                <w:sz w:val="18"/>
              </w:rPr>
              <w:t>0001193125-21-275230</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6</w:t>
            </w:r>
          </w:p>
        </w:tc>
        <w:tc>
          <w:tcPr>
            <w:tcW w:type="dxa" w:w="1851"/>
          </w:tcPr>
          <w:p>
            <w:pPr>
              <w:spacing w:line="240" w:lineRule="auto"/>
            </w:pPr>
            <w:r/>
            <w:r>
              <w:rPr>
                <w:rFonts w:ascii="Times New Roman" w:hAnsi="Times New Roman"/>
                <w:sz w:val="18"/>
              </w:rPr>
              <w:t>1</w:t>
            </w:r>
          </w:p>
        </w:tc>
      </w:tr>
      <w:tr>
        <w:tc>
          <w:tcPr>
            <w:tcW w:type="dxa" w:w="1851"/>
          </w:tcPr>
          <w:p>
            <w:pPr>
              <w:spacing w:line="240" w:lineRule="auto"/>
            </w:pPr>
            <w:r/>
            <w:r>
              <w:rPr>
                <w:rFonts w:ascii="Times New Roman" w:hAnsi="Times New Roman"/>
                <w:sz w:val="18"/>
              </w:rPr>
              <w:t>Neville Ray</w:t>
            </w:r>
          </w:p>
        </w:tc>
        <w:tc>
          <w:tcPr>
            <w:tcW w:type="dxa" w:w="1851"/>
          </w:tcPr>
          <w:p>
            <w:pPr>
              <w:spacing w:line="240" w:lineRule="auto"/>
            </w:pPr>
            <w:r/>
            <w:r>
              <w:rPr>
                <w:rFonts w:ascii="Times New Roman" w:hAnsi="Times New Roman"/>
                <w:sz w:val="18"/>
              </w:rPr>
              <w:t>President, Technology</w:t>
            </w:r>
          </w:p>
        </w:tc>
        <w:tc>
          <w:tcPr>
            <w:tcW w:type="dxa" w:w="1851"/>
          </w:tcPr>
          <w:p>
            <w:pPr>
              <w:spacing w:line="240" w:lineRule="auto"/>
            </w:pPr>
            <w:r/>
            <w:r>
              <w:rPr>
                <w:rFonts w:ascii="Times New Roman" w:hAnsi="Times New Roman"/>
                <w:sz w:val="18"/>
              </w:rPr>
              <w:t>2023-02-13</w:t>
            </w:r>
          </w:p>
        </w:tc>
        <w:tc>
          <w:tcPr>
            <w:tcW w:type="dxa" w:w="1851"/>
          </w:tcPr>
          <w:p>
            <w:pPr>
              <w:spacing w:line="240" w:lineRule="auto"/>
            </w:pPr>
            <w:r/>
            <w:r>
              <w:rPr>
                <w:rFonts w:ascii="Times New Roman" w:hAnsi="Times New Roman"/>
                <w:sz w:val="18"/>
              </w:rPr>
              <w:t>0001193125-23-035719</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Peter Ewens</w:t>
            </w:r>
          </w:p>
        </w:tc>
        <w:tc>
          <w:tcPr>
            <w:tcW w:type="dxa" w:w="1851"/>
          </w:tcPr>
          <w:p>
            <w:pPr>
              <w:spacing w:line="240" w:lineRule="auto"/>
            </w:pPr>
            <w:r/>
            <w:r>
              <w:rPr>
                <w:rFonts w:ascii="Times New Roman" w:hAnsi="Times New Roman"/>
                <w:sz w:val="18"/>
              </w:rPr>
              <w:t>Executive Vice President, Corporate Strategy &amp; Development</w:t>
            </w:r>
          </w:p>
        </w:tc>
        <w:tc>
          <w:tcPr>
            <w:tcW w:type="dxa" w:w="1851"/>
          </w:tcPr>
          <w:p>
            <w:pPr>
              <w:spacing w:line="240" w:lineRule="auto"/>
            </w:pPr>
            <w:r/>
            <w:r>
              <w:rPr>
                <w:rFonts w:ascii="Times New Roman" w:hAnsi="Times New Roman"/>
                <w:sz w:val="18"/>
              </w:rPr>
              <w:t>2023-09-08</w:t>
            </w:r>
          </w:p>
        </w:tc>
        <w:tc>
          <w:tcPr>
            <w:tcW w:type="dxa" w:w="1851"/>
          </w:tcPr>
          <w:p>
            <w:pPr>
              <w:spacing w:line="240" w:lineRule="auto"/>
            </w:pPr>
            <w:r/>
            <w:r>
              <w:rPr>
                <w:rFonts w:ascii="Times New Roman" w:hAnsi="Times New Roman"/>
                <w:sz w:val="18"/>
              </w:rPr>
              <w:t>0001193125-23-231377</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John Legere</w:t>
            </w:r>
          </w:p>
        </w:tc>
        <w:tc>
          <w:tcPr>
            <w:tcW w:type="dxa" w:w="1851"/>
          </w:tcPr>
          <w:p>
            <w:pPr>
              <w:spacing w:line="240" w:lineRule="auto"/>
            </w:pPr>
            <w:r/>
            <w:r>
              <w:rPr>
                <w:rFonts w:ascii="Times New Roman" w:hAnsi="Times New Roman"/>
                <w:sz w:val="18"/>
              </w:rPr>
              <w:t>Chief Executive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J. Braxton Carter</w:t>
            </w:r>
          </w:p>
        </w:tc>
        <w:tc>
          <w:tcPr>
            <w:tcW w:type="dxa" w:w="1851"/>
          </w:tcPr>
          <w:p>
            <w:pPr>
              <w:spacing w:line="240" w:lineRule="auto"/>
            </w:pPr>
            <w:r/>
            <w:r>
              <w:rPr>
                <w:rFonts w:ascii="Times New Roman" w:hAnsi="Times New Roman"/>
                <w:sz w:val="18"/>
              </w:rPr>
              <w:t>Executive Vice President and Chief Financial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13 events with a 180-day departure resolve to only four distinct departures, because several breach records fall within 180 days of the same filing. The two event columns count, for each person, how many of the 26 events place that person's departure in the 180-day outcome window and how many place it in the placebo window; they are counted per person, and a person can appear in both.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