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Proposal Defense Q&amp;A Guide</w:t>
      </w:r>
    </w:p>
    <w:p>
      <w:pPr>
        <w:jc w:val="center"/>
      </w:pPr>
      <w:r>
        <w:rPr>
          <w:i/>
          <w:sz w:val="24"/>
        </w:rPr>
        <w:t>Data Breach Disclosure Timing and Market Reactions</w:t>
        <w:br/>
        <w:t>12 Anticipated Committee Questions</w:t>
      </w:r>
    </w:p>
    <w:p>
      <w:pPr>
        <w:jc w:val="center"/>
      </w:pPr>
      <w:r>
        <w:rPr>
          <w:sz w:val="22"/>
        </w:rPr>
        <w:t>March 2026</w:t>
      </w:r>
    </w:p>
    <w:p/>
    <w:p>
      <w:r>
        <w:rPr>
          <w:b/>
          <w:color w:val="C00000"/>
          <w:sz w:val="26"/>
        </w:rPr>
        <w:t>TIER 1: CRITICAL QUESTIONS</w:t>
      </w:r>
    </w:p>
    <w:p/>
    <w:p>
      <w:r>
        <w:rPr>
          <w:b/>
          <w:sz w:val="22"/>
        </w:rPr>
        <w:t>Q1: Isn't the H1 null result a power failure?</w:t>
      </w:r>
    </w:p>
    <w:p>
      <w:pPr>
        <w:pStyle w:val="ListBullet"/>
      </w:pPr>
      <w:r>
        <w:t>Challenge: Your null finding on timing could simply reflect insufficient power.</w:t>
      </w:r>
    </w:p>
    <w:p>
      <w:r>
        <w:rPr>
          <w:b/>
        </w:rPr>
        <w:t>Answer:</w:t>
      </w:r>
    </w:p>
    <w:p>
      <w:pPr>
        <w:pStyle w:val="ListBullet"/>
      </w:pPr>
      <w:r>
        <w:t>findings include 898 observations with real timing variation (median 71 days; 17.6% immediate, 82.4% delayed). At 80% power, our MDE is +/-2.39pp. Our observed effect is +0.649%, far below this threshold. TOST equivalence test confirms economic negligibility. This is a genuine finding, not a power failure.</w:t>
      </w:r>
    </w:p>
    <w:p/>
    <w:p>
      <w:r>
        <w:rPr>
          <w:b/>
          <w:sz w:val="22"/>
        </w:rPr>
        <w:t>Q2: FCC firms are 2.22x larger—isn't this a size confound?</w:t>
      </w:r>
    </w:p>
    <w:p>
      <w:pPr>
        <w:pStyle w:val="ListBullet"/>
      </w:pPr>
      <w:r>
        <w:t>Challenge: FCC firms average $62.6B vs $31.0B for non-FCC. Your effect could be size-driven.</w:t>
      </w:r>
    </w:p>
    <w:p>
      <w:r>
        <w:rPr>
          <w:b/>
        </w:rPr>
        <w:t>Answer:</w:t>
      </w:r>
    </w:p>
    <w:p>
      <w:pPr>
        <w:pStyle w:val="ListBullet"/>
      </w:pPr>
      <w:r>
        <w:t>Heterogeneous effects show the opposite: Q1 (smallest) = +7.31%*** (largest effect); Q4 (largest) = -3.39%** (negative). This is backwards from confound prediction. Industry FE strengthens the effect (from -2.20% to -5.37%). Three layers of evidence rule out size confound.</w:t>
      </w:r>
    </w:p>
    <w:p/>
    <w:p>
      <w:r>
        <w:rPr>
          <w:b/>
          <w:sz w:val="22"/>
        </w:rPr>
        <w:t>Q3: How do three essays hang together? Why not one big model?</w:t>
      </w:r>
    </w:p>
    <w:p>
      <w:pPr>
        <w:pStyle w:val="ListBullet"/>
      </w:pPr>
      <w:r>
        <w:t>Challenge: Three essays with different outcomes could look like separate studies.</w:t>
      </w:r>
    </w:p>
    <w:p>
      <w:r>
        <w:rPr>
          <w:b/>
        </w:rPr>
        <w:t>Answer:</w:t>
      </w:r>
    </w:p>
    <w:p>
      <w:pPr>
        <w:pStyle w:val="ListBullet"/>
      </w:pPr>
      <w:r>
        <w:t>Three PARALLEL mechanisms: Essay 1 tests valuation (signaling theory)—timing does not improve pricing. Essay 2 tests uncertainty (information asymmetry)—timing does not clarify and increases volatility. Essay 3 tests governance (stakeholder theory)—mandate accelerates turnover. The Timing Paradox unifies all three: mandatory disclosure creates costs without valuation benefits. FCC runs through all essays.</w:t>
      </w:r>
    </w:p>
    <w:p/>
    <w:p>
      <w:r>
        <w:rPr>
          <w:b/>
          <w:color w:val="C00000"/>
          <w:sz w:val="26"/>
        </w:rPr>
        <w:t>TIER 2: METHODOLOGICAL QUESTIONS</w:t>
      </w:r>
    </w:p>
    <w:p/>
    <w:p>
      <w:r>
        <w:rPr>
          <w:b/>
          <w:sz w:val="22"/>
        </w:rPr>
        <w:t>Q4: You claim causality for FCC effect, but isn't this correlation?</w:t>
      </w:r>
    </w:p>
    <w:p>
      <w:pPr>
        <w:pStyle w:val="ListBullet"/>
      </w:pPr>
      <w:r>
        <w:t>Challenge: FCC firms are systematically different. Can you claim causality?</w:t>
      </w:r>
    </w:p>
    <w:p>
      <w:r>
        <w:rPr>
          <w:b/>
        </w:rPr>
        <w:t>Answer:</w:t>
      </w:r>
    </w:p>
    <w:p>
      <w:pPr>
        <w:pStyle w:val="ListBullet"/>
      </w:pPr>
      <w:r>
        <w:t>Natural experiment: PRE-2007 FCC effect = -13.96% (p=0.88, not significant). POST-2007 FCC effect = -2.26%** (p=0.013). This discontinuity at rule implementation is strong causality evidence, not pre-existing differences. Industry FE and firm fundamentals controls strengthen this.</w:t>
      </w:r>
    </w:p>
    <w:p/>
    <w:p>
      <w:r>
        <w:rPr>
          <w:b/>
          <w:sz w:val="22"/>
        </w:rPr>
        <w:t>Q5: Essay 2 shows FCC increases volatility—is this beneficial market learning?</w:t>
      </w:r>
    </w:p>
    <w:p>
      <w:pPr>
        <w:pStyle w:val="ListBullet"/>
      </w:pPr>
      <w:r>
        <w:t>Challenge: Volatility could reflect market learning (honest pricing).</w:t>
      </w:r>
    </w:p>
    <w:p>
      <w:r>
        <w:rPr>
          <w:b/>
        </w:rPr>
        <w:t>Answer:</w:t>
      </w:r>
    </w:p>
    <w:p>
      <w:pPr>
        <w:pStyle w:val="ListBullet"/>
      </w:pPr>
      <w:r>
        <w:t>If it were beneficial learning, it should IMPROVE valuations (Essay 1). Instead, timing has no CAR effect. Volatility is mechanical: forced speed prevents investigation. Small firms suffer +7.31%***, large firms see -3.39%** decrease. Regressive burden on small firms, not beneficial learning.</w:t>
      </w:r>
    </w:p>
    <w:p/>
    <w:p>
      <w:r>
        <w:rPr>
          <w:b/>
          <w:sz w:val="22"/>
        </w:rPr>
        <w:t>Q6: Equivalence testing—isn't your +/-2.10% bound arbitrary?</w:t>
      </w:r>
    </w:p>
    <w:p>
      <w:pPr>
        <w:pStyle w:val="ListBullet"/>
      </w:pPr>
      <w:r>
        <w:t>Challenge: Why that number? Could you have chosen bounds to get desired answer?</w:t>
      </w:r>
    </w:p>
    <w:p>
      <w:r>
        <w:rPr>
          <w:b/>
        </w:rPr>
        <w:t>Answer:</w:t>
      </w:r>
    </w:p>
    <w:p>
      <w:pPr>
        <w:pStyle w:val="ListBullet"/>
      </w:pPr>
      <w:r>
        <w:t>NOT arbitrary—derived from power analysis. The +/-2.10% bound is the MDE at 80% power (research standard). Cannot claim equivalence for effects smaller than we can measure. Cannot set higher bounds without claiming equivalence for economically large effects. This bound is justified by study design and power calculations.</w:t>
      </w:r>
    </w:p>
    <w:p/>
    <w:p>
      <w:r>
        <w:rPr>
          <w:b/>
          <w:color w:val="C00000"/>
          <w:sz w:val="26"/>
        </w:rPr>
        <w:t>TIER 3: POLICY QUESTIONS</w:t>
      </w:r>
    </w:p>
    <w:p/>
    <w:p>
      <w:r>
        <w:rPr>
          <w:b/>
          <w:sz w:val="22"/>
        </w:rPr>
        <w:t>Q7: So you're saying disclosure rules are bad?</w:t>
      </w:r>
    </w:p>
    <w:p>
      <w:pPr>
        <w:pStyle w:val="ListBullet"/>
      </w:pPr>
      <w:r>
        <w:t>Challenge: Disclosure is fundamental. Are you against disclosure requirements?</w:t>
      </w:r>
    </w:p>
    <w:p>
      <w:r>
        <w:rPr>
          <w:b/>
        </w:rPr>
        <w:t>Answer:</w:t>
      </w:r>
    </w:p>
    <w:p>
      <w:pPr>
        <w:pStyle w:val="ListBullet"/>
      </w:pPr>
      <w:r>
        <w:t>No. We support disclosure. We question TIMING-focused approach. Markets do not reward speed (H1 null), yet mandate imposes costs (+1.83% volatility, +5.3pp turnover). Optimize for COMPLETENESS, not SPEED. Recommend 14-30 days (not 7 days)—still fast, but allows investigation. Evidence-based critique, not ideology.</w:t>
      </w:r>
    </w:p>
    <w:p/>
    <w:p>
      <w:r>
        <w:rPr>
          <w:b/>
          <w:sz w:val="22"/>
        </w:rPr>
        <w:t>Q8: SEC cybersecurity rule is 4 days. Does your evidence apply?</w:t>
      </w:r>
    </w:p>
    <w:p>
      <w:pPr>
        <w:pStyle w:val="ListBullet"/>
      </w:pPr>
      <w:r>
        <w:t>Challenge: Your evidence is from telecom. Generalize to SEC?</w:t>
      </w:r>
    </w:p>
    <w:p>
      <w:r>
        <w:rPr>
          <w:b/>
        </w:rPr>
        <w:t>Answer:</w:t>
      </w:r>
    </w:p>
    <w:p>
      <w:pPr>
        <w:pStyle w:val="ListBullet"/>
      </w:pPr>
      <w:r>
        <w:t>Direct extrapolation limited. But mechanisms (forced incomplete info increases uncertainty; mandatory disclosure accelerates governance) are general principles. SEC rule is MORE stringent (4 vs 7 days), so expect LARGER costs. Not evidence for/against SEC rule, but suggests SEC should monitor outcomes: volatility, turnover, information quality. Recommendation: measure whether it works, not assume 4 days is optimal.</w:t>
      </w:r>
    </w:p>
    <w:p/>
    <w:p>
      <w:r>
        <w:rPr>
          <w:b/>
          <w:color w:val="C00000"/>
          <w:sz w:val="26"/>
        </w:rPr>
        <w:t>TIER 4: GENERAL QUESTIONS</w:t>
      </w:r>
    </w:p>
    <w:p/>
    <w:p>
      <w:r>
        <w:rPr>
          <w:b/>
          <w:sz w:val="22"/>
        </w:rPr>
        <w:t>Q9: Why telecommunications when other sectors are growing?</w:t>
      </w:r>
    </w:p>
    <w:p>
      <w:pPr>
        <w:pStyle w:val="ListBullet"/>
      </w:pPr>
      <w:r>
        <w:t>Challenge: Telecom declining. Why not healthcare, finance, technology?</w:t>
      </w:r>
    </w:p>
    <w:p>
      <w:r>
        <w:rPr>
          <w:b/>
        </w:rPr>
        <w:t>Answer:</w:t>
      </w:r>
    </w:p>
    <w:p>
      <w:pPr>
        <w:pStyle w:val="ListBullet"/>
      </w:pPr>
      <w:r>
        <w:t>Telecommunications IDEAL because natural experiment: FCC Rule 37.3 (2007) clean shock affecting only telecom. No other sector has single regulatory shock at clear date. Healthcare has HIPAA + state laws. Finance has SEC. Technology varies by state. All confounded. FCC is singular, dates to 2007—clean pre/post identification. Amani et al. (2025): telecom understudied. Sector choice was methodological, not convenience.</w:t>
      </w:r>
    </w:p>
    <w:p/>
    <w:p>
      <w:r>
        <w:rPr>
          <w:b/>
          <w:sz w:val="22"/>
        </w:rPr>
        <w:t>Q10: What evidence would falsify your main finding?</w:t>
      </w:r>
    </w:p>
    <w:p>
      <w:pPr>
        <w:pStyle w:val="ListBullet"/>
      </w:pPr>
      <w:r>
        <w:t>Challenge: What would prove you wrong?</w:t>
      </w:r>
    </w:p>
    <w:p>
      <w:r>
        <w:rPr>
          <w:b/>
        </w:rPr>
        <w:t>Answer:</w:t>
      </w:r>
    </w:p>
    <w:p>
      <w:pPr>
        <w:pStyle w:val="ListBullet"/>
      </w:pPr>
      <w:r>
        <w:t>H1 falsified if: (1) Significant POSITIVE effect of speed on CAR, or (2) Strong positive effects in heterogeneous subgroups, or (3) Different patterns in Essay 3 contradicting turnover acceleration. the findings: (1) No effect (p=0.443), (2) No positive effects in any dimension, (3) Faster disclosure DOES accelerate turnover—consistent with governance pressure, not information resolution.</w:t>
      </w:r>
    </w:p>
    <w:p/>
    <w:p>
      <w:r>
        <w:rPr>
          <w:b/>
          <w:color w:val="C00000"/>
          <w:sz w:val="26"/>
        </w:rPr>
        <w:t>TIER 5: TOUGH/ADVANCED QUESTIONS</w:t>
      </w:r>
    </w:p>
    <w:p/>
    <w:p>
      <w:r>
        <w:rPr>
          <w:b/>
          <w:sz w:val="22"/>
        </w:rPr>
        <w:t>Q11: Essay 3 mediation—is the causal chain valid?</w:t>
      </w:r>
    </w:p>
    <w:p>
      <w:pPr>
        <w:pStyle w:val="ListBullet"/>
      </w:pPr>
      <w:r>
        <w:t>Challenge: Mediation assumes causal chain, but this is correlational. How justify causality?</w:t>
      </w:r>
    </w:p>
    <w:p>
      <w:r>
        <w:rPr>
          <w:b/>
        </w:rPr>
        <w:t>Answer:</w:t>
      </w:r>
    </w:p>
    <w:p>
      <w:pPr>
        <w:pStyle w:val="ListBullet"/>
      </w:pPr>
      <w:r>
        <w:t>Fair point—deliberately cautious about Essay 3 causality. FCC is exogenous (strong causal inference). Turnover effect (+5.3pp, p=0.008) CONDITIONAL on FCC status. Mediation tests PLAUSIBLE mechanism, not unique mechanism. Indirect effect small, suggesting turnover NOT primary valuation driver. Mechanism: stakeholder pressure (boards respond to mandate). Plausible because turnover accelerates WITHOUT improved information—regulatory pressure, not market learning.</w:t>
      </w:r>
    </w:p>
    <w:p/>
    <w:p>
      <w:r>
        <w:rPr>
          <w:b/>
          <w:sz w:val="22"/>
        </w:rPr>
        <w:t>Q12: Multiple hypothesis testing—did you adjust for corrections?</w:t>
      </w:r>
    </w:p>
    <w:p>
      <w:pPr>
        <w:pStyle w:val="ListBullet"/>
      </w:pPr>
      <w:r>
        <w:t>Challenge: You test many hypotheses. Did you adjust p-values?</w:t>
      </w:r>
    </w:p>
    <w:p>
      <w:r>
        <w:rPr>
          <w:b/>
        </w:rPr>
        <w:t>Answer:</w:t>
      </w:r>
    </w:p>
    <w:p>
      <w:pPr>
        <w:pStyle w:val="ListBullet"/>
      </w:pPr>
      <w:r>
        <w:t>Distinguish PRIMARY hypotheses (H1-H4, core story) and EXPLORATORY heterogeneous effects. For primary: Bonferroni (p&lt;0.0125) overly conservative since hypotheses not independent—all from same natural experiment. FCC effect meets threshold (p=0.010 Essay 1, p=0.008 Essay 3). Prior breaches p&lt;0.001. Heterogeneous effects pre-specified as exploratory with FDR adjustment. Main findings survive any correction method.</w:t>
      </w:r>
    </w:p>
    <w:p/>
    <w:p/>
    <w:p>
      <w:r>
        <w:rPr>
          <w:b/>
          <w:color w:val="1F4E79"/>
          <w:sz w:val="26"/>
        </w:rPr>
        <w:t>Key Takeaways</w:t>
      </w:r>
    </w:p>
    <w:p/>
    <w:p>
      <w:pPr>
        <w:pStyle w:val="ListBullet"/>
      </w:pPr>
      <w:r>
        <w:t>the dissertation is methodologically solid and intellectually coherent. You have 1,054 breaches, a clean natural experiment, and strong findings. The committee will push on H1 (null results always fair), size confounds (always fair), and generalizability (always fair). That is their job. Your job is to deliver evidence-backed answers confidently but not defensively. You have done the hard work. Own it.</w:t>
      </w:r>
    </w:p>
    <w:p/>
    <w:p>
      <w:pPr>
        <w:pStyle w:val="ListBullet"/>
      </w:pPr>
      <w:r>
        <w:t>Practice these answers so you can deliver them naturally. Your confidence will come from knowing you have already addressed these concerns thoroughly. This is a strong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