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b/>
          <w:i w:val="0"/>
          <w:sz w:val="28"/>
        </w:rPr>
        <w:t>Essay 3 Appendix</w:t>
      </w:r>
    </w:p>
    <w:p>
      <w:pPr>
        <w:spacing w:after="120" w:line="240" w:lineRule="auto"/>
      </w:pPr>
      <w:r>
        <w:rPr>
          <w:rFonts w:ascii="Times New Roman" w:hAnsi="Times New Roman"/>
          <w:b w:val="0"/>
          <w:i w:val="0"/>
          <w:sz w:val="22"/>
        </w:rPr>
        <w:t>Tables 1 to 11, numbered in the order the Results section first mentions them. Analysis sample N = 405 events (109 treated, 296 control; G = 119 parent CIKs). Coefficients, standard errors, confidence intervals and minimum detectable effects are in percentage points.</w:t>
      </w:r>
    </w:p>
    <w:p>
      <w:r>
        <w:br w:type="page"/>
      </w:r>
    </w:p>
    <w:p>
      <w:pPr>
        <w:spacing w:after="0" w:line="240" w:lineRule="auto"/>
      </w:pPr>
      <w:r>
        <w:rPr>
          <w:rFonts w:ascii="Times New Roman" w:hAnsi="Times New Roman"/>
          <w:b/>
          <w:i w:val="0"/>
          <w:sz w:val="24"/>
        </w:rPr>
        <w:t>Table 1</w:t>
      </w:r>
    </w:p>
    <w:p>
      <w:pPr>
        <w:spacing w:after="160" w:line="240" w:lineRule="auto"/>
      </w:pPr>
      <w:r>
        <w:rPr>
          <w:rFonts w:ascii="Times New Roman" w:hAnsi="Times New Roman"/>
          <w:b w:val="0"/>
          <w:i/>
          <w:sz w:val="24"/>
        </w:rPr>
        <w:t>Sample Construction From Notification Records to the Analysis Sample</w:t>
      </w:r>
    </w:p>
    <w:p>
      <w:pPr>
        <w:spacing w:after="80" w:line="240" w:lineRule="auto"/>
      </w:pPr>
      <w:r>
        <w:rPr>
          <w:rFonts w:ascii="Times New Roman" w:hAnsi="Times New Roman"/>
          <w:b/>
          <w:i w:val="0"/>
          <w:sz w:val="22"/>
        </w:rPr>
        <w:t>Panel A: Attrition ledger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Step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Treated events</w:t>
            </w:r>
          </w:p>
        </w:tc>
        <w:tc>
          <w:tcPr>
            <w:tcW w:type="dxa" w:w="1337"/>
          </w:tcPr>
          <w:p>
            <w:pPr>
              <w:spacing w:line="240" w:lineRule="auto"/>
            </w:pPr>
            <w:r/>
            <w:r>
              <w:rPr>
                <w:rFonts w:ascii="Times New Roman" w:hAnsi="Times New Roman"/>
                <w:b/>
                <w:sz w:val="18"/>
              </w:rPr>
              <w:t>Control events</w:t>
            </w:r>
          </w:p>
        </w:tc>
        <w:tc>
          <w:tcPr>
            <w:tcW w:type="dxa" w:w="1337"/>
          </w:tcPr>
          <w:p>
            <w:pPr>
              <w:spacing w:line="240" w:lineRule="auto"/>
            </w:pPr>
            <w:r/>
            <w:r>
              <w:rPr>
                <w:rFonts w:ascii="Times New Roman" w:hAnsi="Times New Roman"/>
                <w:b/>
                <w:sz w:val="18"/>
              </w:rPr>
              <w:t>Treated parent CIKs</w:t>
            </w:r>
          </w:p>
        </w:tc>
        <w:tc>
          <w:tcPr>
            <w:tcW w:type="dxa" w:w="1337"/>
          </w:tcPr>
          <w:p>
            <w:pPr>
              <w:spacing w:line="240" w:lineRule="auto"/>
            </w:pPr>
            <w:r/>
            <w:r>
              <w:rPr>
                <w:rFonts w:ascii="Times New Roman" w:hAnsi="Times New Roman"/>
                <w:b/>
                <w:sz w:val="18"/>
              </w:rPr>
              <w:t>Pre-rule treated</w:t>
            </w:r>
          </w:p>
        </w:tc>
        <w:tc>
          <w:tcPr>
            <w:tcW w:type="dxa" w:w="1337"/>
          </w:tcPr>
          <w:p>
            <w:pPr>
              <w:spacing w:line="240" w:lineRule="auto"/>
            </w:pPr>
            <w:r/>
            <w:r>
              <w:rPr>
                <w:rFonts w:ascii="Times New Roman" w:hAnsi="Times New Roman"/>
                <w:b/>
                <w:sz w:val="18"/>
              </w:rPr>
              <w:t>Pre-rule control</w:t>
            </w:r>
          </w:p>
        </w:tc>
      </w:tr>
      <w:tr>
        <w:tc>
          <w:tcPr>
            <w:tcW w:type="dxa" w:w="1337"/>
          </w:tcPr>
          <w:p>
            <w:pPr>
              <w:spacing w:line="240" w:lineRule="auto"/>
            </w:pPr>
            <w:r/>
            <w:r>
              <w:rPr>
                <w:rFonts w:ascii="Times New Roman" w:hAnsi="Times New Roman"/>
                <w:sz w:val="18"/>
              </w:rPr>
              <w:t>PRC notification records (master_breach_dataset.xlsx)</w:t>
            </w:r>
          </w:p>
        </w:tc>
        <w:tc>
          <w:tcPr>
            <w:tcW w:type="dxa" w:w="1337"/>
          </w:tcPr>
          <w:p>
            <w:pPr>
              <w:spacing w:line="240" w:lineRule="auto"/>
            </w:pPr>
            <w:r/>
            <w:r>
              <w:rPr>
                <w:rFonts w:ascii="Times New Roman" w:hAnsi="Times New Roman"/>
                <w:sz w:val="18"/>
              </w:rPr>
              <w:t>1,054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1: signed parent CIK</w:t>
            </w:r>
          </w:p>
        </w:tc>
        <w:tc>
          <w:tcPr>
            <w:tcW w:type="dxa" w:w="1337"/>
          </w:tcPr>
          <w:p>
            <w:pPr>
              <w:spacing w:line="240" w:lineRule="auto"/>
            </w:pPr>
            <w:r/>
            <w:r>
              <w:rPr>
                <w:rFonts w:ascii="Times New Roman" w:hAnsi="Times New Roman"/>
                <w:sz w:val="18"/>
              </w:rPr>
              <w:t>758</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3: CIK+date firm-day events</w:t>
            </w:r>
          </w:p>
        </w:tc>
        <w:tc>
          <w:tcPr>
            <w:tcW w:type="dxa" w:w="1337"/>
          </w:tcPr>
          <w:p>
            <w:pPr>
              <w:spacing w:line="240" w:lineRule="auto"/>
            </w:pPr>
            <w:r/>
            <w:r>
              <w:rPr>
                <w:rFonts w:ascii="Times New Roman" w:hAnsi="Times New Roman"/>
                <w:sz w:val="18"/>
              </w:rPr>
              <w:t>524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2 adjacency collapse</w:t>
            </w:r>
          </w:p>
        </w:tc>
        <w:tc>
          <w:tcPr>
            <w:tcW w:type="dxa" w:w="1337"/>
          </w:tcPr>
          <w:p>
            <w:pPr>
              <w:spacing w:line="240" w:lineRule="auto"/>
            </w:pPr>
            <w:r/>
            <w:r>
              <w:rPr>
                <w:rFonts w:ascii="Times New Roman" w:hAnsi="Times New Roman"/>
                <w:sz w:val="18"/>
              </w:rPr>
              <w:t>491</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4/5 canonical events (CANONICAL_V4)</w:t>
            </w:r>
          </w:p>
        </w:tc>
        <w:tc>
          <w:tcPr>
            <w:tcW w:type="dxa" w:w="1337"/>
          </w:tcPr>
          <w:p>
            <w:pPr>
              <w:spacing w:line="240" w:lineRule="auto"/>
            </w:pPr>
            <w:r/>
            <w:r>
              <w:rPr>
                <w:rFonts w:ascii="Times New Roman" w:hAnsi="Times New Roman"/>
                <w:sz w:val="18"/>
              </w:rPr>
              <w:t>489</w:t>
            </w:r>
          </w:p>
        </w:tc>
        <w:tc>
          <w:tcPr>
            <w:tcW w:type="dxa" w:w="1337"/>
          </w:tcPr>
          <w:p>
            <w:pPr>
              <w:spacing w:line="240" w:lineRule="auto"/>
            </w:pPr>
            <w:r/>
            <w:r>
              <w:rPr>
                <w:rFonts w:ascii="Times New Roman" w:hAnsi="Times New Roman"/>
                <w:sz w:val="18"/>
              </w:rPr>
              <w:t>118</w:t>
            </w:r>
          </w:p>
        </w:tc>
        <w:tc>
          <w:tcPr>
            <w:tcW w:type="dxa" w:w="1337"/>
          </w:tcPr>
          <w:p>
            <w:pPr>
              <w:spacing w:line="240" w:lineRule="auto"/>
            </w:pPr>
            <w:r/>
            <w:r>
              <w:rPr>
                <w:rFonts w:ascii="Times New Roman" w:hAnsi="Times New Roman"/>
                <w:sz w:val="18"/>
              </w:rPr>
              <w:t>371</w:t>
            </w:r>
          </w:p>
        </w:tc>
        <w:tc>
          <w:tcPr>
            <w:tcW w:type="dxa" w:w="1337"/>
          </w:tcPr>
          <w:p>
            <w:pPr>
              <w:spacing w:line="240" w:lineRule="auto"/>
            </w:pPr>
            <w:r/>
            <w:r>
              <w:rPr>
                <w:rFonts w:ascii="Times New Roman" w:hAnsi="Times New Roman"/>
                <w:sz w:val="18"/>
              </w:rPr>
              <w:t>14</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CRSP data (has_crsp_data)</w:t>
            </w:r>
          </w:p>
        </w:tc>
        <w:tc>
          <w:tcPr>
            <w:tcW w:type="dxa" w:w="1337"/>
          </w:tcPr>
          <w:p>
            <w:pPr>
              <w:spacing w:line="240" w:lineRule="auto"/>
            </w:pPr>
            <w:r/>
            <w:r>
              <w:rPr>
                <w:rFonts w:ascii="Times New Roman" w:hAnsi="Times New Roman"/>
                <w:sz w:val="18"/>
              </w:rPr>
              <w:t>414</w:t>
            </w:r>
          </w:p>
        </w:tc>
        <w:tc>
          <w:tcPr>
            <w:tcW w:type="dxa" w:w="1337"/>
          </w:tcPr>
          <w:p>
            <w:pPr>
              <w:spacing w:line="240" w:lineRule="auto"/>
            </w:pPr>
            <w:r/>
            <w:r>
              <w:rPr>
                <w:rFonts w:ascii="Times New Roman" w:hAnsi="Times New Roman"/>
                <w:sz w:val="18"/>
              </w:rPr>
              <w:t>111</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 xml:space="preserve">    Identity-gate rejections</w:t>
            </w:r>
          </w:p>
        </w:tc>
        <w:tc>
          <w:tcPr>
            <w:tcW w:type="dxa" w:w="1337"/>
          </w:tcPr>
          <w:p>
            <w:pPr>
              <w:spacing w:line="240" w:lineRule="auto"/>
            </w:pPr>
            <w:r/>
            <w:r>
              <w:rPr>
                <w:rFonts w:ascii="Times New Roman" w:hAnsi="Times New Roman"/>
                <w:sz w:val="18"/>
              </w:rPr>
              <w:t>9</w:t>
            </w:r>
          </w:p>
        </w:tc>
        <w:tc>
          <w:tcPr>
            <w:tcW w:type="dxa" w:w="1337"/>
          </w:tcPr>
          <w:p>
            <w:pPr>
              <w:spacing w:line="240" w:lineRule="auto"/>
            </w:pPr>
            <w:r/>
            <w:r>
              <w:rPr>
                <w:rFonts w:ascii="Times New Roman" w:hAnsi="Times New Roman"/>
                <w:sz w:val="18"/>
              </w:rPr>
              <w:t>6</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 xml:space="preserve">    No acceptable security link</w:t>
            </w:r>
          </w:p>
        </w:tc>
        <w:tc>
          <w:tcPr>
            <w:tcW w:type="dxa" w:w="1337"/>
          </w:tcPr>
          <w:p>
            <w:pPr>
              <w:spacing w:line="240" w:lineRule="auto"/>
            </w:pPr>
            <w:r/>
            <w:r>
              <w:rPr>
                <w:rFonts w:ascii="Times New Roman" w:hAnsi="Times New Roman"/>
                <w:sz w:val="18"/>
              </w:rPr>
              <w:t>66</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65</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Compustat covariates (size, leverage, ROA) = Query 2 scope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Fully observed outcome window (pre-specified censoring rule)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Outcome-data requirement (&gt;=1 8-K in [t0-730d, t0+180d], outcome CIK)</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Prior 12-month market-adjusted return available (&gt;=150 daily returns)</w:t>
            </w:r>
          </w:p>
        </w:tc>
        <w:tc>
          <w:tcPr>
            <w:tcW w:type="dxa" w:w="1337"/>
          </w:tcPr>
          <w:p>
            <w:pPr>
              <w:spacing w:line="240" w:lineRule="auto"/>
            </w:pPr>
            <w:r/>
            <w:r>
              <w:rPr>
                <w:rFonts w:ascii="Times New Roman" w:hAnsi="Times New Roman"/>
                <w:sz w:val="18"/>
              </w:rPr>
              <w:t>405</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Record resolution grades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Final resolution grade</w:t>
            </w:r>
          </w:p>
        </w:tc>
        <w:tc>
          <w:tcPr>
            <w:tcW w:type="dxa" w:w="4680"/>
          </w:tcPr>
          <w:p>
            <w:pPr>
              <w:spacing w:line="240" w:lineRule="auto"/>
            </w:pPr>
            <w:r/>
            <w:r>
              <w:rPr>
                <w:rFonts w:ascii="Times New Roman" w:hAnsi="Times New Roman"/>
                <w:b/>
                <w:sz w:val="18"/>
              </w:rPr>
              <w:t>Records</w:t>
            </w:r>
          </w:p>
        </w:tc>
      </w:tr>
      <w:tr>
        <w:tc>
          <w:tcPr>
            <w:tcW w:type="dxa" w:w="4680"/>
          </w:tcPr>
          <w:p>
            <w:pPr>
              <w:spacing w:line="240" w:lineRule="auto"/>
            </w:pPr>
            <w:r/>
            <w:r>
              <w:rPr>
                <w:rFonts w:ascii="Times New Roman" w:hAnsi="Times New Roman"/>
                <w:sz w:val="18"/>
              </w:rPr>
              <w:t>Verified</w:t>
            </w:r>
          </w:p>
        </w:tc>
        <w:tc>
          <w:tcPr>
            <w:tcW w:type="dxa" w:w="4680"/>
          </w:tcPr>
          <w:p>
            <w:pPr>
              <w:spacing w:line="240" w:lineRule="auto"/>
            </w:pPr>
            <w:r/>
            <w:r>
              <w:rPr>
                <w:rFonts w:ascii="Times New Roman" w:hAnsi="Times New Roman"/>
                <w:sz w:val="18"/>
              </w:rPr>
              <w:t>473</w:t>
            </w:r>
          </w:p>
        </w:tc>
      </w:tr>
      <w:tr>
        <w:tc>
          <w:tcPr>
            <w:tcW w:type="dxa" w:w="4680"/>
          </w:tcPr>
          <w:p>
            <w:pPr>
              <w:spacing w:line="240" w:lineRule="auto"/>
            </w:pPr>
            <w:r/>
            <w:r>
              <w:rPr>
                <w:rFonts w:ascii="Times New Roman" w:hAnsi="Times New Roman"/>
                <w:sz w:val="18"/>
              </w:rPr>
              <w:t>No matching registrant or unresolved</w:t>
            </w:r>
          </w:p>
        </w:tc>
        <w:tc>
          <w:tcPr>
            <w:tcW w:type="dxa" w:w="4680"/>
          </w:tcPr>
          <w:p>
            <w:pPr>
              <w:spacing w:line="240" w:lineRule="auto"/>
            </w:pPr>
            <w:r/>
            <w:r>
              <w:rPr>
                <w:rFonts w:ascii="Times New Roman" w:hAnsi="Times New Roman"/>
                <w:sz w:val="18"/>
              </w:rPr>
              <w:t>281</w:t>
            </w:r>
          </w:p>
        </w:tc>
      </w:tr>
      <w:tr>
        <w:tc>
          <w:tcPr>
            <w:tcW w:type="dxa" w:w="4680"/>
          </w:tcPr>
          <w:p>
            <w:pPr>
              <w:spacing w:line="240" w:lineRule="auto"/>
            </w:pPr>
            <w:r/>
            <w:r>
              <w:rPr>
                <w:rFonts w:ascii="Times New Roman" w:hAnsi="Times New Roman"/>
                <w:sz w:val="18"/>
              </w:rPr>
              <w:t>Verified at Gate 1</w:t>
            </w:r>
          </w:p>
        </w:tc>
        <w:tc>
          <w:tcPr>
            <w:tcW w:type="dxa" w:w="4680"/>
          </w:tcPr>
          <w:p>
            <w:pPr>
              <w:spacing w:line="240" w:lineRule="auto"/>
            </w:pPr>
            <w:r/>
            <w:r>
              <w:rPr>
                <w:rFonts w:ascii="Times New Roman" w:hAnsi="Times New Roman"/>
                <w:sz w:val="18"/>
              </w:rPr>
              <w:t>264</w:t>
            </w:r>
          </w:p>
        </w:tc>
      </w:tr>
      <w:tr>
        <w:tc>
          <w:tcPr>
            <w:tcW w:type="dxa" w:w="4680"/>
          </w:tcPr>
          <w:p>
            <w:pPr>
              <w:spacing w:line="240" w:lineRule="auto"/>
            </w:pPr>
            <w:r/>
            <w:r>
              <w:rPr>
                <w:rFonts w:ascii="Times New Roman" w:hAnsi="Times New Roman"/>
                <w:sz w:val="18"/>
              </w:rPr>
              <w:t>Verified by reasoning</w:t>
            </w:r>
          </w:p>
        </w:tc>
        <w:tc>
          <w:tcPr>
            <w:tcW w:type="dxa" w:w="4680"/>
          </w:tcPr>
          <w:p>
            <w:pPr>
              <w:spacing w:line="240" w:lineRule="auto"/>
            </w:pPr>
            <w:r/>
            <w:r>
              <w:rPr>
                <w:rFonts w:ascii="Times New Roman" w:hAnsi="Times New Roman"/>
                <w:sz w:val="18"/>
              </w:rPr>
              <w:t>19</w:t>
            </w:r>
          </w:p>
        </w:tc>
      </w:tr>
      <w:tr>
        <w:tc>
          <w:tcPr>
            <w:tcW w:type="dxa" w:w="4680"/>
          </w:tcPr>
          <w:p>
            <w:pPr>
              <w:spacing w:line="240" w:lineRule="auto"/>
            </w:pPr>
            <w:r/>
            <w:r>
              <w:rPr>
                <w:rFonts w:ascii="Times New Roman" w:hAnsi="Times New Roman"/>
                <w:sz w:val="18"/>
              </w:rPr>
              <w:t>Private company</w:t>
            </w:r>
          </w:p>
        </w:tc>
        <w:tc>
          <w:tcPr>
            <w:tcW w:type="dxa" w:w="4680"/>
          </w:tcPr>
          <w:p>
            <w:pPr>
              <w:spacing w:line="240" w:lineRule="auto"/>
            </w:pPr>
            <w:r/>
            <w:r>
              <w:rPr>
                <w:rFonts w:ascii="Times New Roman" w:hAnsi="Times New Roman"/>
                <w:sz w:val="18"/>
              </w:rPr>
              <w:t>5</w:t>
            </w:r>
          </w:p>
        </w:tc>
      </w:tr>
      <w:tr>
        <w:tc>
          <w:tcPr>
            <w:tcW w:type="dxa" w:w="4680"/>
          </w:tcPr>
          <w:p>
            <w:pPr>
              <w:spacing w:line="240" w:lineRule="auto"/>
            </w:pPr>
            <w:r/>
            <w:r>
              <w:rPr>
                <w:rFonts w:ascii="Times New Roman" w:hAnsi="Times New Roman"/>
                <w:sz w:val="18"/>
              </w:rPr>
              <w:t>Private during the breach window</w:t>
            </w:r>
          </w:p>
        </w:tc>
        <w:tc>
          <w:tcPr>
            <w:tcW w:type="dxa" w:w="4680"/>
          </w:tcPr>
          <w:p>
            <w:pPr>
              <w:spacing w:line="240" w:lineRule="auto"/>
            </w:pPr>
            <w:r/>
            <w:r>
              <w:rPr>
                <w:rFonts w:ascii="Times New Roman" w:hAnsi="Times New Roman"/>
                <w:sz w:val="18"/>
              </w:rPr>
              <w:t>4</w:t>
            </w:r>
          </w:p>
        </w:tc>
      </w:tr>
      <w:tr>
        <w:tc>
          <w:tcPr>
            <w:tcW w:type="dxa" w:w="4680"/>
          </w:tcPr>
          <w:p>
            <w:pPr>
              <w:spacing w:line="240" w:lineRule="auto"/>
            </w:pPr>
            <w:r/>
            <w:r>
              <w:rPr>
                <w:rFonts w:ascii="Times New Roman" w:hAnsi="Times New Roman"/>
                <w:sz w:val="18"/>
              </w:rPr>
              <w:t>Adjudicated</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No U.S. listing</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Unresolved ambiguity</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Pre-IPO</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Total</w:t>
            </w:r>
          </w:p>
        </w:tc>
        <w:tc>
          <w:tcPr>
            <w:tcW w:type="dxa" w:w="4680"/>
          </w:tcPr>
          <w:p>
            <w:pPr>
              <w:spacing w:line="240" w:lineRule="auto"/>
            </w:pPr>
            <w:r/>
            <w:r>
              <w:rPr>
                <w:rFonts w:ascii="Times New Roman" w:hAnsi="Times New Roman"/>
                <w:sz w:val="18"/>
              </w:rPr>
              <w:t>1,054</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Panel A rows above the canonical-event line are at the record level, where treatment is undefined; rows from the canonical event set down are at the event level. Parent CIKs are the clustering unit. Records per event have a mean of 1.55 and a maximum of 31 (Cencora, Inc., February 2024). Pre-rule is defined relative to the December 8, 2007 effective date of 47 C.F.R. § 64.2011. The two indented sub-rows decompose the 75 events lost at the security-link step. Sources: outputs/essay3_q4/table01.csv (Panel A, from outputs/essay3_v4/e_ledger.csv and outputs/rebuild_v4/v4_212_identity_review.csv); Data/processed/rebuild/stage2_signed.csv (Panel B); outputs/essay3_appendix/descriptive_counts.csv (records per event).</w:t>
      </w:r>
    </w:p>
    <w:p>
      <w:r>
        <w:br w:type="page"/>
      </w:r>
    </w:p>
    <w:p>
      <w:pPr>
        <w:spacing w:after="0" w:line="240" w:lineRule="auto"/>
      </w:pPr>
      <w:r>
        <w:rPr>
          <w:rFonts w:ascii="Times New Roman" w:hAnsi="Times New Roman"/>
          <w:b/>
          <w:i w:val="0"/>
          <w:sz w:val="24"/>
        </w:rPr>
        <w:t>Table 2</w:t>
      </w:r>
    </w:p>
    <w:p>
      <w:pPr>
        <w:spacing w:after="160" w:line="240" w:lineRule="auto"/>
      </w:pPr>
      <w:r>
        <w:rPr>
          <w:rFonts w:ascii="Times New Roman" w:hAnsi="Times New Roman"/>
          <w:b w:val="0"/>
          <w:i/>
          <w:sz w:val="24"/>
        </w:rPr>
        <w:t>Treated Parent CIKs and Cluster Structure</w:t>
      </w:r>
    </w:p>
    <w:p>
      <w:pPr>
        <w:spacing w:after="80" w:line="240" w:lineRule="auto"/>
      </w:pPr>
      <w:r>
        <w:rPr>
          <w:rFonts w:ascii="Times New Roman" w:hAnsi="Times New Roman"/>
          <w:b/>
          <w:i w:val="0"/>
          <w:sz w:val="22"/>
        </w:rPr>
        <w:t>Panel A: Treated parent CIKs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CIK</w:t>
            </w:r>
          </w:p>
        </w:tc>
        <w:tc>
          <w:tcPr>
            <w:tcW w:type="dxa" w:w="1560"/>
          </w:tcPr>
          <w:p>
            <w:pPr>
              <w:spacing w:line="240" w:lineRule="auto"/>
            </w:pPr>
            <w:r/>
            <w:r>
              <w:rPr>
                <w:rFonts w:ascii="Times New Roman" w:hAnsi="Times New Roman"/>
                <w:b/>
                <w:sz w:val="18"/>
              </w:rPr>
              <w:t>Name</w:t>
            </w:r>
          </w:p>
        </w:tc>
        <w:tc>
          <w:tcPr>
            <w:tcW w:type="dxa" w:w="1560"/>
          </w:tcPr>
          <w:p>
            <w:pPr>
              <w:spacing w:line="240" w:lineRule="auto"/>
            </w:pPr>
            <w:r/>
            <w:r>
              <w:rPr>
                <w:rFonts w:ascii="Times New Roman" w:hAnsi="Times New Roman"/>
                <w:b/>
                <w:sz w:val="18"/>
              </w:rPr>
              <w:t>Clause 1 events</w:t>
            </w:r>
          </w:p>
        </w:tc>
        <w:tc>
          <w:tcPr>
            <w:tcW w:type="dxa" w:w="1560"/>
          </w:tcPr>
          <w:p>
            <w:pPr>
              <w:spacing w:line="240" w:lineRule="auto"/>
            </w:pPr>
            <w:r/>
            <w:r>
              <w:rPr>
                <w:rFonts w:ascii="Times New Roman" w:hAnsi="Times New Roman"/>
                <w:b/>
                <w:sz w:val="18"/>
              </w:rPr>
              <w:t>Clause 2 events</w:t>
            </w:r>
          </w:p>
        </w:tc>
        <w:tc>
          <w:tcPr>
            <w:tcW w:type="dxa" w:w="1560"/>
          </w:tcPr>
          <w:p>
            <w:pPr>
              <w:spacing w:line="240" w:lineRule="auto"/>
            </w:pPr>
            <w:r/>
            <w:r>
              <w:rPr>
                <w:rFonts w:ascii="Times New Roman" w:hAnsi="Times New Roman"/>
                <w:b/>
                <w:sz w:val="18"/>
              </w:rPr>
              <w:t>Total treated</w:t>
            </w:r>
          </w:p>
        </w:tc>
        <w:tc>
          <w:tcPr>
            <w:tcW w:type="dxa" w:w="1560"/>
          </w:tcPr>
          <w:p>
            <w:pPr>
              <w:spacing w:line="240" w:lineRule="auto"/>
            </w:pPr>
            <w:r/>
            <w:r>
              <w:rPr>
                <w:rFonts w:ascii="Times New Roman" w:hAnsi="Times New Roman"/>
                <w:b/>
                <w:sz w:val="18"/>
              </w:rPr>
              <w:t>Control events on same CIK</w:t>
            </w:r>
          </w:p>
        </w:tc>
      </w:tr>
      <w:tr>
        <w:tc>
          <w:tcPr>
            <w:tcW w:type="dxa" w:w="1560"/>
          </w:tcPr>
          <w:p>
            <w:pPr>
              <w:spacing w:line="240" w:lineRule="auto"/>
            </w:pPr>
            <w:r/>
            <w:r>
              <w:rPr>
                <w:rFonts w:ascii="Times New Roman" w:hAnsi="Times New Roman"/>
                <w:sz w:val="18"/>
              </w:rPr>
              <w:t>1,283,699</w:t>
            </w:r>
          </w:p>
        </w:tc>
        <w:tc>
          <w:tcPr>
            <w:tcW w:type="dxa" w:w="1560"/>
          </w:tcPr>
          <w:p>
            <w:pPr>
              <w:spacing w:line="240" w:lineRule="auto"/>
            </w:pPr>
            <w:r/>
            <w:r>
              <w:rPr>
                <w:rFonts w:ascii="Times New Roman" w:hAnsi="Times New Roman"/>
                <w:sz w:val="18"/>
              </w:rPr>
              <w:t>T-Mobile USA, Inc.</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732,717</w:t>
            </w:r>
          </w:p>
        </w:tc>
        <w:tc>
          <w:tcPr>
            <w:tcW w:type="dxa" w:w="1560"/>
          </w:tcPr>
          <w:p>
            <w:pPr>
              <w:spacing w:line="240" w:lineRule="auto"/>
            </w:pPr>
            <w:r/>
            <w:r>
              <w:rPr>
                <w:rFonts w:ascii="Times New Roman" w:hAnsi="Times New Roman"/>
                <w:sz w:val="18"/>
              </w:rPr>
              <w:t>AT&amp;T</w:t>
            </w:r>
          </w:p>
        </w:tc>
        <w:tc>
          <w:tcPr>
            <w:tcW w:type="dxa" w:w="1560"/>
          </w:tcPr>
          <w:p>
            <w:pPr>
              <w:spacing w:line="240" w:lineRule="auto"/>
            </w:pPr>
            <w:r/>
            <w:r>
              <w:rPr>
                <w:rFonts w:ascii="Times New Roman" w:hAnsi="Times New Roman"/>
                <w:sz w:val="18"/>
              </w:rPr>
              <w:t>15</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24</w:t>
            </w:r>
          </w:p>
        </w:tc>
        <w:tc>
          <w:tcPr>
            <w:tcW w:type="dxa" w:w="1560"/>
          </w:tcPr>
          <w:p>
            <w:pPr>
              <w:spacing w:line="240" w:lineRule="auto"/>
            </w:pPr>
            <w:r/>
            <w:r>
              <w:rPr>
                <w:rFonts w:ascii="Times New Roman" w:hAnsi="Times New Roman"/>
                <w:sz w:val="18"/>
              </w:rPr>
              <w:t>2</w:t>
            </w:r>
          </w:p>
        </w:tc>
      </w:tr>
      <w:tr>
        <w:tc>
          <w:tcPr>
            <w:tcW w:type="dxa" w:w="1560"/>
          </w:tcPr>
          <w:p>
            <w:pPr>
              <w:spacing w:line="240" w:lineRule="auto"/>
            </w:pPr>
            <w:r/>
            <w:r>
              <w:rPr>
                <w:rFonts w:ascii="Times New Roman" w:hAnsi="Times New Roman"/>
                <w:sz w:val="18"/>
              </w:rPr>
              <w:t>101,830</w:t>
            </w:r>
          </w:p>
        </w:tc>
        <w:tc>
          <w:tcPr>
            <w:tcW w:type="dxa" w:w="1560"/>
          </w:tcPr>
          <w:p>
            <w:pPr>
              <w:spacing w:line="240" w:lineRule="auto"/>
            </w:pPr>
            <w:r/>
            <w:r>
              <w:rPr>
                <w:rFonts w:ascii="Times New Roman" w:hAnsi="Times New Roman"/>
                <w:sz w:val="18"/>
              </w:rPr>
              <w:t>Sprint Corporation</w:t>
            </w:r>
          </w:p>
        </w:tc>
        <w:tc>
          <w:tcPr>
            <w:tcW w:type="dxa" w:w="1560"/>
          </w:tcPr>
          <w:p>
            <w:pPr>
              <w:spacing w:line="240" w:lineRule="auto"/>
            </w:pPr>
            <w:r/>
            <w:r>
              <w:rPr>
                <w:rFonts w:ascii="Times New Roman" w:hAnsi="Times New Roman"/>
                <w:sz w:val="18"/>
              </w:rPr>
              <w:t>11</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12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732,712</w:t>
            </w:r>
          </w:p>
        </w:tc>
        <w:tc>
          <w:tcPr>
            <w:tcW w:type="dxa" w:w="1560"/>
          </w:tcPr>
          <w:p>
            <w:pPr>
              <w:spacing w:line="240" w:lineRule="auto"/>
            </w:pPr>
            <w:r/>
            <w:r>
              <w:rPr>
                <w:rFonts w:ascii="Times New Roman" w:hAnsi="Times New Roman"/>
                <w:sz w:val="18"/>
              </w:rPr>
              <w:t>Verizon</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1</w:t>
            </w:r>
          </w:p>
        </w:tc>
      </w:tr>
      <w:tr>
        <w:tc>
          <w:tcPr>
            <w:tcW w:type="dxa" w:w="1560"/>
          </w:tcPr>
          <w:p>
            <w:pPr>
              <w:spacing w:line="240" w:lineRule="auto"/>
            </w:pPr>
            <w:r/>
            <w:r>
              <w:rPr>
                <w:rFonts w:ascii="Times New Roman" w:hAnsi="Times New Roman"/>
                <w:sz w:val="18"/>
              </w:rPr>
              <w:t>1,166,691</w:t>
            </w:r>
          </w:p>
        </w:tc>
        <w:tc>
          <w:tcPr>
            <w:tcW w:type="dxa" w:w="1560"/>
          </w:tcPr>
          <w:p>
            <w:pPr>
              <w:spacing w:line="240" w:lineRule="auto"/>
            </w:pPr>
            <w:r/>
            <w:r>
              <w:rPr>
                <w:rFonts w:ascii="Times New Roman" w:hAnsi="Times New Roman"/>
                <w:sz w:val="18"/>
              </w:rPr>
              <w:t>Comcast Cable Communications LLC</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3</w:t>
            </w:r>
          </w:p>
        </w:tc>
      </w:tr>
      <w:tr>
        <w:tc>
          <w:tcPr>
            <w:tcW w:type="dxa" w:w="1560"/>
          </w:tcPr>
          <w:p>
            <w:pPr>
              <w:spacing w:line="240" w:lineRule="auto"/>
            </w:pPr>
            <w:r/>
            <w:r>
              <w:rPr>
                <w:rFonts w:ascii="Times New Roman" w:hAnsi="Times New Roman"/>
                <w:sz w:val="18"/>
              </w:rPr>
              <w:t>1,091,667</w:t>
            </w:r>
          </w:p>
        </w:tc>
        <w:tc>
          <w:tcPr>
            <w:tcW w:type="dxa" w:w="1560"/>
          </w:tcPr>
          <w:p>
            <w:pPr>
              <w:spacing w:line="240" w:lineRule="auto"/>
            </w:pPr>
            <w:r/>
            <w:r>
              <w:rPr>
                <w:rFonts w:ascii="Times New Roman" w:hAnsi="Times New Roman"/>
                <w:sz w:val="18"/>
              </w:rPr>
              <w:t>Charter Communications,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18,926</w:t>
            </w:r>
          </w:p>
        </w:tc>
        <w:tc>
          <w:tcPr>
            <w:tcW w:type="dxa" w:w="1560"/>
          </w:tcPr>
          <w:p>
            <w:pPr>
              <w:spacing w:line="240" w:lineRule="auto"/>
            </w:pPr>
            <w:r/>
            <w:r>
              <w:rPr>
                <w:rFonts w:ascii="Times New Roman" w:hAnsi="Times New Roman"/>
                <w:sz w:val="18"/>
              </w:rPr>
              <w:t>CenturyLink</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20,520</w:t>
            </w:r>
          </w:p>
        </w:tc>
        <w:tc>
          <w:tcPr>
            <w:tcW w:type="dxa" w:w="1560"/>
          </w:tcPr>
          <w:p>
            <w:pPr>
              <w:spacing w:line="240" w:lineRule="auto"/>
            </w:pPr>
            <w:r/>
            <w:r>
              <w:rPr>
                <w:rFonts w:ascii="Times New Roman" w:hAnsi="Times New Roman"/>
                <w:sz w:val="18"/>
              </w:rPr>
              <w:t>Frontier Communications Parent,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1,609,711</w:t>
            </w:r>
          </w:p>
        </w:tc>
        <w:tc>
          <w:tcPr>
            <w:tcW w:type="dxa" w:w="1560"/>
          </w:tcPr>
          <w:p>
            <w:pPr>
              <w:spacing w:line="240" w:lineRule="auto"/>
            </w:pPr>
            <w:r/>
            <w:r>
              <w:rPr>
                <w:rFonts w:ascii="Times New Roman" w:hAnsi="Times New Roman"/>
                <w:sz w:val="18"/>
              </w:rPr>
              <w:t>GoDaddy.com, LLC</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1,001,082</w:t>
            </w:r>
          </w:p>
        </w:tc>
        <w:tc>
          <w:tcPr>
            <w:tcW w:type="dxa" w:w="1560"/>
          </w:tcPr>
          <w:p>
            <w:pPr>
              <w:spacing w:line="240" w:lineRule="auto"/>
            </w:pPr>
            <w:r/>
            <w:r>
              <w:rPr>
                <w:rFonts w:ascii="Times New Roman" w:hAnsi="Times New Roman"/>
                <w:sz w:val="18"/>
              </w:rPr>
              <w:t>DISH Network, LLC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1,447,669</w:t>
            </w:r>
          </w:p>
        </w:tc>
        <w:tc>
          <w:tcPr>
            <w:tcW w:type="dxa" w:w="1560"/>
          </w:tcPr>
          <w:p>
            <w:pPr>
              <w:spacing w:line="240" w:lineRule="auto"/>
            </w:pPr>
            <w:r/>
            <w:r>
              <w:rPr>
                <w:rFonts w:ascii="Times New Roman" w:hAnsi="Times New Roman"/>
                <w:sz w:val="18"/>
              </w:rPr>
              <w:t>Twilio</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1,632,127</w:t>
            </w:r>
          </w:p>
        </w:tc>
        <w:tc>
          <w:tcPr>
            <w:tcW w:type="dxa" w:w="1560"/>
          </w:tcPr>
          <w:p>
            <w:pPr>
              <w:spacing w:line="240" w:lineRule="auto"/>
            </w:pPr>
            <w:r/>
            <w:r>
              <w:rPr>
                <w:rFonts w:ascii="Times New Roman" w:hAnsi="Times New Roman"/>
                <w:sz w:val="18"/>
              </w:rPr>
              <w:t>Cable One, Inc.</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1,702,780</w:t>
            </w:r>
          </w:p>
        </w:tc>
        <w:tc>
          <w:tcPr>
            <w:tcW w:type="dxa" w:w="1560"/>
          </w:tcPr>
          <w:p>
            <w:pPr>
              <w:spacing w:line="240" w:lineRule="auto"/>
            </w:pPr>
            <w:r/>
            <w:r>
              <w:rPr>
                <w:rFonts w:ascii="Times New Roman" w:hAnsi="Times New Roman"/>
                <w:sz w:val="18"/>
              </w:rPr>
              <w:t>Altice USA</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Total</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t>70</w:t>
            </w:r>
          </w:p>
        </w:tc>
        <w:tc>
          <w:tcPr>
            <w:tcW w:type="dxa" w:w="1560"/>
          </w:tcPr>
          <w:p>
            <w:pPr>
              <w:spacing w:line="240" w:lineRule="auto"/>
            </w:pPr>
            <w:r/>
            <w:r>
              <w:rPr>
                <w:rFonts w:ascii="Times New Roman" w:hAnsi="Times New Roman"/>
                <w:sz w:val="18"/>
              </w:rPr>
              <w:t>39</w:t>
            </w:r>
          </w:p>
        </w:tc>
        <w:tc>
          <w:tcPr>
            <w:tcW w:type="dxa" w:w="1560"/>
          </w:tcPr>
          <w:p>
            <w:pPr>
              <w:spacing w:line="240" w:lineRule="auto"/>
            </w:pPr>
            <w:r/>
            <w:r>
              <w:rPr>
                <w:rFonts w:ascii="Times New Roman" w:hAnsi="Times New Roman"/>
                <w:sz w:val="18"/>
              </w:rPr>
              <w:t>109</w:t>
            </w:r>
          </w:p>
        </w:tc>
        <w:tc>
          <w:tcPr>
            <w:tcW w:type="dxa" w:w="15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Cluster structure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Cluster statistic</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Parent CIKs (G)</w:t>
            </w:r>
          </w:p>
        </w:tc>
        <w:tc>
          <w:tcPr>
            <w:tcW w:type="dxa" w:w="4680"/>
          </w:tcPr>
          <w:p>
            <w:pPr>
              <w:spacing w:line="240" w:lineRule="auto"/>
            </w:pPr>
            <w:r/>
            <w:r>
              <w:rPr>
                <w:rFonts w:ascii="Times New Roman" w:hAnsi="Times New Roman"/>
                <w:sz w:val="18"/>
              </w:rPr>
              <w:t>119</w:t>
            </w:r>
          </w:p>
        </w:tc>
      </w:tr>
      <w:tr>
        <w:tc>
          <w:tcPr>
            <w:tcW w:type="dxa" w:w="4680"/>
          </w:tcPr>
          <w:p>
            <w:pPr>
              <w:spacing w:line="240" w:lineRule="auto"/>
            </w:pPr>
            <w:r/>
            <w:r>
              <w:rPr>
                <w:rFonts w:ascii="Times New Roman" w:hAnsi="Times New Roman"/>
                <w:sz w:val="18"/>
              </w:rPr>
              <w:t>Treated clusters (G1)</w:t>
            </w:r>
          </w:p>
        </w:tc>
        <w:tc>
          <w:tcPr>
            <w:tcW w:type="dxa" w:w="4680"/>
          </w:tcPr>
          <w:p>
            <w:pPr>
              <w:spacing w:line="240" w:lineRule="auto"/>
            </w:pPr>
            <w:r/>
            <w:r>
              <w:rPr>
                <w:rFonts w:ascii="Times New Roman" w:hAnsi="Times New Roman"/>
                <w:sz w:val="18"/>
              </w:rPr>
              <w:t>13</w:t>
            </w:r>
          </w:p>
        </w:tc>
      </w:tr>
      <w:tr>
        <w:tc>
          <w:tcPr>
            <w:tcW w:type="dxa" w:w="4680"/>
          </w:tcPr>
          <w:p>
            <w:pPr>
              <w:spacing w:line="240" w:lineRule="auto"/>
            </w:pPr>
            <w:r/>
            <w:r>
              <w:rPr>
                <w:rFonts w:ascii="Times New Roman" w:hAnsi="Times New Roman"/>
                <w:sz w:val="18"/>
              </w:rPr>
              <w:t>Effective clusters (G*)</w:t>
            </w:r>
          </w:p>
        </w:tc>
        <w:tc>
          <w:tcPr>
            <w:tcW w:type="dxa" w:w="4680"/>
          </w:tcPr>
          <w:p>
            <w:pPr>
              <w:spacing w:line="240" w:lineRule="auto"/>
            </w:pPr>
            <w:r/>
            <w:r>
              <w:rPr>
                <w:rFonts w:ascii="Times New Roman" w:hAnsi="Times New Roman"/>
                <w:sz w:val="18"/>
              </w:rPr>
              <w:t>24.5</w:t>
            </w:r>
          </w:p>
        </w:tc>
      </w:tr>
      <w:tr>
        <w:tc>
          <w:tcPr>
            <w:tcW w:type="dxa" w:w="4680"/>
          </w:tcPr>
          <w:p>
            <w:pPr>
              <w:spacing w:line="240" w:lineRule="auto"/>
            </w:pPr>
            <w:r/>
            <w:r>
              <w:rPr>
                <w:rFonts w:ascii="Times New Roman" w:hAnsi="Times New Roman"/>
                <w:sz w:val="18"/>
              </w:rPr>
              <w:t>Cluster-size coefficient of variation</w:t>
            </w:r>
          </w:p>
        </w:tc>
        <w:tc>
          <w:tcPr>
            <w:tcW w:type="dxa" w:w="4680"/>
          </w:tcPr>
          <w:p>
            <w:pPr>
              <w:spacing w:line="240" w:lineRule="auto"/>
            </w:pPr>
            <w:r/>
            <w:r>
              <w:rPr>
                <w:rFonts w:ascii="Times New Roman" w:hAnsi="Times New Roman"/>
                <w:sz w:val="18"/>
              </w:rPr>
              <w:t>2.328</w:t>
            </w:r>
          </w:p>
        </w:tc>
      </w:tr>
      <w:tr>
        <w:tc>
          <w:tcPr>
            <w:tcW w:type="dxa" w:w="4680"/>
          </w:tcPr>
          <w:p>
            <w:pPr>
              <w:spacing w:line="240" w:lineRule="auto"/>
            </w:pPr>
            <w:r/>
            <w:r>
              <w:rPr>
                <w:rFonts w:ascii="Times New Roman" w:hAnsi="Times New Roman"/>
                <w:sz w:val="18"/>
              </w:rPr>
              <w:t>Singleton clusters</w:t>
            </w:r>
          </w:p>
        </w:tc>
        <w:tc>
          <w:tcPr>
            <w:tcW w:type="dxa" w:w="4680"/>
          </w:tcPr>
          <w:p>
            <w:pPr>
              <w:spacing w:line="240" w:lineRule="auto"/>
            </w:pPr>
            <w:r/>
            <w:r>
              <w:rPr>
                <w:rFonts w:ascii="Times New Roman" w:hAnsi="Times New Roman"/>
                <w:sz w:val="18"/>
              </w:rPr>
              <w:t>61</w:t>
            </w:r>
          </w:p>
        </w:tc>
      </w:tr>
      <w:tr>
        <w:tc>
          <w:tcPr>
            <w:tcW w:type="dxa" w:w="4680"/>
          </w:tcPr>
          <w:p>
            <w:pPr>
              <w:spacing w:line="240" w:lineRule="auto"/>
            </w:pPr>
            <w:r/>
            <w:r>
              <w:rPr>
                <w:rFonts w:ascii="Times New Roman" w:hAnsi="Times New Roman"/>
                <w:sz w:val="18"/>
              </w:rPr>
              <w:t>Largest cluster</w:t>
            </w:r>
          </w:p>
        </w:tc>
        <w:tc>
          <w:tcPr>
            <w:tcW w:type="dxa" w:w="4680"/>
          </w:tcPr>
          <w:p>
            <w:pPr>
              <w:spacing w:line="240" w:lineRule="auto"/>
            </w:pPr>
            <w:r/>
            <w:r>
              <w:rPr>
                <w:rFonts w:ascii="Times New Roman" w:hAnsi="Times New Roman"/>
                <w:sz w:val="18"/>
              </w:rPr>
              <w:t>Intuit, Inc. (CIK 896878): 78 events (19.3%)</w:t>
            </w:r>
          </w:p>
        </w:tc>
      </w:tr>
      <w:tr>
        <w:tc>
          <w:tcPr>
            <w:tcW w:type="dxa" w:w="4680"/>
          </w:tcPr>
          <w:p>
            <w:pPr>
              <w:spacing w:line="240" w:lineRule="auto"/>
            </w:pPr>
            <w:r/>
            <w:r>
              <w:rPr>
                <w:rFonts w:ascii="Times New Roman" w:hAnsi="Times New Roman"/>
                <w:sz w:val="18"/>
              </w:rPr>
              <w:t>Mixed clusters (hold treated and control events)</w:t>
            </w:r>
          </w:p>
        </w:tc>
        <w:tc>
          <w:tcPr>
            <w:tcW w:type="dxa" w:w="4680"/>
          </w:tcPr>
          <w:p>
            <w:pPr>
              <w:spacing w:line="240" w:lineRule="auto"/>
            </w:pPr>
            <w:r/>
            <w:r>
              <w:rPr>
                <w:rFonts w:ascii="Times New Roman" w:hAnsi="Times New Roman"/>
                <w:sz w:val="18"/>
              </w:rPr>
              <w:t>AT&amp;T; Verizon; Comcast Cable Communications LLC</w:t>
            </w:r>
          </w:p>
        </w:tc>
      </w:tr>
      <w:tr>
        <w:tc>
          <w:tcPr>
            <w:tcW w:type="dxa" w:w="4680"/>
          </w:tcPr>
          <w:p>
            <w:pPr>
              <w:spacing w:line="240" w:lineRule="auto"/>
            </w:pPr>
            <w:r/>
            <w:r>
              <w:rPr>
                <w:rFonts w:ascii="Times New Roman" w:hAnsi="Times New Roman"/>
                <w:sz w:val="18"/>
              </w:rPr>
              <w:t>T-Mobile share of treated events</w:t>
            </w:r>
          </w:p>
        </w:tc>
        <w:tc>
          <w:tcPr>
            <w:tcW w:type="dxa" w:w="4680"/>
          </w:tcPr>
          <w:p>
            <w:pPr>
              <w:spacing w:line="240" w:lineRule="auto"/>
            </w:pPr>
            <w:r/>
            <w:r>
              <w:rPr>
                <w:rFonts w:ascii="Times New Roman" w:hAnsi="Times New Roman"/>
                <w:sz w:val="18"/>
              </w:rPr>
              <w:t>26 of 109 (23.9%)</w:t>
            </w:r>
          </w:p>
        </w:tc>
      </w:tr>
      <w:tr>
        <w:tc>
          <w:tcPr>
            <w:tcW w:type="dxa" w:w="4680"/>
          </w:tcPr>
          <w:p>
            <w:pPr>
              <w:spacing w:line="240" w:lineRule="auto"/>
            </w:pPr>
            <w:r/>
            <w:r>
              <w:rPr>
                <w:rFonts w:ascii="Times New Roman" w:hAnsi="Times New Roman"/>
                <w:sz w:val="18"/>
              </w:rPr>
              <w:t>T-Mobile and Sprint share of treated events</w:t>
            </w:r>
          </w:p>
        </w:tc>
        <w:tc>
          <w:tcPr>
            <w:tcW w:type="dxa" w:w="4680"/>
          </w:tcPr>
          <w:p>
            <w:pPr>
              <w:spacing w:line="240" w:lineRule="auto"/>
            </w:pPr>
            <w:r/>
            <w:r>
              <w:rPr>
                <w:rFonts w:ascii="Times New Roman" w:hAnsi="Times New Roman"/>
                <w:sz w:val="18"/>
              </w:rPr>
              <w:t>38 of 109 (34.9%)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inference clusters on parent CIK. Clause 1 is a direct Form 499 registry match; clause 2 is an adjudicated holding or parent-brand relationship. Eight CIKs carry clause 1 events and eight carry clause 2 events; three carry both (at&amp;T, Sprint, Comcast), so the two counts reconcile to 13 CIKs. T-Mobile (1283699) and Sprint (101830) are separate parent CIKs and are clustered separately; they are one corporate family only in the entity count (12). Twilio and GoDaddy enter by direct registry match, not by the network-operator criterion. Both DISH events postdate July 1, 2020, the Boost Mobile divestiture that the date-conditional rule turns on. G* is the effective number of clusters. Sources: outputs/essay3_q4/table02.csv; outputs/essay3_v4/f1_ladder.csv; outputs/essay3_appendix/descriptive_counts.csv (singleton and largest-cluster rows).</w:t>
      </w:r>
    </w:p>
    <w:p>
      <w:r>
        <w:br w:type="page"/>
      </w:r>
    </w:p>
    <w:p>
      <w:pPr>
        <w:spacing w:after="0" w:line="240" w:lineRule="auto"/>
      </w:pPr>
      <w:r>
        <w:rPr>
          <w:rFonts w:ascii="Times New Roman" w:hAnsi="Times New Roman"/>
          <w:b/>
          <w:i w:val="0"/>
          <w:sz w:val="24"/>
        </w:rPr>
        <w:t>Table 3</w:t>
      </w:r>
    </w:p>
    <w:p>
      <w:pPr>
        <w:spacing w:after="160" w:line="240" w:lineRule="auto"/>
      </w:pPr>
      <w:r>
        <w:rPr>
          <w:rFonts w:ascii="Times New Roman" w:hAnsi="Times New Roman"/>
          <w:b w:val="0"/>
          <w:i/>
          <w:sz w:val="24"/>
        </w:rPr>
        <w:t>Breach Type by Treatment Group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PRC breach type</w:t>
            </w:r>
          </w:p>
        </w:tc>
        <w:tc>
          <w:tcPr>
            <w:tcW w:type="dxa" w:w="1872"/>
          </w:tcPr>
          <w:p>
            <w:pPr>
              <w:spacing w:line="240" w:lineRule="auto"/>
            </w:pPr>
            <w:r/>
            <w:r>
              <w:rPr>
                <w:rFonts w:ascii="Times New Roman" w:hAnsi="Times New Roman"/>
                <w:b/>
                <w:sz w:val="18"/>
              </w:rPr>
              <w:t>Treated n</w:t>
            </w:r>
          </w:p>
        </w:tc>
        <w:tc>
          <w:tcPr>
            <w:tcW w:type="dxa" w:w="1872"/>
          </w:tcPr>
          <w:p>
            <w:pPr>
              <w:spacing w:line="240" w:lineRule="auto"/>
            </w:pPr>
            <w:r/>
            <w:r>
              <w:rPr>
                <w:rFonts w:ascii="Times New Roman" w:hAnsi="Times New Roman"/>
                <w:b/>
                <w:sz w:val="18"/>
              </w:rPr>
              <w:t>Treated %</w:t>
            </w:r>
          </w:p>
        </w:tc>
        <w:tc>
          <w:tcPr>
            <w:tcW w:type="dxa" w:w="1872"/>
          </w:tcPr>
          <w:p>
            <w:pPr>
              <w:spacing w:line="240" w:lineRule="auto"/>
            </w:pPr>
            <w:r/>
            <w:r>
              <w:rPr>
                <w:rFonts w:ascii="Times New Roman" w:hAnsi="Times New Roman"/>
                <w:b/>
                <w:sz w:val="18"/>
              </w:rPr>
              <w:t>Control n</w:t>
            </w:r>
          </w:p>
        </w:tc>
        <w:tc>
          <w:tcPr>
            <w:tcW w:type="dxa" w:w="1872"/>
          </w:tcPr>
          <w:p>
            <w:pPr>
              <w:spacing w:line="240" w:lineRule="auto"/>
            </w:pPr>
            <w:r/>
            <w:r>
              <w:rPr>
                <w:rFonts w:ascii="Times New Roman" w:hAnsi="Times New Roman"/>
                <w:b/>
                <w:sz w:val="18"/>
              </w:rPr>
              <w:t>Control %</w:t>
            </w:r>
          </w:p>
        </w:tc>
      </w:tr>
      <w:tr>
        <w:tc>
          <w:tcPr>
            <w:tcW w:type="dxa" w:w="1872"/>
          </w:tcPr>
          <w:p>
            <w:pPr>
              <w:spacing w:line="240" w:lineRule="auto"/>
            </w:pPr>
            <w:r/>
            <w:r>
              <w:rPr>
                <w:rFonts w:ascii="Times New Roman" w:hAnsi="Times New Roman"/>
                <w:sz w:val="18"/>
              </w:rPr>
              <w:t>HACK</w:t>
            </w:r>
          </w:p>
        </w:tc>
        <w:tc>
          <w:tcPr>
            <w:tcW w:type="dxa" w:w="1872"/>
          </w:tcPr>
          <w:p>
            <w:pPr>
              <w:spacing w:line="240" w:lineRule="auto"/>
            </w:pPr>
            <w:r/>
            <w:r>
              <w:rPr>
                <w:rFonts w:ascii="Times New Roman" w:hAnsi="Times New Roman"/>
                <w:sz w:val="18"/>
              </w:rPr>
              <w:t>64</w:t>
            </w:r>
          </w:p>
        </w:tc>
        <w:tc>
          <w:tcPr>
            <w:tcW w:type="dxa" w:w="1872"/>
          </w:tcPr>
          <w:p>
            <w:pPr>
              <w:spacing w:line="240" w:lineRule="auto"/>
            </w:pPr>
            <w:r/>
            <w:r>
              <w:rPr>
                <w:rFonts w:ascii="Times New Roman" w:hAnsi="Times New Roman"/>
                <w:sz w:val="18"/>
              </w:rPr>
              <w:t>58.7</w:t>
            </w:r>
          </w:p>
        </w:tc>
        <w:tc>
          <w:tcPr>
            <w:tcW w:type="dxa" w:w="1872"/>
          </w:tcPr>
          <w:p>
            <w:pPr>
              <w:spacing w:line="240" w:lineRule="auto"/>
            </w:pPr>
            <w:r/>
            <w:r>
              <w:rPr>
                <w:rFonts w:ascii="Times New Roman" w:hAnsi="Times New Roman"/>
                <w:sz w:val="18"/>
              </w:rPr>
              <w:t>225</w:t>
            </w:r>
          </w:p>
        </w:tc>
        <w:tc>
          <w:tcPr>
            <w:tcW w:type="dxa" w:w="1872"/>
          </w:tcPr>
          <w:p>
            <w:pPr>
              <w:spacing w:line="240" w:lineRule="auto"/>
            </w:pPr>
            <w:r/>
            <w:r>
              <w:rPr>
                <w:rFonts w:ascii="Times New Roman" w:hAnsi="Times New Roman"/>
                <w:sz w:val="18"/>
              </w:rPr>
              <w:t>76.0</w:t>
            </w:r>
          </w:p>
        </w:tc>
      </w:tr>
      <w:tr>
        <w:tc>
          <w:tcPr>
            <w:tcW w:type="dxa" w:w="1872"/>
          </w:tcPr>
          <w:p>
            <w:pPr>
              <w:spacing w:line="240" w:lineRule="auto"/>
            </w:pPr>
            <w:r/>
            <w:r>
              <w:rPr>
                <w:rFonts w:ascii="Times New Roman" w:hAnsi="Times New Roman"/>
                <w:sz w:val="18"/>
              </w:rPr>
              <w:t>INSD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w:t>
            </w:r>
          </w:p>
        </w:tc>
        <w:tc>
          <w:tcPr>
            <w:tcW w:type="dxa" w:w="1872"/>
          </w:tcPr>
          <w:p>
            <w:pPr>
              <w:spacing w:line="240" w:lineRule="auto"/>
            </w:pPr>
            <w:r/>
            <w:r>
              <w:rPr>
                <w:rFonts w:ascii="Times New Roman" w:hAnsi="Times New Roman"/>
                <w:sz w:val="18"/>
              </w:rPr>
              <w:t>25</w:t>
            </w:r>
          </w:p>
        </w:tc>
        <w:tc>
          <w:tcPr>
            <w:tcW w:type="dxa" w:w="1872"/>
          </w:tcPr>
          <w:p>
            <w:pPr>
              <w:spacing w:line="240" w:lineRule="auto"/>
            </w:pPr>
            <w:r/>
            <w:r>
              <w:rPr>
                <w:rFonts w:ascii="Times New Roman" w:hAnsi="Times New Roman"/>
                <w:sz w:val="18"/>
              </w:rPr>
              <w:t>8.4</w:t>
            </w:r>
          </w:p>
        </w:tc>
      </w:tr>
      <w:tr>
        <w:tc>
          <w:tcPr>
            <w:tcW w:type="dxa" w:w="1872"/>
          </w:tcPr>
          <w:p>
            <w:pPr>
              <w:spacing w:line="240" w:lineRule="auto"/>
            </w:pPr>
            <w:r/>
            <w:r>
              <w:rPr>
                <w:rFonts w:ascii="Times New Roman" w:hAnsi="Times New Roman"/>
                <w:sz w:val="18"/>
              </w:rPr>
              <w:t>PHYS</w:t>
            </w:r>
          </w:p>
        </w:tc>
        <w:tc>
          <w:tcPr>
            <w:tcW w:type="dxa" w:w="1872"/>
          </w:tcPr>
          <w:p>
            <w:pPr>
              <w:spacing w:line="240" w:lineRule="auto"/>
            </w:pPr>
            <w:r/>
            <w:r>
              <w:rPr>
                <w:rFonts w:ascii="Times New Roman" w:hAnsi="Times New Roman"/>
                <w:sz w:val="18"/>
              </w:rPr>
              <w:t>12</w:t>
            </w:r>
          </w:p>
        </w:tc>
        <w:tc>
          <w:tcPr>
            <w:tcW w:type="dxa" w:w="1872"/>
          </w:tcPr>
          <w:p>
            <w:pPr>
              <w:spacing w:line="240" w:lineRule="auto"/>
            </w:pPr>
            <w:r/>
            <w:r>
              <w:rPr>
                <w:rFonts w:ascii="Times New Roman" w:hAnsi="Times New Roman"/>
                <w:sz w:val="18"/>
              </w:rPr>
              <w:t>11.0</w:t>
            </w:r>
          </w:p>
        </w:tc>
        <w:tc>
          <w:tcPr>
            <w:tcW w:type="dxa" w:w="1872"/>
          </w:tcPr>
          <w:p>
            <w:pPr>
              <w:spacing w:line="240" w:lineRule="auto"/>
            </w:pPr>
            <w:r/>
            <w:r>
              <w:rPr>
                <w:rFonts w:ascii="Times New Roman" w:hAnsi="Times New Roman"/>
                <w:sz w:val="18"/>
              </w:rPr>
              <w:t>4</w:t>
            </w:r>
          </w:p>
        </w:tc>
        <w:tc>
          <w:tcPr>
            <w:tcW w:type="dxa" w:w="1872"/>
          </w:tcPr>
          <w:p>
            <w:pPr>
              <w:spacing w:line="240" w:lineRule="auto"/>
            </w:pPr>
            <w:r/>
            <w:r>
              <w:rPr>
                <w:rFonts w:ascii="Times New Roman" w:hAnsi="Times New Roman"/>
                <w:sz w:val="18"/>
              </w:rPr>
              <w:t>1.4</w:t>
            </w:r>
          </w:p>
        </w:tc>
      </w:tr>
      <w:tr>
        <w:tc>
          <w:tcPr>
            <w:tcW w:type="dxa" w:w="1872"/>
          </w:tcPr>
          <w:p>
            <w:pPr>
              <w:spacing w:line="240" w:lineRule="auto"/>
            </w:pPr>
            <w:r/>
            <w:r>
              <w:rPr>
                <w:rFonts w:ascii="Times New Roman" w:hAnsi="Times New Roman"/>
                <w:sz w:val="18"/>
              </w:rPr>
              <w:t>PORT</w:t>
            </w:r>
          </w:p>
        </w:tc>
        <w:tc>
          <w:tcPr>
            <w:tcW w:type="dxa" w:w="1872"/>
          </w:tcPr>
          <w:p>
            <w:pPr>
              <w:spacing w:line="240" w:lineRule="auto"/>
            </w:pPr>
            <w:r/>
            <w:r>
              <w:rPr>
                <w:rFonts w:ascii="Times New Roman" w:hAnsi="Times New Roman"/>
                <w:sz w:val="18"/>
              </w:rPr>
              <w:t>5</w:t>
            </w:r>
          </w:p>
        </w:tc>
        <w:tc>
          <w:tcPr>
            <w:tcW w:type="dxa" w:w="1872"/>
          </w:tcPr>
          <w:p>
            <w:pPr>
              <w:spacing w:line="240" w:lineRule="auto"/>
            </w:pPr>
            <w:r/>
            <w:r>
              <w:rPr>
                <w:rFonts w:ascii="Times New Roman" w:hAnsi="Times New Roman"/>
                <w:sz w:val="18"/>
              </w:rPr>
              <w:t>4.6</w:t>
            </w:r>
          </w:p>
        </w:tc>
        <w:tc>
          <w:tcPr>
            <w:tcW w:type="dxa" w:w="1872"/>
          </w:tcPr>
          <w:p>
            <w:pPr>
              <w:spacing w:line="240" w:lineRule="auto"/>
            </w:pPr>
            <w:r/>
            <w:r>
              <w:rPr>
                <w:rFonts w:ascii="Times New Roman" w:hAnsi="Times New Roman"/>
                <w:sz w:val="18"/>
              </w:rPr>
              <w:t>21</w:t>
            </w:r>
          </w:p>
        </w:tc>
        <w:tc>
          <w:tcPr>
            <w:tcW w:type="dxa" w:w="1872"/>
          </w:tcPr>
          <w:p>
            <w:pPr>
              <w:spacing w:line="240" w:lineRule="auto"/>
            </w:pPr>
            <w:r/>
            <w:r>
              <w:rPr>
                <w:rFonts w:ascii="Times New Roman" w:hAnsi="Times New Roman"/>
                <w:sz w:val="18"/>
              </w:rPr>
              <w:t>7.1</w:t>
            </w:r>
          </w:p>
        </w:tc>
      </w:tr>
      <w:tr>
        <w:tc>
          <w:tcPr>
            <w:tcW w:type="dxa" w:w="1872"/>
          </w:tcPr>
          <w:p>
            <w:pPr>
              <w:spacing w:line="240" w:lineRule="auto"/>
            </w:pPr>
            <w:r/>
            <w:r>
              <w:rPr>
                <w:rFonts w:ascii="Times New Roman" w:hAnsi="Times New Roman"/>
                <w:sz w:val="18"/>
              </w:rPr>
              <w:t>HACK+INSD</w:t>
            </w:r>
          </w:p>
        </w:tc>
        <w:tc>
          <w:tcPr>
            <w:tcW w:type="dxa" w:w="1872"/>
          </w:tcPr>
          <w:p>
            <w:pPr>
              <w:spacing w:line="240" w:lineRule="auto"/>
            </w:pPr>
            <w:r/>
            <w:r>
              <w:rPr>
                <w:rFonts w:ascii="Times New Roman" w:hAnsi="Times New Roman"/>
                <w:sz w:val="18"/>
              </w:rPr>
              <w:t>3</w:t>
            </w:r>
          </w:p>
        </w:tc>
        <w:tc>
          <w:tcPr>
            <w:tcW w:type="dxa" w:w="1872"/>
          </w:tcPr>
          <w:p>
            <w:pPr>
              <w:spacing w:line="240" w:lineRule="auto"/>
            </w:pPr>
            <w:r/>
            <w:r>
              <w:rPr>
                <w:rFonts w:ascii="Times New Roman" w:hAnsi="Times New Roman"/>
                <w:sz w:val="18"/>
              </w:rPr>
              <w:t>2.8</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DISC</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1.8</w:t>
            </w:r>
          </w:p>
        </w:tc>
        <w:tc>
          <w:tcPr>
            <w:tcW w:type="dxa" w:w="1872"/>
          </w:tcPr>
          <w:p>
            <w:pPr>
              <w:spacing w:line="240" w:lineRule="auto"/>
            </w:pPr>
            <w:r/>
            <w:r>
              <w:rPr>
                <w:rFonts w:ascii="Times New Roman" w:hAnsi="Times New Roman"/>
                <w:sz w:val="18"/>
              </w:rPr>
              <w:t>16</w:t>
            </w:r>
          </w:p>
        </w:tc>
        <w:tc>
          <w:tcPr>
            <w:tcW w:type="dxa" w:w="1872"/>
          </w:tcPr>
          <w:p>
            <w:pPr>
              <w:spacing w:line="240" w:lineRule="auto"/>
            </w:pPr>
            <w:r/>
            <w:r>
              <w:rPr>
                <w:rFonts w:ascii="Times New Roman" w:hAnsi="Times New Roman"/>
                <w:sz w:val="18"/>
              </w:rPr>
              <w:t>5.4</w:t>
            </w:r>
          </w:p>
        </w:tc>
      </w:tr>
      <w:tr>
        <w:tc>
          <w:tcPr>
            <w:tcW w:type="dxa" w:w="1872"/>
          </w:tcPr>
          <w:p>
            <w:pPr>
              <w:spacing w:line="240" w:lineRule="auto"/>
            </w:pPr>
            <w:r/>
            <w:r>
              <w:rPr>
                <w:rFonts w:ascii="Times New Roman" w:hAnsi="Times New Roman"/>
                <w:sz w:val="18"/>
              </w:rPr>
              <w:t>HACK+PORT</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0.9</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0.3</w:t>
            </w:r>
          </w:p>
        </w:tc>
      </w:tr>
      <w:tr>
        <w:tc>
          <w:tcPr>
            <w:tcW w:type="dxa" w:w="1872"/>
          </w:tcPr>
          <w:p>
            <w:pPr>
              <w:spacing w:line="240" w:lineRule="auto"/>
            </w:pPr>
            <w:r/>
            <w:r>
              <w:rPr>
                <w:rFonts w:ascii="Times New Roman" w:hAnsi="Times New Roman"/>
                <w:sz w:val="18"/>
              </w:rPr>
              <w:t>DISC+HACK</w:t>
            </w:r>
          </w:p>
        </w:tc>
        <w:tc>
          <w:tcPr>
            <w:tcW w:type="dxa" w:w="1872"/>
          </w:tcPr>
          <w:p>
            <w:pPr>
              <w:spacing w:line="240" w:lineRule="auto"/>
            </w:pPr>
            <w:r/>
            <w:r>
              <w:rPr>
                <w:rFonts w:ascii="Times New Roman" w:hAnsi="Times New Roman"/>
                <w:sz w:val="18"/>
              </w:rPr>
              <w:t>0</w:t>
            </w:r>
          </w:p>
        </w:tc>
        <w:tc>
          <w:tcPr>
            <w:tcW w:type="dxa" w:w="1872"/>
          </w:tcPr>
          <w:p>
            <w:pPr>
              <w:spacing w:line="240" w:lineRule="auto"/>
            </w:pPr>
            <w:r/>
            <w:r>
              <w:rPr>
                <w:rFonts w:ascii="Times New Roman" w:hAnsi="Times New Roman"/>
                <w:sz w:val="18"/>
              </w:rPr>
              <w:t>0.0</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Total</w:t>
            </w:r>
          </w:p>
        </w:tc>
        <w:tc>
          <w:tcPr>
            <w:tcW w:type="dxa" w:w="1872"/>
          </w:tcPr>
          <w:p>
            <w:pPr>
              <w:spacing w:line="240" w:lineRule="auto"/>
            </w:pPr>
            <w:r/>
            <w:r>
              <w:rPr>
                <w:rFonts w:ascii="Times New Roman" w:hAnsi="Times New Roman"/>
                <w:sz w:val="18"/>
              </w:rPr>
              <w:t>109</w:t>
            </w:r>
          </w:p>
        </w:tc>
        <w:tc>
          <w:tcPr>
            <w:tcW w:type="dxa" w:w="1872"/>
          </w:tcPr>
          <w:p>
            <w:pPr>
              <w:spacing w:line="240" w:lineRule="auto"/>
            </w:pPr>
            <w:r/>
            <w:r>
              <w:rPr>
                <w:rFonts w:ascii="Times New Roman" w:hAnsi="Times New Roman"/>
                <w:sz w:val="18"/>
              </w:rPr>
              <w:t>100.0</w:t>
            </w:r>
          </w:p>
        </w:tc>
        <w:tc>
          <w:tcPr>
            <w:tcW w:type="dxa" w:w="1872"/>
          </w:tcPr>
          <w:p>
            <w:pPr>
              <w:spacing w:line="240" w:lineRule="auto"/>
            </w:pPr>
            <w:r/>
            <w:r>
              <w:rPr>
                <w:rFonts w:ascii="Times New Roman" w:hAnsi="Times New Roman"/>
                <w:sz w:val="18"/>
              </w:rPr>
              <w:t>296</w:t>
            </w:r>
          </w:p>
        </w:tc>
        <w:tc>
          <w:tcPr>
            <w:tcW w:type="dxa" w:w="1872"/>
          </w:tcPr>
          <w:p>
            <w:pPr>
              <w:spacing w:line="240" w:lineRule="auto"/>
            </w:pPr>
            <w:r/>
            <w:r>
              <w:rPr>
                <w:rFonts w:ascii="Times New Roman" w:hAnsi="Times New Roman"/>
                <w:sz w:val="18"/>
              </w:rPr>
              <w:t>100.0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Breach types are the Privacy Rights Clearinghouse's own labels, carried through unchanged: HACK = HACK = Hacking or malware; INSD = Insider; PHYS = Physical records; PORT = Portable device; DISC = Unintended disclosure; HACK+INSD = Hacking and insider; HACK+PORT = Hacking and portable device; DISC+HACK = Unintended disclosure and hacking. Combined codes arise where an event collapses source records of more than one type. Column percentages sum to 100 within group. No test is performed. Source: outputs/essay3_q4/table03.csv.</w:t>
      </w:r>
    </w:p>
    <w:p>
      <w:r>
        <w:br w:type="page"/>
      </w:r>
    </w:p>
    <w:p>
      <w:pPr>
        <w:spacing w:after="0" w:line="240" w:lineRule="auto"/>
      </w:pPr>
      <w:r>
        <w:rPr>
          <w:rFonts w:ascii="Times New Roman" w:hAnsi="Times New Roman"/>
          <w:b/>
          <w:i w:val="0"/>
          <w:sz w:val="24"/>
        </w:rPr>
        <w:t>Table 4</w:t>
      </w:r>
    </w:p>
    <w:p>
      <w:pPr>
        <w:spacing w:after="160" w:line="240" w:lineRule="auto"/>
      </w:pPr>
      <w:r>
        <w:rPr>
          <w:rFonts w:ascii="Times New Roman" w:hAnsi="Times New Roman"/>
          <w:b w:val="0"/>
          <w:i/>
          <w:sz w:val="24"/>
        </w:rPr>
        <w:t>Covariate Balance, Common Support, and Date Anchors</w:t>
      </w:r>
    </w:p>
    <w:p>
      <w:pPr>
        <w:spacing w:after="80" w:line="240" w:lineRule="auto"/>
      </w:pPr>
      <w:r>
        <w:rPr>
          <w:rFonts w:ascii="Times New Roman" w:hAnsi="Times New Roman"/>
          <w:b/>
          <w:i w:val="0"/>
          <w:sz w:val="22"/>
        </w:rPr>
        <w:t>Panel A: Covariates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Covariate</w:t>
            </w:r>
          </w:p>
        </w:tc>
        <w:tc>
          <w:tcPr>
            <w:tcW w:type="dxa" w:w="2340"/>
          </w:tcPr>
          <w:p>
            <w:pPr>
              <w:spacing w:line="240" w:lineRule="auto"/>
            </w:pPr>
            <w:r/>
            <w:r>
              <w:rPr>
                <w:rFonts w:ascii="Times New Roman" w:hAnsi="Times New Roman"/>
                <w:b/>
                <w:sz w:val="18"/>
              </w:rPr>
              <w:t>Treated M (SD)</w:t>
            </w:r>
          </w:p>
        </w:tc>
        <w:tc>
          <w:tcPr>
            <w:tcW w:type="dxa" w:w="2340"/>
          </w:tcPr>
          <w:p>
            <w:pPr>
              <w:spacing w:line="240" w:lineRule="auto"/>
            </w:pPr>
            <w:r/>
            <w:r>
              <w:rPr>
                <w:rFonts w:ascii="Times New Roman" w:hAnsi="Times New Roman"/>
                <w:b/>
                <w:sz w:val="18"/>
              </w:rPr>
              <w:t>Control M (SD)</w:t>
            </w:r>
          </w:p>
        </w:tc>
        <w:tc>
          <w:tcPr>
            <w:tcW w:type="dxa" w:w="2340"/>
          </w:tcPr>
          <w:p>
            <w:pPr>
              <w:spacing w:line="240" w:lineRule="auto"/>
            </w:pPr>
            <w:r/>
            <w:r>
              <w:rPr>
                <w:rFonts w:ascii="Times New Roman" w:hAnsi="Times New Roman"/>
                <w:b/>
                <w:sz w:val="18"/>
              </w:rPr>
              <w:t>Standardized difference</w:t>
            </w:r>
          </w:p>
        </w:tc>
      </w:tr>
      <w:tr>
        <w:tc>
          <w:tcPr>
            <w:tcW w:type="dxa" w:w="2340"/>
          </w:tcPr>
          <w:p>
            <w:pPr>
              <w:spacing w:line="240" w:lineRule="auto"/>
            </w:pPr>
            <w:r/>
            <w:r>
              <w:rPr>
                <w:rFonts w:ascii="Times New Roman" w:hAnsi="Times New Roman"/>
                <w:sz w:val="18"/>
              </w:rPr>
              <w:t>Prior breaches, 1 year</w:t>
            </w:r>
          </w:p>
        </w:tc>
        <w:tc>
          <w:tcPr>
            <w:tcW w:type="dxa" w:w="2340"/>
          </w:tcPr>
          <w:p>
            <w:pPr>
              <w:spacing w:line="240" w:lineRule="auto"/>
            </w:pPr>
            <w:r/>
            <w:r>
              <w:rPr>
                <w:rFonts w:ascii="Times New Roman" w:hAnsi="Times New Roman"/>
                <w:sz w:val="18"/>
              </w:rPr>
              <w:t>1.6605 (2.0959)</w:t>
            </w:r>
          </w:p>
        </w:tc>
        <w:tc>
          <w:tcPr>
            <w:tcW w:type="dxa" w:w="2340"/>
          </w:tcPr>
          <w:p>
            <w:pPr>
              <w:spacing w:line="240" w:lineRule="auto"/>
            </w:pPr>
            <w:r/>
            <w:r>
              <w:rPr>
                <w:rFonts w:ascii="Times New Roman" w:hAnsi="Times New Roman"/>
                <w:sz w:val="18"/>
              </w:rPr>
              <w:t>4.1554 (7.3735)</w:t>
            </w:r>
          </w:p>
        </w:tc>
        <w:tc>
          <w:tcPr>
            <w:tcW w:type="dxa" w:w="2340"/>
          </w:tcPr>
          <w:p>
            <w:pPr>
              <w:spacing w:line="240" w:lineRule="auto"/>
            </w:pPr>
            <w:r/>
            <w:r>
              <w:rPr>
                <w:rFonts w:ascii="Times New Roman" w:hAnsi="Times New Roman"/>
                <w:sz w:val="18"/>
              </w:rPr>
              <w:t>−0.460</w:t>
            </w:r>
          </w:p>
        </w:tc>
      </w:tr>
      <w:tr>
        <w:tc>
          <w:tcPr>
            <w:tcW w:type="dxa" w:w="2340"/>
          </w:tcPr>
          <w:p>
            <w:pPr>
              <w:spacing w:line="240" w:lineRule="auto"/>
            </w:pPr>
            <w:r/>
            <w:r>
              <w:rPr>
                <w:rFonts w:ascii="Times New Roman" w:hAnsi="Times New Roman"/>
                <w:sz w:val="18"/>
              </w:rPr>
              <w:t>Health information</w:t>
            </w:r>
          </w:p>
        </w:tc>
        <w:tc>
          <w:tcPr>
            <w:tcW w:type="dxa" w:w="2340"/>
          </w:tcPr>
          <w:p>
            <w:pPr>
              <w:spacing w:line="240" w:lineRule="auto"/>
            </w:pPr>
            <w:r/>
            <w:r>
              <w:rPr>
                <w:rFonts w:ascii="Times New Roman" w:hAnsi="Times New Roman"/>
                <w:sz w:val="18"/>
              </w:rPr>
              <w:t>0.0183 (0.1348)</w:t>
            </w:r>
          </w:p>
        </w:tc>
        <w:tc>
          <w:tcPr>
            <w:tcW w:type="dxa" w:w="2340"/>
          </w:tcPr>
          <w:p>
            <w:pPr>
              <w:spacing w:line="240" w:lineRule="auto"/>
            </w:pPr>
            <w:r/>
            <w:r>
              <w:rPr>
                <w:rFonts w:ascii="Times New Roman" w:hAnsi="Times New Roman"/>
                <w:sz w:val="18"/>
              </w:rPr>
              <w:t>0.0811 (0.2734)</w:t>
            </w:r>
          </w:p>
        </w:tc>
        <w:tc>
          <w:tcPr>
            <w:tcW w:type="dxa" w:w="2340"/>
          </w:tcPr>
          <w:p>
            <w:pPr>
              <w:spacing w:line="240" w:lineRule="auto"/>
            </w:pPr>
            <w:r/>
            <w:r>
              <w:rPr>
                <w:rFonts w:ascii="Times New Roman" w:hAnsi="Times New Roman"/>
                <w:sz w:val="18"/>
              </w:rPr>
              <w:t>−0.291</w:t>
            </w:r>
          </w:p>
        </w:tc>
      </w:tr>
      <w:tr>
        <w:tc>
          <w:tcPr>
            <w:tcW w:type="dxa" w:w="2340"/>
          </w:tcPr>
          <w:p>
            <w:pPr>
              <w:spacing w:line="240" w:lineRule="auto"/>
            </w:pPr>
            <w:r/>
            <w:r>
              <w:rPr>
                <w:rFonts w:ascii="Times New Roman" w:hAnsi="Times New Roman"/>
                <w:sz w:val="18"/>
              </w:rPr>
              <w:t>Firm size (log total assets)</w:t>
            </w:r>
          </w:p>
        </w:tc>
        <w:tc>
          <w:tcPr>
            <w:tcW w:type="dxa" w:w="2340"/>
          </w:tcPr>
          <w:p>
            <w:pPr>
              <w:spacing w:line="240" w:lineRule="auto"/>
            </w:pPr>
            <w:r/>
            <w:r>
              <w:rPr>
                <w:rFonts w:ascii="Times New Roman" w:hAnsi="Times New Roman"/>
                <w:sz w:val="18"/>
              </w:rPr>
              <w:t>11.5762 (1.2124)</w:t>
            </w:r>
          </w:p>
        </w:tc>
        <w:tc>
          <w:tcPr>
            <w:tcW w:type="dxa" w:w="2340"/>
          </w:tcPr>
          <w:p>
            <w:pPr>
              <w:spacing w:line="240" w:lineRule="auto"/>
            </w:pPr>
            <w:r/>
            <w:r>
              <w:rPr>
                <w:rFonts w:ascii="Times New Roman" w:hAnsi="Times New Roman"/>
                <w:sz w:val="18"/>
              </w:rPr>
              <w:t>9.6945 (1.3849)</w:t>
            </w:r>
          </w:p>
        </w:tc>
        <w:tc>
          <w:tcPr>
            <w:tcW w:type="dxa" w:w="2340"/>
          </w:tcPr>
          <w:p>
            <w:pPr>
              <w:spacing w:line="240" w:lineRule="auto"/>
            </w:pPr>
            <w:r/>
            <w:r>
              <w:rPr>
                <w:rFonts w:ascii="Times New Roman" w:hAnsi="Times New Roman"/>
                <w:sz w:val="18"/>
              </w:rPr>
              <w:t>1.446</w:t>
            </w:r>
          </w:p>
        </w:tc>
      </w:tr>
      <w:tr>
        <w:tc>
          <w:tcPr>
            <w:tcW w:type="dxa" w:w="2340"/>
          </w:tcPr>
          <w:p>
            <w:pPr>
              <w:spacing w:line="240" w:lineRule="auto"/>
            </w:pPr>
            <w:r/>
            <w:r>
              <w:rPr>
                <w:rFonts w:ascii="Times New Roman" w:hAnsi="Times New Roman"/>
                <w:sz w:val="18"/>
              </w:rPr>
              <w:t>Leverage</w:t>
            </w:r>
          </w:p>
        </w:tc>
        <w:tc>
          <w:tcPr>
            <w:tcW w:type="dxa" w:w="2340"/>
          </w:tcPr>
          <w:p>
            <w:pPr>
              <w:spacing w:line="240" w:lineRule="auto"/>
            </w:pPr>
            <w:r/>
            <w:r>
              <w:rPr>
                <w:rFonts w:ascii="Times New Roman" w:hAnsi="Times New Roman"/>
                <w:sz w:val="18"/>
              </w:rPr>
              <w:t>0.7251 (0.1630)</w:t>
            </w:r>
          </w:p>
        </w:tc>
        <w:tc>
          <w:tcPr>
            <w:tcW w:type="dxa" w:w="2340"/>
          </w:tcPr>
          <w:p>
            <w:pPr>
              <w:spacing w:line="240" w:lineRule="auto"/>
            </w:pPr>
            <w:r/>
            <w:r>
              <w:rPr>
                <w:rFonts w:ascii="Times New Roman" w:hAnsi="Times New Roman"/>
                <w:sz w:val="18"/>
              </w:rPr>
              <w:t>0.6278 (0.2320)</w:t>
            </w:r>
          </w:p>
        </w:tc>
        <w:tc>
          <w:tcPr>
            <w:tcW w:type="dxa" w:w="2340"/>
          </w:tcPr>
          <w:p>
            <w:pPr>
              <w:spacing w:line="240" w:lineRule="auto"/>
            </w:pPr>
            <w:r/>
            <w:r>
              <w:rPr>
                <w:rFonts w:ascii="Times New Roman" w:hAnsi="Times New Roman"/>
                <w:sz w:val="18"/>
              </w:rPr>
              <w:t>0.485</w:t>
            </w:r>
          </w:p>
        </w:tc>
      </w:tr>
      <w:tr>
        <w:tc>
          <w:tcPr>
            <w:tcW w:type="dxa" w:w="2340"/>
          </w:tcPr>
          <w:p>
            <w:pPr>
              <w:spacing w:line="240" w:lineRule="auto"/>
            </w:pPr>
            <w:r/>
            <w:r>
              <w:rPr>
                <w:rFonts w:ascii="Times New Roman" w:hAnsi="Times New Roman"/>
                <w:sz w:val="18"/>
              </w:rPr>
              <w:t>Return on assets</w:t>
            </w:r>
          </w:p>
        </w:tc>
        <w:tc>
          <w:tcPr>
            <w:tcW w:type="dxa" w:w="2340"/>
          </w:tcPr>
          <w:p>
            <w:pPr>
              <w:spacing w:line="240" w:lineRule="auto"/>
            </w:pPr>
            <w:r/>
            <w:r>
              <w:rPr>
                <w:rFonts w:ascii="Times New Roman" w:hAnsi="Times New Roman"/>
                <w:sz w:val="18"/>
              </w:rPr>
              <w:t>0.0222 (0.0471)</w:t>
            </w:r>
          </w:p>
        </w:tc>
        <w:tc>
          <w:tcPr>
            <w:tcW w:type="dxa" w:w="2340"/>
          </w:tcPr>
          <w:p>
            <w:pPr>
              <w:spacing w:line="240" w:lineRule="auto"/>
            </w:pPr>
            <w:r/>
            <w:r>
              <w:rPr>
                <w:rFonts w:ascii="Times New Roman" w:hAnsi="Times New Roman"/>
                <w:sz w:val="18"/>
              </w:rPr>
              <w:t>0.0717 (0.1158)</w:t>
            </w:r>
          </w:p>
        </w:tc>
        <w:tc>
          <w:tcPr>
            <w:tcW w:type="dxa" w:w="2340"/>
          </w:tcPr>
          <w:p>
            <w:pPr>
              <w:spacing w:line="240" w:lineRule="auto"/>
            </w:pPr>
            <w:r/>
            <w:r>
              <w:rPr>
                <w:rFonts w:ascii="Times New Roman" w:hAnsi="Times New Roman"/>
                <w:sz w:val="18"/>
              </w:rPr>
              <w:t>−0.560</w:t>
            </w:r>
          </w:p>
        </w:tc>
      </w:tr>
      <w:tr>
        <w:tc>
          <w:tcPr>
            <w:tcW w:type="dxa" w:w="2340"/>
          </w:tcPr>
          <w:p>
            <w:pPr>
              <w:spacing w:line="240" w:lineRule="auto"/>
            </w:pPr>
            <w:r/>
            <w:r>
              <w:rPr>
                <w:rFonts w:ascii="Times New Roman" w:hAnsi="Times New Roman"/>
                <w:sz w:val="18"/>
              </w:rPr>
              <w:t>Baseline departure rate (per year)</w:t>
            </w:r>
          </w:p>
        </w:tc>
        <w:tc>
          <w:tcPr>
            <w:tcW w:type="dxa" w:w="2340"/>
          </w:tcPr>
          <w:p>
            <w:pPr>
              <w:spacing w:line="240" w:lineRule="auto"/>
            </w:pPr>
            <w:r/>
            <w:r>
              <w:rPr>
                <w:rFonts w:ascii="Times New Roman" w:hAnsi="Times New Roman"/>
                <w:sz w:val="18"/>
              </w:rPr>
              <w:t>1.0228 (0.8919)</w:t>
            </w:r>
          </w:p>
        </w:tc>
        <w:tc>
          <w:tcPr>
            <w:tcW w:type="dxa" w:w="2340"/>
          </w:tcPr>
          <w:p>
            <w:pPr>
              <w:spacing w:line="240" w:lineRule="auto"/>
            </w:pPr>
            <w:r/>
            <w:r>
              <w:rPr>
                <w:rFonts w:ascii="Times New Roman" w:hAnsi="Times New Roman"/>
                <w:sz w:val="18"/>
              </w:rPr>
              <w:t>0.9349 (1.0550)</w:t>
            </w:r>
          </w:p>
        </w:tc>
        <w:tc>
          <w:tcPr>
            <w:tcW w:type="dxa" w:w="2340"/>
          </w:tcPr>
          <w:p>
            <w:pPr>
              <w:spacing w:line="240" w:lineRule="auto"/>
            </w:pPr>
            <w:r/>
            <w:r>
              <w:rPr>
                <w:rFonts w:ascii="Times New Roman" w:hAnsi="Times New Roman"/>
                <w:sz w:val="18"/>
              </w:rPr>
              <w:t>0.090</w:t>
            </w:r>
          </w:p>
        </w:tc>
      </w:tr>
      <w:tr>
        <w:tc>
          <w:tcPr>
            <w:tcW w:type="dxa" w:w="2340"/>
          </w:tcPr>
          <w:p>
            <w:pPr>
              <w:spacing w:line="240" w:lineRule="auto"/>
            </w:pPr>
            <w:r/>
            <w:r>
              <w:rPr>
                <w:rFonts w:ascii="Times New Roman" w:hAnsi="Times New Roman"/>
                <w:sz w:val="18"/>
              </w:rPr>
              <w:t>Prior 12-month market-adjusted return</w:t>
            </w:r>
          </w:p>
        </w:tc>
        <w:tc>
          <w:tcPr>
            <w:tcW w:type="dxa" w:w="2340"/>
          </w:tcPr>
          <w:p>
            <w:pPr>
              <w:spacing w:line="240" w:lineRule="auto"/>
            </w:pPr>
            <w:r/>
            <w:r>
              <w:rPr>
                <w:rFonts w:ascii="Times New Roman" w:hAnsi="Times New Roman"/>
                <w:sz w:val="18"/>
              </w:rPr>
              <w:t>−0.0222 (0.3152)</w:t>
            </w:r>
          </w:p>
        </w:tc>
        <w:tc>
          <w:tcPr>
            <w:tcW w:type="dxa" w:w="2340"/>
          </w:tcPr>
          <w:p>
            <w:pPr>
              <w:spacing w:line="240" w:lineRule="auto"/>
            </w:pPr>
            <w:r/>
            <w:r>
              <w:rPr>
                <w:rFonts w:ascii="Times New Roman" w:hAnsi="Times New Roman"/>
                <w:sz w:val="18"/>
              </w:rPr>
              <w:t>0.0246 (0.2523)</w:t>
            </w:r>
          </w:p>
        </w:tc>
        <w:tc>
          <w:tcPr>
            <w:tcW w:type="dxa" w:w="2340"/>
          </w:tcPr>
          <w:p>
            <w:pPr>
              <w:spacing w:line="240" w:lineRule="auto"/>
            </w:pPr>
            <w:r/>
            <w:r>
              <w:rPr>
                <w:rFonts w:ascii="Times New Roman" w:hAnsi="Times New Roman"/>
                <w:sz w:val="18"/>
              </w:rPr>
              <w:t>−0.164</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Common support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Common support, log total assets</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Treated range</w:t>
            </w:r>
          </w:p>
        </w:tc>
        <w:tc>
          <w:tcPr>
            <w:tcW w:type="dxa" w:w="4680"/>
          </w:tcPr>
          <w:p>
            <w:pPr>
              <w:spacing w:line="240" w:lineRule="auto"/>
            </w:pPr>
            <w:r/>
            <w:r>
              <w:rPr>
                <w:rFonts w:ascii="Times New Roman" w:hAnsi="Times New Roman"/>
                <w:sz w:val="18"/>
              </w:rPr>
              <w:t>[7.7421, 13.2206]</w:t>
            </w:r>
          </w:p>
        </w:tc>
      </w:tr>
      <w:tr>
        <w:tc>
          <w:tcPr>
            <w:tcW w:type="dxa" w:w="4680"/>
          </w:tcPr>
          <w:p>
            <w:pPr>
              <w:spacing w:line="240" w:lineRule="auto"/>
            </w:pPr>
            <w:r/>
            <w:r>
              <w:rPr>
                <w:rFonts w:ascii="Times New Roman" w:hAnsi="Times New Roman"/>
                <w:sz w:val="18"/>
              </w:rPr>
              <w:t>Control range</w:t>
            </w:r>
          </w:p>
        </w:tc>
        <w:tc>
          <w:tcPr>
            <w:tcW w:type="dxa" w:w="4680"/>
          </w:tcPr>
          <w:p>
            <w:pPr>
              <w:spacing w:line="240" w:lineRule="auto"/>
            </w:pPr>
            <w:r/>
            <w:r>
              <w:rPr>
                <w:rFonts w:ascii="Times New Roman" w:hAnsi="Times New Roman"/>
                <w:sz w:val="18"/>
              </w:rPr>
              <w:t>[6.4420, 12.8096]</w:t>
            </w:r>
          </w:p>
        </w:tc>
      </w:tr>
      <w:tr>
        <w:tc>
          <w:tcPr>
            <w:tcW w:type="dxa" w:w="4680"/>
          </w:tcPr>
          <w:p>
            <w:pPr>
              <w:spacing w:line="240" w:lineRule="auto"/>
            </w:pPr>
            <w:r/>
            <w:r>
              <w:rPr>
                <w:rFonts w:ascii="Times New Roman" w:hAnsi="Times New Roman"/>
                <w:sz w:val="18"/>
              </w:rPr>
              <w:t>Control events inside the treated range</w:t>
            </w:r>
          </w:p>
        </w:tc>
        <w:tc>
          <w:tcPr>
            <w:tcW w:type="dxa" w:w="4680"/>
          </w:tcPr>
          <w:p>
            <w:pPr>
              <w:spacing w:line="240" w:lineRule="auto"/>
            </w:pPr>
            <w:r/>
            <w:r>
              <w:rPr>
                <w:rFonts w:ascii="Times New Roman" w:hAnsi="Times New Roman"/>
                <w:sz w:val="18"/>
              </w:rPr>
              <w:t>287 of 296 (97.0%)</w:t>
            </w:r>
          </w:p>
        </w:tc>
      </w:tr>
      <w:tr>
        <w:tc>
          <w:tcPr>
            <w:tcW w:type="dxa" w:w="4680"/>
          </w:tcPr>
          <w:p>
            <w:pPr>
              <w:spacing w:line="240" w:lineRule="auto"/>
            </w:pPr>
            <w:r/>
            <w:r>
              <w:rPr>
                <w:rFonts w:ascii="Times New Roman" w:hAnsi="Times New Roman"/>
                <w:sz w:val="18"/>
              </w:rPr>
              <w:t>Treated events inside the control range</w:t>
            </w:r>
          </w:p>
        </w:tc>
        <w:tc>
          <w:tcPr>
            <w:tcW w:type="dxa" w:w="4680"/>
          </w:tcPr>
          <w:p>
            <w:pPr>
              <w:spacing w:line="240" w:lineRule="auto"/>
            </w:pPr>
            <w:r/>
            <w:r>
              <w:rPr>
                <w:rFonts w:ascii="Times New Roman" w:hAnsi="Times New Roman"/>
                <w:sz w:val="18"/>
              </w:rPr>
              <w:t>93 of 109 (85.3%)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Date anchors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b/>
                <w:sz w:val="18"/>
              </w:rPr>
              <w:t>Anchor statistic</w:t>
            </w:r>
          </w:p>
        </w:tc>
        <w:tc>
          <w:tcPr>
            <w:tcW w:type="dxa" w:w="3120"/>
          </w:tcPr>
          <w:p>
            <w:pPr>
              <w:spacing w:line="240" w:lineRule="auto"/>
            </w:pPr>
            <w:r/>
            <w:r>
              <w:rPr>
                <w:rFonts w:ascii="Times New Roman" w:hAnsi="Times New Roman"/>
                <w:b/>
                <w:sz w:val="18"/>
              </w:rPr>
              <w:t>Treated</w:t>
            </w:r>
          </w:p>
        </w:tc>
        <w:tc>
          <w:tcPr>
            <w:tcW w:type="dxa" w:w="3120"/>
          </w:tcPr>
          <w:p>
            <w:pPr>
              <w:spacing w:line="240" w:lineRule="auto"/>
            </w:pPr>
            <w:r/>
            <w:r>
              <w:rPr>
                <w:rFonts w:ascii="Times New Roman" w:hAnsi="Times New Roman"/>
                <w:b/>
                <w:sz w:val="18"/>
              </w:rPr>
              <w:t>Control</w:t>
            </w:r>
          </w:p>
        </w:tc>
      </w:tr>
      <w:tr>
        <w:tc>
          <w:tcPr>
            <w:tcW w:type="dxa" w:w="3120"/>
          </w:tcPr>
          <w:p>
            <w:pPr>
              <w:spacing w:line="240" w:lineRule="auto"/>
            </w:pPr>
            <w:r/>
            <w:r>
              <w:rPr>
                <w:rFonts w:ascii="Times New Roman" w:hAnsi="Times New Roman"/>
                <w:sz w:val="18"/>
              </w:rPr>
              <w:t>Breach date equals notification date</w:t>
            </w:r>
          </w:p>
        </w:tc>
        <w:tc>
          <w:tcPr>
            <w:tcW w:type="dxa" w:w="3120"/>
          </w:tcPr>
          <w:p>
            <w:pPr>
              <w:spacing w:line="240" w:lineRule="auto"/>
            </w:pPr>
            <w:r/>
            <w:r>
              <w:rPr>
                <w:rFonts w:ascii="Times New Roman" w:hAnsi="Times New Roman"/>
                <w:sz w:val="18"/>
              </w:rPr>
              <w:t>38.5% (42)</w:t>
            </w:r>
          </w:p>
        </w:tc>
        <w:tc>
          <w:tcPr>
            <w:tcW w:type="dxa" w:w="3120"/>
          </w:tcPr>
          <w:p>
            <w:pPr>
              <w:spacing w:line="240" w:lineRule="auto"/>
            </w:pPr>
            <w:r/>
            <w:r>
              <w:rPr>
                <w:rFonts w:ascii="Times New Roman" w:hAnsi="Times New Roman"/>
                <w:sz w:val="18"/>
              </w:rPr>
              <w:t>29.1% (86)</w:t>
            </w:r>
          </w:p>
        </w:tc>
      </w:tr>
      <w:tr>
        <w:tc>
          <w:tcPr>
            <w:tcW w:type="dxa" w:w="3120"/>
          </w:tcPr>
          <w:p>
            <w:pPr>
              <w:spacing w:line="240" w:lineRule="auto"/>
            </w:pPr>
            <w:r/>
            <w:r>
              <w:rPr>
                <w:rFonts w:ascii="Times New Roman" w:hAnsi="Times New Roman"/>
                <w:sz w:val="18"/>
              </w:rPr>
              <w:t>Notification lag, median days</w:t>
            </w:r>
          </w:p>
        </w:tc>
        <w:tc>
          <w:tcPr>
            <w:tcW w:type="dxa" w:w="3120"/>
          </w:tcPr>
          <w:p>
            <w:pPr>
              <w:spacing w:line="240" w:lineRule="auto"/>
            </w:pPr>
            <w:r/>
            <w:r>
              <w:rPr>
                <w:rFonts w:ascii="Times New Roman" w:hAnsi="Times New Roman"/>
                <w:sz w:val="18"/>
              </w:rPr>
              <w:t>22</w:t>
            </w:r>
          </w:p>
        </w:tc>
        <w:tc>
          <w:tcPr>
            <w:tcW w:type="dxa" w:w="3120"/>
          </w:tcPr>
          <w:p>
            <w:pPr>
              <w:spacing w:line="240" w:lineRule="auto"/>
            </w:pPr>
            <w:r/>
            <w:r>
              <w:rPr>
                <w:rFonts w:ascii="Times New Roman" w:hAnsi="Times New Roman"/>
                <w:sz w:val="18"/>
              </w:rPr>
              <w:t>27</w:t>
            </w:r>
          </w:p>
        </w:tc>
      </w:tr>
      <w:tr>
        <w:tc>
          <w:tcPr>
            <w:tcW w:type="dxa" w:w="3120"/>
          </w:tcPr>
          <w:p>
            <w:pPr>
              <w:spacing w:line="240" w:lineRule="auto"/>
            </w:pPr>
            <w:r/>
            <w:r>
              <w:rPr>
                <w:rFonts w:ascii="Times New Roman" w:hAnsi="Times New Roman"/>
                <w:sz w:val="18"/>
              </w:rPr>
              <w:t>Notification lag, IQR days</w:t>
            </w:r>
          </w:p>
        </w:tc>
        <w:tc>
          <w:tcPr>
            <w:tcW w:type="dxa" w:w="3120"/>
          </w:tcPr>
          <w:p>
            <w:pPr>
              <w:spacing w:line="240" w:lineRule="auto"/>
            </w:pPr>
            <w:r/>
            <w:r>
              <w:rPr>
                <w:rFonts w:ascii="Times New Roman" w:hAnsi="Times New Roman"/>
                <w:sz w:val="18"/>
              </w:rPr>
              <w:t>[0, 94]</w:t>
            </w:r>
          </w:p>
        </w:tc>
        <w:tc>
          <w:tcPr>
            <w:tcW w:type="dxa" w:w="3120"/>
          </w:tcPr>
          <w:p>
            <w:pPr>
              <w:spacing w:line="240" w:lineRule="auto"/>
            </w:pPr>
            <w:r/>
            <w:r>
              <w:rPr>
                <w:rFonts w:ascii="Times New Roman" w:hAnsi="Times New Roman"/>
                <w:sz w:val="18"/>
              </w:rPr>
              <w:t>[0, 102]</w:t>
            </w:r>
          </w:p>
        </w:tc>
      </w:tr>
      <w:tr>
        <w:tc>
          <w:tcPr>
            <w:tcW w:type="dxa" w:w="3120"/>
          </w:tcPr>
          <w:p>
            <w:pPr>
              <w:spacing w:line="240" w:lineRule="auto"/>
            </w:pPr>
            <w:r/>
            <w:r>
              <w:rPr>
                <w:rFonts w:ascii="Times New Roman" w:hAnsi="Times New Roman"/>
                <w:sz w:val="18"/>
              </w:rPr>
              <w:t>Breach-anchored 180-day window closes before notification</w:t>
            </w:r>
          </w:p>
        </w:tc>
        <w:tc>
          <w:tcPr>
            <w:tcW w:type="dxa" w:w="3120"/>
          </w:tcPr>
          <w:p>
            <w:pPr>
              <w:spacing w:line="240" w:lineRule="auto"/>
            </w:pPr>
            <w:r/>
            <w:r>
              <w:rPr>
                <w:rFonts w:ascii="Times New Roman" w:hAnsi="Times New Roman"/>
                <w:sz w:val="18"/>
              </w:rPr>
              <w:t>11.9% (13)</w:t>
            </w:r>
          </w:p>
        </w:tc>
        <w:tc>
          <w:tcPr>
            <w:tcW w:type="dxa" w:w="3120"/>
          </w:tcPr>
          <w:p>
            <w:pPr>
              <w:spacing w:line="240" w:lineRule="auto"/>
            </w:pPr>
            <w:r/>
            <w:r>
              <w:rPr>
                <w:rFonts w:ascii="Times New Roman" w:hAnsi="Times New Roman"/>
                <w:sz w:val="18"/>
              </w:rPr>
              <w:t>14.5% (43)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standardized difference is the treated mean minus the control mean divided by the pooled standard deviation; the 0.1 benchmark follows Austin (2009). No balance tests are reported, because they would add unplanned hypothesis tests to the ledger. Panel B shows that common support is substantial: the imbalance in firm size is a shift in means, not a failure of overlap. Sources: outputs/essay3_q4/table04.csv, from outputs/essay3_q3/descriptives.csv; outputs/essay3_appendix/descriptive_counts.csv (Panel B).</w:t>
      </w:r>
    </w:p>
    <w:p>
      <w:r>
        <w:br w:type="page"/>
      </w:r>
    </w:p>
    <w:p>
      <w:pPr>
        <w:spacing w:after="0" w:line="240" w:lineRule="auto"/>
      </w:pPr>
      <w:r>
        <w:rPr>
          <w:rFonts w:ascii="Times New Roman" w:hAnsi="Times New Roman"/>
          <w:b/>
          <w:i w:val="0"/>
          <w:sz w:val="24"/>
        </w:rPr>
        <w:t>Table 5</w:t>
      </w:r>
    </w:p>
    <w:p>
      <w:pPr>
        <w:spacing w:after="160" w:line="240" w:lineRule="auto"/>
      </w:pPr>
      <w:r>
        <w:rPr>
          <w:rFonts w:ascii="Times New Roman" w:hAnsi="Times New Roman"/>
          <w:b w:val="0"/>
          <w:i/>
          <w:sz w:val="24"/>
        </w:rPr>
        <w:t>Classifier Validation</w:t>
      </w:r>
    </w:p>
    <w:p>
      <w:pPr>
        <w:spacing w:after="80" w:line="240" w:lineRule="auto"/>
      </w:pPr>
      <w:r>
        <w:rPr>
          <w:rFonts w:ascii="Times New Roman" w:hAnsi="Times New Roman"/>
          <w:b/>
          <w:i w:val="0"/>
          <w:sz w:val="22"/>
        </w:rPr>
        <w:t>Panel A: Four validation rounds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Round</w:t>
            </w:r>
          </w:p>
        </w:tc>
        <w:tc>
          <w:tcPr>
            <w:tcW w:type="dxa" w:w="1560"/>
          </w:tcPr>
          <w:p>
            <w:pPr>
              <w:spacing w:line="240" w:lineRule="auto"/>
            </w:pPr>
            <w:r/>
            <w:r>
              <w:rPr>
                <w:rFonts w:ascii="Times New Roman" w:hAnsi="Times New Roman"/>
                <w:b/>
                <w:sz w:val="18"/>
              </w:rPr>
              <w:t>N scored</w:t>
            </w:r>
          </w:p>
        </w:tc>
        <w:tc>
          <w:tcPr>
            <w:tcW w:type="dxa" w:w="1560"/>
          </w:tcPr>
          <w:p>
            <w:pPr>
              <w:spacing w:line="240" w:lineRule="auto"/>
            </w:pPr>
            <w:r/>
            <w:r>
              <w:rPr>
                <w:rFonts w:ascii="Times New Roman" w:hAnsi="Times New Roman"/>
                <w:b/>
                <w:sz w:val="18"/>
              </w:rPr>
              <w:t>Field</w:t>
            </w:r>
          </w:p>
        </w:tc>
        <w:tc>
          <w:tcPr>
            <w:tcW w:type="dxa" w:w="1560"/>
          </w:tcPr>
          <w:p>
            <w:pPr>
              <w:spacing w:line="240" w:lineRule="auto"/>
            </w:pPr>
            <w:r/>
            <w:r>
              <w:rPr>
                <w:rFonts w:ascii="Times New Roman" w:hAnsi="Times New Roman"/>
                <w:b/>
                <w:sz w:val="18"/>
              </w:rPr>
              <w:t>κ</w:t>
            </w:r>
          </w:p>
        </w:tc>
        <w:tc>
          <w:tcPr>
            <w:tcW w:type="dxa" w:w="1560"/>
          </w:tcPr>
          <w:p>
            <w:pPr>
              <w:spacing w:line="240" w:lineRule="auto"/>
            </w:pPr>
            <w:r/>
            <w:r>
              <w:rPr>
                <w:rFonts w:ascii="Times New Roman" w:hAnsi="Times New Roman"/>
                <w:b/>
                <w:sz w:val="18"/>
              </w:rPr>
              <w:t>Precision [95% CI]</w:t>
            </w:r>
          </w:p>
        </w:tc>
        <w:tc>
          <w:tcPr>
            <w:tcW w:type="dxa" w:w="1560"/>
          </w:tcPr>
          <w:p>
            <w:pPr>
              <w:spacing w:line="240" w:lineRule="auto"/>
            </w:pPr>
            <w:r/>
            <w:r>
              <w:rPr>
                <w:rFonts w:ascii="Times New Roman" w:hAnsi="Times New Roman"/>
                <w:b/>
                <w:sz w:val="18"/>
              </w:rPr>
              <w:t>Recall [95% CI]</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.803</w:t>
            </w:r>
          </w:p>
        </w:tc>
        <w:tc>
          <w:tcPr>
            <w:tcW w:type="dxa" w:w="1560"/>
          </w:tcPr>
          <w:p>
            <w:pPr>
              <w:spacing w:line="240" w:lineRule="auto"/>
            </w:pPr>
            <w:r/>
            <w:r>
              <w:rPr>
                <w:rFonts w:ascii="Times New Roman" w:hAnsi="Times New Roman"/>
                <w:sz w:val="18"/>
              </w:rPr>
              <w:t>.958</w:t>
            </w:r>
          </w:p>
        </w:tc>
        <w:tc>
          <w:tcPr>
            <w:tcW w:type="dxa" w:w="1560"/>
          </w:tcPr>
          <w:p>
            <w:pPr>
              <w:spacing w:line="240" w:lineRule="auto"/>
            </w:pPr>
            <w:r/>
            <w:r>
              <w:rPr>
                <w:rFonts w:ascii="Times New Roman" w:hAnsi="Times New Roman"/>
                <w:sz w:val="18"/>
              </w:rPr>
              <w:t>.793</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.707</w:t>
            </w:r>
          </w:p>
        </w:tc>
        <w:tc>
          <w:tcPr>
            <w:tcW w:type="dxa" w:w="1560"/>
          </w:tcPr>
          <w:p>
            <w:pPr>
              <w:spacing w:line="240" w:lineRule="auto"/>
            </w:pPr>
            <w:r/>
            <w:r>
              <w:rPr>
                <w:rFonts w:ascii="Times New Roman" w:hAnsi="Times New Roman"/>
                <w:sz w:val="18"/>
              </w:rPr>
              <w:t>.800</w:t>
            </w:r>
          </w:p>
        </w:tc>
        <w:tc>
          <w:tcPr>
            <w:tcW w:type="dxa" w:w="1560"/>
          </w:tcPr>
          <w:p>
            <w:pPr>
              <w:spacing w:line="240" w:lineRule="auto"/>
            </w:pPr>
            <w:r/>
            <w:r>
              <w:rPr>
                <w:rFonts w:ascii="Times New Roman" w:hAnsi="Times New Roman"/>
                <w:sz w:val="18"/>
              </w:rPr>
              <w:t>.667</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.858</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.786</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29</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.713</w:t>
            </w:r>
          </w:p>
        </w:tc>
        <w:tc>
          <w:tcPr>
            <w:tcW w:type="dxa" w:w="1560"/>
          </w:tcPr>
          <w:p>
            <w:pPr>
              <w:spacing w:line="240" w:lineRule="auto"/>
            </w:pPr>
            <w:r/>
            <w:r>
              <w:rPr>
                <w:rFonts w:ascii="Times New Roman" w:hAnsi="Times New Roman"/>
                <w:sz w:val="18"/>
              </w:rPr>
              <w:t>1.000 [.292, 1.000]</w:t>
            </w:r>
          </w:p>
        </w:tc>
        <w:tc>
          <w:tcPr>
            <w:tcW w:type="dxa" w:w="1560"/>
          </w:tcPr>
          <w:p>
            <w:pPr>
              <w:spacing w:line="240" w:lineRule="auto"/>
            </w:pPr>
            <w:r/>
            <w:r>
              <w:rPr>
                <w:rFonts w:ascii="Times New Roman" w:hAnsi="Times New Roman"/>
                <w:sz w:val="18"/>
              </w:rPr>
              <w:t>.600 [.147, .947]</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[.664, 1.000]</w:t>
            </w:r>
          </w:p>
        </w:tc>
        <w:tc>
          <w:tcPr>
            <w:tcW w:type="dxa" w:w="1560"/>
          </w:tcPr>
          <w:p>
            <w:pPr>
              <w:spacing w:line="240" w:lineRule="auto"/>
            </w:pPr>
            <w:r/>
            <w:r>
              <w:rPr>
                <w:rFonts w:ascii="Times New Roman" w:hAnsi="Times New Roman"/>
                <w:sz w:val="18"/>
              </w:rPr>
              <w:t>1.000 [.664, 1.000]</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77</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.787</w:t>
            </w:r>
          </w:p>
        </w:tc>
        <w:tc>
          <w:tcPr>
            <w:tcW w:type="dxa" w:w="1560"/>
          </w:tcPr>
          <w:p>
            <w:pPr>
              <w:spacing w:line="240" w:lineRule="auto"/>
            </w:pPr>
            <w:r/>
            <w:r>
              <w:rPr>
                <w:rFonts w:ascii="Times New Roman" w:hAnsi="Times New Roman"/>
                <w:sz w:val="18"/>
              </w:rPr>
              <w:t>.966 [.822, .999]</w:t>
            </w:r>
          </w:p>
        </w:tc>
        <w:tc>
          <w:tcPr>
            <w:tcW w:type="dxa" w:w="1560"/>
          </w:tcPr>
          <w:p>
            <w:pPr>
              <w:spacing w:line="240" w:lineRule="auto"/>
            </w:pPr>
            <w:r/>
            <w:r>
              <w:rPr>
                <w:rFonts w:ascii="Times New Roman" w:hAnsi="Times New Roman"/>
                <w:sz w:val="18"/>
              </w:rPr>
              <w:t>.800 [.631, .916]</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79</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.530</w:t>
            </w:r>
          </w:p>
        </w:tc>
        <w:tc>
          <w:tcPr>
            <w:tcW w:type="dxa" w:w="1560"/>
          </w:tcPr>
          <w:p>
            <w:pPr>
              <w:spacing w:line="240" w:lineRule="auto"/>
            </w:pPr>
            <w:r/>
            <w:r>
              <w:rPr>
                <w:rFonts w:ascii="Times New Roman" w:hAnsi="Times New Roman"/>
                <w:sz w:val="18"/>
              </w:rPr>
              <w:t>.571 [.184, .901]</w:t>
            </w:r>
          </w:p>
        </w:tc>
        <w:tc>
          <w:tcPr>
            <w:tcW w:type="dxa" w:w="1560"/>
          </w:tcPr>
          <w:p>
            <w:pPr>
              <w:spacing w:line="240" w:lineRule="auto"/>
            </w:pPr>
            <w:r/>
            <w:r>
              <w:rPr>
                <w:rFonts w:ascii="Times New Roman" w:hAnsi="Times New Roman"/>
                <w:sz w:val="18"/>
              </w:rPr>
              <w:t>.571 [.184, .901]</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.746</w:t>
            </w:r>
          </w:p>
        </w:tc>
        <w:tc>
          <w:tcPr>
            <w:tcW w:type="dxa" w:w="1560"/>
          </w:tcPr>
          <w:p>
            <w:pPr>
              <w:spacing w:line="240" w:lineRule="auto"/>
            </w:pPr>
            <w:r/>
            <w:r>
              <w:rPr>
                <w:rFonts w:ascii="Times New Roman" w:hAnsi="Times New Roman"/>
                <w:sz w:val="18"/>
              </w:rPr>
              <w:t>.818 [.482, .977]</w:t>
            </w:r>
          </w:p>
        </w:tc>
        <w:tc>
          <w:tcPr>
            <w:tcW w:type="dxa" w:w="1560"/>
          </w:tcPr>
          <w:p>
            <w:pPr>
              <w:spacing w:line="240" w:lineRule="auto"/>
            </w:pPr>
            <w:r/>
            <w:r>
              <w:rPr>
                <w:rFonts w:ascii="Times New Roman" w:hAnsi="Times New Roman"/>
                <w:sz w:val="18"/>
              </w:rPr>
              <w:t>.750 [.428, .945]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.870</w:t>
            </w:r>
          </w:p>
        </w:tc>
        <w:tc>
          <w:tcPr>
            <w:tcW w:type="dxa" w:w="1560"/>
          </w:tcPr>
          <w:p>
            <w:pPr>
              <w:spacing w:line="240" w:lineRule="auto"/>
            </w:pPr>
            <w:r/>
            <w:r>
              <w:rPr>
                <w:rFonts w:ascii="Times New Roman" w:hAnsi="Times New Roman"/>
                <w:sz w:val="18"/>
              </w:rPr>
              <w:t>1.000 [.398, 1.000]</w:t>
            </w:r>
          </w:p>
        </w:tc>
        <w:tc>
          <w:tcPr>
            <w:tcW w:type="dxa" w:w="1560"/>
          </w:tcPr>
          <w:p>
            <w:pPr>
              <w:spacing w:line="240" w:lineRule="auto"/>
            </w:pPr>
            <w:r/>
            <w:r>
              <w:rPr>
                <w:rFonts w:ascii="Times New Roman" w:hAnsi="Times New Roman"/>
                <w:sz w:val="18"/>
              </w:rPr>
              <w:t>.800 [.284, .995]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.000</w:t>
            </w:r>
          </w:p>
        </w:tc>
        <w:tc>
          <w:tcPr>
            <w:tcW w:type="dxa" w:w="1560"/>
          </w:tcPr>
          <w:p>
            <w:pPr>
              <w:spacing w:line="240" w:lineRule="auto"/>
            </w:pPr>
            <w:r/>
            <w:r>
              <w:rPr>
                <w:rFonts w:ascii="Times New Roman" w:hAnsi="Times New Roman"/>
                <w:sz w:val="18"/>
              </w:rPr>
              <w:t>.000 [.000, .975]</w:t>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[.158, 1.000]</w:t>
            </w:r>
          </w:p>
        </w:tc>
        <w:tc>
          <w:tcPr>
            <w:tcW w:type="dxa" w:w="1560"/>
          </w:tcPr>
          <w:p>
            <w:pPr>
              <w:spacing w:line="240" w:lineRule="auto"/>
            </w:pPr>
            <w:r/>
            <w:r>
              <w:rPr>
                <w:rFonts w:ascii="Times New Roman" w:hAnsi="Times New Roman"/>
                <w:sz w:val="18"/>
              </w:rPr>
              <w:t>1.000 [.158, 1.000]</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Stratified recall audit, by treatment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Stratum</w:t>
            </w:r>
          </w:p>
        </w:tc>
        <w:tc>
          <w:tcPr>
            <w:tcW w:type="dxa" w:w="1337"/>
          </w:tcPr>
          <w:p>
            <w:pPr>
              <w:spacing w:line="240" w:lineRule="auto"/>
            </w:pPr>
            <w:r/>
            <w:r>
              <w:rPr>
                <w:rFonts w:ascii="Times New Roman" w:hAnsi="Times New Roman"/>
                <w:b/>
                <w:sz w:val="18"/>
              </w:rPr>
              <w:t>Reference departures</w:t>
            </w:r>
          </w:p>
        </w:tc>
        <w:tc>
          <w:tcPr>
            <w:tcW w:type="dxa" w:w="1337"/>
          </w:tcPr>
          <w:p>
            <w:pPr>
              <w:spacing w:line="240" w:lineRule="auto"/>
            </w:pPr>
            <w:r/>
            <w:r>
              <w:rPr>
                <w:rFonts w:ascii="Times New Roman" w:hAnsi="Times New Roman"/>
                <w:b/>
                <w:sz w:val="18"/>
              </w:rPr>
              <w:t>TP</w:t>
            </w:r>
          </w:p>
        </w:tc>
        <w:tc>
          <w:tcPr>
            <w:tcW w:type="dxa" w:w="1337"/>
          </w:tcPr>
          <w:p>
            <w:pPr>
              <w:spacing w:line="240" w:lineRule="auto"/>
            </w:pPr>
            <w:r/>
            <w:r>
              <w:rPr>
                <w:rFonts w:ascii="Times New Roman" w:hAnsi="Times New Roman"/>
                <w:b/>
                <w:sz w:val="18"/>
              </w:rPr>
              <w:t>FP</w:t>
            </w:r>
          </w:p>
        </w:tc>
        <w:tc>
          <w:tcPr>
            <w:tcW w:type="dxa" w:w="1337"/>
          </w:tcPr>
          <w:p>
            <w:pPr>
              <w:spacing w:line="240" w:lineRule="auto"/>
            </w:pPr>
            <w:r/>
            <w:r>
              <w:rPr>
                <w:rFonts w:ascii="Times New Roman" w:hAnsi="Times New Roman"/>
                <w:b/>
                <w:sz w:val="18"/>
              </w:rPr>
              <w:t>FN</w:t>
            </w:r>
          </w:p>
        </w:tc>
        <w:tc>
          <w:tcPr>
            <w:tcW w:type="dxa" w:w="1337"/>
          </w:tcPr>
          <w:p>
            <w:pPr>
              <w:spacing w:line="240" w:lineRule="auto"/>
            </w:pPr>
            <w:r/>
            <w:r>
              <w:rPr>
                <w:rFonts w:ascii="Times New Roman" w:hAnsi="Times New Roman"/>
                <w:b/>
                <w:sz w:val="18"/>
              </w:rPr>
              <w:t>Precision [95% CI]</w:t>
            </w:r>
          </w:p>
        </w:tc>
        <w:tc>
          <w:tcPr>
            <w:tcW w:type="dxa" w:w="1337"/>
          </w:tcPr>
          <w:p>
            <w:pPr>
              <w:spacing w:line="240" w:lineRule="auto"/>
            </w:pPr>
            <w:r/>
            <w:r>
              <w:rPr>
                <w:rFonts w:ascii="Times New Roman" w:hAnsi="Times New Roman"/>
                <w:b/>
                <w:sz w:val="18"/>
              </w:rPr>
              <w:t>Recall [95% CI]</w:t>
            </w:r>
          </w:p>
        </w:tc>
      </w:tr>
      <w:tr>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19</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t>1.000 [.794, 1.000]</w:t>
            </w:r>
          </w:p>
        </w:tc>
        <w:tc>
          <w:tcPr>
            <w:tcW w:type="dxa" w:w="1337"/>
          </w:tcPr>
          <w:p>
            <w:pPr>
              <w:spacing w:line="240" w:lineRule="auto"/>
            </w:pPr>
            <w:r/>
            <w:r>
              <w:rPr>
                <w:rFonts w:ascii="Times New Roman" w:hAnsi="Times New Roman"/>
                <w:sz w:val="18"/>
              </w:rPr>
              <w:t>.842 [.604, .966]</w:t>
            </w:r>
          </w:p>
        </w:tc>
      </w:tr>
      <w:tr>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12</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4</w:t>
            </w:r>
          </w:p>
        </w:tc>
        <w:tc>
          <w:tcPr>
            <w:tcW w:type="dxa" w:w="1337"/>
          </w:tcPr>
          <w:p>
            <w:pPr>
              <w:spacing w:line="240" w:lineRule="auto"/>
            </w:pPr>
            <w:r/>
            <w:r>
              <w:rPr>
                <w:rFonts w:ascii="Times New Roman" w:hAnsi="Times New Roman"/>
                <w:sz w:val="18"/>
              </w:rPr>
              <w:t>.923 [.640, .998]</w:t>
            </w:r>
          </w:p>
        </w:tc>
        <w:tc>
          <w:tcPr>
            <w:tcW w:type="dxa" w:w="1337"/>
          </w:tcPr>
          <w:p>
            <w:pPr>
              <w:spacing w:line="240" w:lineRule="auto"/>
            </w:pPr>
            <w:r/>
            <w:r>
              <w:rPr>
                <w:rFonts w:ascii="Times New Roman" w:hAnsi="Times New Roman"/>
                <w:sz w:val="18"/>
              </w:rPr>
              <w:t>.750 [.476, .927]</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filings. κ = Cohen's kappa; TP, FP, FN = true positives, false positives, false negatives. Reference codes were produced blind to the classifier: in rounds 1, 2 and the stratified audit the classifier's answers were sealed in a committed file before coding; in the final round the classifier had never been run on those documents and the reference codes were committed first. Round 1 scored an earlier classifier version. Confidence intervals are Clopper-Pearson. Unresolved rows are excluded under the primary scoring; the alternative scoring that forces them positive is in the source CSV. An empty cell means the field had no reference positives and no classifier positives, so the statistic is undefined. Sources: outputs/essay3_q4/table05.csv; outputs/essay3_q2/d3_audit_recall_by_stratum.csv.</w:t>
      </w:r>
    </w:p>
    <w:p>
      <w:r>
        <w:br w:type="page"/>
      </w:r>
    </w:p>
    <w:p>
      <w:pPr>
        <w:spacing w:after="0" w:line="240" w:lineRule="auto"/>
      </w:pPr>
      <w:r>
        <w:rPr>
          <w:rFonts w:ascii="Times New Roman" w:hAnsi="Times New Roman"/>
          <w:b/>
          <w:i w:val="0"/>
          <w:sz w:val="24"/>
        </w:rPr>
        <w:t>Table 6</w:t>
      </w:r>
    </w:p>
    <w:p>
      <w:pPr>
        <w:spacing w:after="160" w:line="240" w:lineRule="auto"/>
      </w:pPr>
      <w:r>
        <w:rPr>
          <w:rFonts w:ascii="Times New Roman" w:hAnsi="Times New Roman"/>
          <w:b w:val="0"/>
          <w:i/>
          <w:sz w:val="24"/>
        </w:rPr>
        <w:t>Item 5.02 Filings and Disclosed Departures by Window</w:t>
      </w:r>
    </w:p>
    <w:p>
      <w:pPr>
        <w:spacing w:after="80" w:line="240" w:lineRule="auto"/>
      </w:pPr>
      <w:r>
        <w:rPr>
          <w:rFonts w:ascii="Times New Roman" w:hAnsi="Times New Roman"/>
          <w:b/>
          <w:i w:val="0"/>
          <w:sz w:val="22"/>
        </w:rPr>
        <w:t>Panel A: Rates by window and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Window (days)</w:t>
            </w:r>
          </w:p>
        </w:tc>
        <w:tc>
          <w:tcPr>
            <w:tcW w:type="dxa" w:w="1337"/>
          </w:tcPr>
          <w:p>
            <w:pPr>
              <w:spacing w:line="240" w:lineRule="auto"/>
            </w:pPr>
            <w:r/>
            <w:r>
              <w:rPr>
                <w:rFonts w:ascii="Times New Roman" w:hAnsi="Times New Roman"/>
                <w:b/>
                <w:sz w:val="18"/>
              </w:rPr>
              <w:t>Group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Any Item 5.02 filing</w:t>
            </w:r>
          </w:p>
        </w:tc>
        <w:tc>
          <w:tcPr>
            <w:tcW w:type="dxa" w:w="1337"/>
          </w:tcPr>
          <w:p>
            <w:pPr>
              <w:spacing w:line="240" w:lineRule="auto"/>
            </w:pPr>
            <w:r/>
            <w:r>
              <w:rPr>
                <w:rFonts w:ascii="Times New Roman" w:hAnsi="Times New Roman"/>
                <w:b/>
                <w:sz w:val="18"/>
              </w:rPr>
              <w:t>Executive departure</w:t>
            </w:r>
          </w:p>
        </w:tc>
        <w:tc>
          <w:tcPr>
            <w:tcW w:type="dxa" w:w="1337"/>
          </w:tcPr>
          <w:p>
            <w:pPr>
              <w:spacing w:line="240" w:lineRule="auto"/>
            </w:pPr>
            <w:r/>
            <w:r>
              <w:rPr>
                <w:rFonts w:ascii="Times New Roman" w:hAnsi="Times New Roman"/>
                <w:b/>
                <w:sz w:val="18"/>
              </w:rPr>
              <w:t>Chief executive departure</w:t>
            </w:r>
          </w:p>
        </w:tc>
        <w:tc>
          <w:tcPr>
            <w:tcW w:type="dxa" w:w="1337"/>
          </w:tcPr>
          <w:p>
            <w:pPr>
              <w:spacing w:line="240" w:lineRule="auto"/>
            </w:pPr>
            <w:r/>
            <w:r>
              <w:rPr>
                <w:rFonts w:ascii="Times New Roman" w:hAnsi="Times New Roman"/>
                <w:b/>
                <w:sz w:val="18"/>
              </w:rPr>
              <w:t>Director-only departure</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26 (23.9%)</w:t>
            </w:r>
          </w:p>
        </w:tc>
        <w:tc>
          <w:tcPr>
            <w:tcW w:type="dxa" w:w="1337"/>
          </w:tcPr>
          <w:p>
            <w:pPr>
              <w:spacing w:line="240" w:lineRule="auto"/>
            </w:pPr>
            <w:r/>
            <w:r>
              <w:rPr>
                <w:rFonts w:ascii="Times New Roman" w:hAnsi="Times New Roman"/>
                <w:sz w:val="18"/>
              </w:rPr>
              <w:t>4 (3.7%)</w:t>
            </w:r>
          </w:p>
        </w:tc>
        <w:tc>
          <w:tcPr>
            <w:tcW w:type="dxa" w:w="1337"/>
          </w:tcPr>
          <w:p>
            <w:pPr>
              <w:spacing w:line="240" w:lineRule="auto"/>
            </w:pPr>
            <w:r/>
            <w:r>
              <w:rPr>
                <w:rFonts w:ascii="Times New Roman" w:hAnsi="Times New Roman"/>
                <w:sz w:val="18"/>
              </w:rPr>
              <w:t>0 (0.0%)</w:t>
            </w:r>
          </w:p>
        </w:tc>
        <w:tc>
          <w:tcPr>
            <w:tcW w:type="dxa" w:w="1337"/>
          </w:tcPr>
          <w:p>
            <w:pPr>
              <w:spacing w:line="240" w:lineRule="auto"/>
            </w:pPr>
            <w:r/>
            <w:r>
              <w:rPr>
                <w:rFonts w:ascii="Times New Roman" w:hAnsi="Times New Roman"/>
                <w:sz w:val="18"/>
              </w:rPr>
              <w:t>8 (7.3%)</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40 (13.5%)</w:t>
            </w:r>
          </w:p>
        </w:tc>
        <w:tc>
          <w:tcPr>
            <w:tcW w:type="dxa" w:w="1337"/>
          </w:tcPr>
          <w:p>
            <w:pPr>
              <w:spacing w:line="240" w:lineRule="auto"/>
            </w:pPr>
            <w:r/>
            <w:r>
              <w:rPr>
                <w:rFonts w:ascii="Times New Roman" w:hAnsi="Times New Roman"/>
                <w:sz w:val="18"/>
              </w:rPr>
              <w:t>13 (4.4%)</w:t>
            </w:r>
          </w:p>
        </w:tc>
        <w:tc>
          <w:tcPr>
            <w:tcW w:type="dxa" w:w="1337"/>
          </w:tcPr>
          <w:p>
            <w:pPr>
              <w:spacing w:line="240" w:lineRule="auto"/>
            </w:pPr>
            <w:r/>
            <w:r>
              <w:rPr>
                <w:rFonts w:ascii="Times New Roman" w:hAnsi="Times New Roman"/>
                <w:sz w:val="18"/>
              </w:rPr>
              <w:t>1 (0.3%)</w:t>
            </w:r>
          </w:p>
        </w:tc>
        <w:tc>
          <w:tcPr>
            <w:tcW w:type="dxa" w:w="1337"/>
          </w:tcPr>
          <w:p>
            <w:pPr>
              <w:spacing w:line="240" w:lineRule="auto"/>
            </w:pPr>
            <w:r/>
            <w:r>
              <w:rPr>
                <w:rFonts w:ascii="Times New Roman" w:hAnsi="Times New Roman"/>
                <w:sz w:val="18"/>
              </w:rPr>
              <w:t>4 (1.4%)</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56 (51.4%)</w:t>
            </w:r>
          </w:p>
        </w:tc>
        <w:tc>
          <w:tcPr>
            <w:tcW w:type="dxa" w:w="1337"/>
          </w:tcPr>
          <w:p>
            <w:pPr>
              <w:spacing w:line="240" w:lineRule="auto"/>
            </w:pPr>
            <w:r/>
            <w:r>
              <w:rPr>
                <w:rFonts w:ascii="Times New Roman" w:hAnsi="Times New Roman"/>
                <w:sz w:val="18"/>
              </w:rPr>
              <w:t>11 (10.1%)</w:t>
            </w:r>
          </w:p>
        </w:tc>
        <w:tc>
          <w:tcPr>
            <w:tcW w:type="dxa" w:w="1337"/>
          </w:tcPr>
          <w:p>
            <w:pPr>
              <w:spacing w:line="240" w:lineRule="auto"/>
            </w:pPr>
            <w:r/>
            <w:r>
              <w:rPr>
                <w:rFonts w:ascii="Times New Roman" w:hAnsi="Times New Roman"/>
                <w:sz w:val="18"/>
              </w:rPr>
              <w:t>3 (2.8%)</w:t>
            </w:r>
          </w:p>
        </w:tc>
        <w:tc>
          <w:tcPr>
            <w:tcW w:type="dxa" w:w="1337"/>
          </w:tcPr>
          <w:p>
            <w:pPr>
              <w:spacing w:line="240" w:lineRule="auto"/>
            </w:pPr>
            <w:r/>
            <w:r>
              <w:rPr>
                <w:rFonts w:ascii="Times New Roman" w:hAnsi="Times New Roman"/>
                <w:sz w:val="18"/>
              </w:rPr>
              <w:t>18 (16.5%)</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123 (41.6%)</w:t>
            </w:r>
          </w:p>
        </w:tc>
        <w:tc>
          <w:tcPr>
            <w:tcW w:type="dxa" w:w="1337"/>
          </w:tcPr>
          <w:p>
            <w:pPr>
              <w:spacing w:line="240" w:lineRule="auto"/>
            </w:pPr>
            <w:r/>
            <w:r>
              <w:rPr>
                <w:rFonts w:ascii="Times New Roman" w:hAnsi="Times New Roman"/>
                <w:sz w:val="18"/>
              </w:rPr>
              <w:t>43 (14.5%)</w:t>
            </w:r>
          </w:p>
        </w:tc>
        <w:tc>
          <w:tcPr>
            <w:tcW w:type="dxa" w:w="1337"/>
          </w:tcPr>
          <w:p>
            <w:pPr>
              <w:spacing w:line="240" w:lineRule="auto"/>
            </w:pPr>
            <w:r/>
            <w:r>
              <w:rPr>
                <w:rFonts w:ascii="Times New Roman" w:hAnsi="Times New Roman"/>
                <w:sz w:val="18"/>
              </w:rPr>
              <w:t>8 (2.7%)</w:t>
            </w:r>
          </w:p>
        </w:tc>
        <w:tc>
          <w:tcPr>
            <w:tcW w:type="dxa" w:w="1337"/>
          </w:tcPr>
          <w:p>
            <w:pPr>
              <w:spacing w:line="240" w:lineRule="auto"/>
            </w:pPr>
            <w:r/>
            <w:r>
              <w:rPr>
                <w:rFonts w:ascii="Times New Roman" w:hAnsi="Times New Roman"/>
                <w:sz w:val="18"/>
              </w:rPr>
              <w:t>20 (6.8%)</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82 (75.2%)</w:t>
            </w:r>
          </w:p>
        </w:tc>
        <w:tc>
          <w:tcPr>
            <w:tcW w:type="dxa" w:w="1337"/>
          </w:tcPr>
          <w:p>
            <w:pPr>
              <w:spacing w:line="240" w:lineRule="auto"/>
            </w:pPr>
            <w:r/>
            <w:r>
              <w:rPr>
                <w:rFonts w:ascii="Times New Roman" w:hAnsi="Times New Roman"/>
                <w:sz w:val="18"/>
              </w:rPr>
              <w:t>33 (30.3%)</w:t>
            </w:r>
          </w:p>
        </w:tc>
        <w:tc>
          <w:tcPr>
            <w:tcW w:type="dxa" w:w="1337"/>
          </w:tcPr>
          <w:p>
            <w:pPr>
              <w:spacing w:line="240" w:lineRule="auto"/>
            </w:pPr>
            <w:r/>
            <w:r>
              <w:rPr>
                <w:rFonts w:ascii="Times New Roman" w:hAnsi="Times New Roman"/>
                <w:sz w:val="18"/>
              </w:rPr>
              <w:t>8 (7.3%)</w:t>
            </w:r>
          </w:p>
        </w:tc>
        <w:tc>
          <w:tcPr>
            <w:tcW w:type="dxa" w:w="1337"/>
          </w:tcPr>
          <w:p>
            <w:pPr>
              <w:spacing w:line="240" w:lineRule="auto"/>
            </w:pPr>
            <w:r/>
            <w:r>
              <w:rPr>
                <w:rFonts w:ascii="Times New Roman" w:hAnsi="Times New Roman"/>
                <w:sz w:val="18"/>
              </w:rPr>
              <w:t>21 (19.3%)</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197 (66.6%)</w:t>
            </w:r>
          </w:p>
        </w:tc>
        <w:tc>
          <w:tcPr>
            <w:tcW w:type="dxa" w:w="1337"/>
          </w:tcPr>
          <w:p>
            <w:pPr>
              <w:spacing w:line="240" w:lineRule="auto"/>
            </w:pPr>
            <w:r/>
            <w:r>
              <w:rPr>
                <w:rFonts w:ascii="Times New Roman" w:hAnsi="Times New Roman"/>
                <w:sz w:val="18"/>
              </w:rPr>
              <w:t>73 (24.7%)</w:t>
            </w:r>
          </w:p>
        </w:tc>
        <w:tc>
          <w:tcPr>
            <w:tcW w:type="dxa" w:w="1337"/>
          </w:tcPr>
          <w:p>
            <w:pPr>
              <w:spacing w:line="240" w:lineRule="auto"/>
            </w:pPr>
            <w:r/>
            <w:r>
              <w:rPr>
                <w:rFonts w:ascii="Times New Roman" w:hAnsi="Times New Roman"/>
                <w:sz w:val="18"/>
              </w:rPr>
              <w:t>24 (8.1%)</w:t>
            </w:r>
          </w:p>
        </w:tc>
        <w:tc>
          <w:tcPr>
            <w:tcW w:type="dxa" w:w="1337"/>
          </w:tcPr>
          <w:p>
            <w:pPr>
              <w:spacing w:line="240" w:lineRule="auto"/>
            </w:pPr>
            <w:r/>
            <w:r>
              <w:rPr>
                <w:rFonts w:ascii="Times New Roman" w:hAnsi="Times New Roman"/>
                <w:sz w:val="18"/>
              </w:rPr>
              <w:t>56 (18.9%)</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Crosswalk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Window (days)</w:t>
            </w:r>
          </w:p>
        </w:tc>
        <w:tc>
          <w:tcPr>
            <w:tcW w:type="dxa" w:w="1872"/>
          </w:tcPr>
          <w:p>
            <w:pPr>
              <w:spacing w:line="240" w:lineRule="auto"/>
            </w:pPr>
            <w:r/>
            <w:r>
              <w:rPr>
                <w:rFonts w:ascii="Times New Roman" w:hAnsi="Times New Roman"/>
                <w:b/>
                <w:sz w:val="18"/>
              </w:rPr>
              <w:t>Group</w:t>
            </w:r>
          </w:p>
        </w:tc>
        <w:tc>
          <w:tcPr>
            <w:tcW w:type="dxa" w:w="1872"/>
          </w:tcPr>
          <w:p>
            <w:pPr>
              <w:spacing w:line="240" w:lineRule="auto"/>
            </w:pPr>
            <w:r/>
            <w:r>
              <w:rPr>
                <w:rFonts w:ascii="Times New Roman" w:hAnsi="Times New Roman"/>
                <w:b/>
                <w:sz w:val="18"/>
              </w:rPr>
              <w:t>Filing, no executive departure</w:t>
            </w:r>
          </w:p>
        </w:tc>
        <w:tc>
          <w:tcPr>
            <w:tcW w:type="dxa" w:w="1872"/>
          </w:tcPr>
          <w:p>
            <w:pPr>
              <w:spacing w:line="240" w:lineRule="auto"/>
            </w:pPr>
            <w:r/>
            <w:r>
              <w:rPr>
                <w:rFonts w:ascii="Times New Roman" w:hAnsi="Times New Roman"/>
                <w:b/>
                <w:sz w:val="18"/>
              </w:rPr>
              <w:t>Over all events</w:t>
            </w:r>
          </w:p>
        </w:tc>
        <w:tc>
          <w:tcPr>
            <w:tcW w:type="dxa" w:w="1872"/>
          </w:tcPr>
          <w:p>
            <w:pPr>
              <w:spacing w:line="240" w:lineRule="auto"/>
            </w:pPr>
            <w:r/>
            <w:r>
              <w:rPr>
                <w:rFonts w:ascii="Times New Roman" w:hAnsi="Times New Roman"/>
                <w:b/>
                <w:sz w:val="18"/>
              </w:rPr>
              <w:t>Over events with a filing</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 (22 of 109)</w:t>
            </w:r>
          </w:p>
        </w:tc>
        <w:tc>
          <w:tcPr>
            <w:tcW w:type="dxa" w:w="1872"/>
          </w:tcPr>
          <w:p>
            <w:pPr>
              <w:spacing w:line="240" w:lineRule="auto"/>
            </w:pPr>
            <w:r/>
            <w:r>
              <w:rPr>
                <w:rFonts w:ascii="Times New Roman" w:hAnsi="Times New Roman"/>
                <w:sz w:val="18"/>
              </w:rPr>
              <w:t>84.6% (22 of 26)</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27</w:t>
            </w:r>
          </w:p>
        </w:tc>
        <w:tc>
          <w:tcPr>
            <w:tcW w:type="dxa" w:w="1872"/>
          </w:tcPr>
          <w:p>
            <w:pPr>
              <w:spacing w:line="240" w:lineRule="auto"/>
            </w:pPr>
            <w:r/>
            <w:r>
              <w:rPr>
                <w:rFonts w:ascii="Times New Roman" w:hAnsi="Times New Roman"/>
                <w:sz w:val="18"/>
              </w:rPr>
              <w:t>9.1% (27 of 296)</w:t>
            </w:r>
          </w:p>
        </w:tc>
        <w:tc>
          <w:tcPr>
            <w:tcW w:type="dxa" w:w="1872"/>
          </w:tcPr>
          <w:p>
            <w:pPr>
              <w:spacing w:line="240" w:lineRule="auto"/>
            </w:pPr>
            <w:r/>
            <w:r>
              <w:rPr>
                <w:rFonts w:ascii="Times New Roman" w:hAnsi="Times New Roman"/>
                <w:sz w:val="18"/>
              </w:rPr>
              <w:t>67.5% (27 of 40)</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12.1% (49 of 405)</w:t>
            </w:r>
          </w:p>
        </w:tc>
        <w:tc>
          <w:tcPr>
            <w:tcW w:type="dxa" w:w="1872"/>
          </w:tcPr>
          <w:p>
            <w:pPr>
              <w:spacing w:line="240" w:lineRule="auto"/>
            </w:pPr>
            <w:r/>
            <w:r>
              <w:rPr>
                <w:rFonts w:ascii="Times New Roman" w:hAnsi="Times New Roman"/>
                <w:sz w:val="18"/>
              </w:rPr>
              <w:t>74.2% (49 of 66)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45</w:t>
            </w:r>
          </w:p>
        </w:tc>
        <w:tc>
          <w:tcPr>
            <w:tcW w:type="dxa" w:w="1872"/>
          </w:tcPr>
          <w:p>
            <w:pPr>
              <w:spacing w:line="240" w:lineRule="auto"/>
            </w:pPr>
            <w:r/>
            <w:r>
              <w:rPr>
                <w:rFonts w:ascii="Times New Roman" w:hAnsi="Times New Roman"/>
                <w:sz w:val="18"/>
              </w:rPr>
              <w:t>41.3% (45 of 109)</w:t>
            </w:r>
          </w:p>
        </w:tc>
        <w:tc>
          <w:tcPr>
            <w:tcW w:type="dxa" w:w="1872"/>
          </w:tcPr>
          <w:p>
            <w:pPr>
              <w:spacing w:line="240" w:lineRule="auto"/>
            </w:pPr>
            <w:r/>
            <w:r>
              <w:rPr>
                <w:rFonts w:ascii="Times New Roman" w:hAnsi="Times New Roman"/>
                <w:sz w:val="18"/>
              </w:rPr>
              <w:t>80.4% (45 of 56)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80</w:t>
            </w:r>
          </w:p>
        </w:tc>
        <w:tc>
          <w:tcPr>
            <w:tcW w:type="dxa" w:w="1872"/>
          </w:tcPr>
          <w:p>
            <w:pPr>
              <w:spacing w:line="240" w:lineRule="auto"/>
            </w:pPr>
            <w:r/>
            <w:r>
              <w:rPr>
                <w:rFonts w:ascii="Times New Roman" w:hAnsi="Times New Roman"/>
                <w:sz w:val="18"/>
              </w:rPr>
              <w:t>27.0% (80 of 296)</w:t>
            </w:r>
          </w:p>
        </w:tc>
        <w:tc>
          <w:tcPr>
            <w:tcW w:type="dxa" w:w="1872"/>
          </w:tcPr>
          <w:p>
            <w:pPr>
              <w:spacing w:line="240" w:lineRule="auto"/>
            </w:pPr>
            <w:r/>
            <w:r>
              <w:rPr>
                <w:rFonts w:ascii="Times New Roman" w:hAnsi="Times New Roman"/>
                <w:sz w:val="18"/>
              </w:rPr>
              <w:t>65.0% (80 of 123)</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125</w:t>
            </w:r>
          </w:p>
        </w:tc>
        <w:tc>
          <w:tcPr>
            <w:tcW w:type="dxa" w:w="1872"/>
          </w:tcPr>
          <w:p>
            <w:pPr>
              <w:spacing w:line="240" w:lineRule="auto"/>
            </w:pPr>
            <w:r/>
            <w:r>
              <w:rPr>
                <w:rFonts w:ascii="Times New Roman" w:hAnsi="Times New Roman"/>
                <w:sz w:val="18"/>
              </w:rPr>
              <w:t>30.9% (125 of 405)</w:t>
            </w:r>
          </w:p>
        </w:tc>
        <w:tc>
          <w:tcPr>
            <w:tcW w:type="dxa" w:w="1872"/>
          </w:tcPr>
          <w:p>
            <w:pPr>
              <w:spacing w:line="240" w:lineRule="auto"/>
            </w:pPr>
            <w:r/>
            <w:r>
              <w:rPr>
                <w:rFonts w:ascii="Times New Roman" w:hAnsi="Times New Roman"/>
                <w:sz w:val="18"/>
              </w:rPr>
              <w:t>69.8% (125 of 179)</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45.0% (49 of 109)</w:t>
            </w:r>
          </w:p>
        </w:tc>
        <w:tc>
          <w:tcPr>
            <w:tcW w:type="dxa" w:w="1872"/>
          </w:tcPr>
          <w:p>
            <w:pPr>
              <w:spacing w:line="240" w:lineRule="auto"/>
            </w:pPr>
            <w:r/>
            <w:r>
              <w:rPr>
                <w:rFonts w:ascii="Times New Roman" w:hAnsi="Times New Roman"/>
                <w:sz w:val="18"/>
              </w:rPr>
              <w:t>59.8% (49 of 82)</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124</w:t>
            </w:r>
          </w:p>
        </w:tc>
        <w:tc>
          <w:tcPr>
            <w:tcW w:type="dxa" w:w="1872"/>
          </w:tcPr>
          <w:p>
            <w:pPr>
              <w:spacing w:line="240" w:lineRule="auto"/>
            </w:pPr>
            <w:r/>
            <w:r>
              <w:rPr>
                <w:rFonts w:ascii="Times New Roman" w:hAnsi="Times New Roman"/>
                <w:sz w:val="18"/>
              </w:rPr>
              <w:t>41.9% (124 of 296)</w:t>
            </w:r>
          </w:p>
        </w:tc>
        <w:tc>
          <w:tcPr>
            <w:tcW w:type="dxa" w:w="1872"/>
          </w:tcPr>
          <w:p>
            <w:pPr>
              <w:spacing w:line="240" w:lineRule="auto"/>
            </w:pPr>
            <w:r/>
            <w:r>
              <w:rPr>
                <w:rFonts w:ascii="Times New Roman" w:hAnsi="Times New Roman"/>
                <w:sz w:val="18"/>
              </w:rPr>
              <w:t>62.9% (124 of 197)</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173</w:t>
            </w:r>
          </w:p>
        </w:tc>
        <w:tc>
          <w:tcPr>
            <w:tcW w:type="dxa" w:w="1872"/>
          </w:tcPr>
          <w:p>
            <w:pPr>
              <w:spacing w:line="240" w:lineRule="auto"/>
            </w:pPr>
            <w:r/>
            <w:r>
              <w:rPr>
                <w:rFonts w:ascii="Times New Roman" w:hAnsi="Times New Roman"/>
                <w:sz w:val="18"/>
              </w:rPr>
              <w:t>42.7% (173 of 405)</w:t>
            </w:r>
          </w:p>
        </w:tc>
        <w:tc>
          <w:tcPr>
            <w:tcW w:type="dxa" w:w="1872"/>
          </w:tcPr>
          <w:p>
            <w:pPr>
              <w:spacing w:line="240" w:lineRule="auto"/>
            </w:pPr>
            <w:r/>
            <w:r>
              <w:rPr>
                <w:rFonts w:ascii="Times New Roman" w:hAnsi="Times New Roman"/>
                <w:sz w:val="18"/>
              </w:rPr>
              <w:t>62.0% (173 of 279)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notification anchor is used throughout; a window is (t0, t0 + w] and excludes a filing dated on t0 itself. An Item 5.02 filing is not a departure: Item 5.02 also covers appointments, elections and compensatory arrangements, and Panel B shows how often a filing in the window reports no executive departure at all. The chief executive model requires at least 10 events in each group and is therefore not estimated at any window; the counts are reported for description only. Sources: outputs/essay3_q4/table06.csv; outputs/essay3_q4/_d5_crosswalk.csv.</w:t>
      </w:r>
    </w:p>
    <w:p>
      <w:pPr>
        <w:sectPr>
          <w:pgSz w:w="12240" w:h="15840"/>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7</w:t>
      </w:r>
    </w:p>
    <w:p>
      <w:pPr>
        <w:spacing w:after="160" w:line="240" w:lineRule="auto"/>
      </w:pPr>
      <w:r>
        <w:rPr>
          <w:rFonts w:ascii="Times New Roman" w:hAnsi="Times New Roman"/>
          <w:b w:val="0"/>
          <w:i/>
          <w:sz w:val="24"/>
        </w:rPr>
        <w:t>Primary Estimates: Inference Ladder, Minimum Detectable Effects, Logit Check, and Controls</w:t>
      </w:r>
    </w:p>
    <w:p>
      <w:pPr>
        <w:spacing w:after="80" w:line="240" w:lineRule="auto"/>
      </w:pPr>
      <w:r>
        <w:rPr>
          <w:rFonts w:ascii="Times New Roman" w:hAnsi="Times New Roman"/>
          <w:b/>
          <w:i w:val="0"/>
          <w:sz w:val="22"/>
        </w:rPr>
        <w:t>Panel A: Inference ladder, minimum detectable effects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Window (days)</w:t>
            </w:r>
          </w:p>
        </w:tc>
        <w:tc>
          <w:tcPr>
            <w:tcW w:type="dxa" w:w="2160"/>
          </w:tcPr>
          <w:p>
            <w:pPr>
              <w:spacing w:line="240" w:lineRule="auto"/>
            </w:pPr>
            <w:r/>
            <w:r>
              <w:rPr>
                <w:rFonts w:ascii="Times New Roman" w:hAnsi="Times New Roman"/>
                <w:b/>
                <w:sz w:val="18"/>
              </w:rPr>
              <w:t>Estimator</w:t>
            </w:r>
          </w:p>
        </w:tc>
        <w:tc>
          <w:tcPr>
            <w:tcW w:type="dxa" w:w="2160"/>
          </w:tcPr>
          <w:p>
            <w:pPr>
              <w:spacing w:line="240" w:lineRule="auto"/>
            </w:pPr>
            <w:r/>
            <w:r>
              <w:rPr>
                <w:rFonts w:ascii="Times New Roman" w:hAnsi="Times New Roman"/>
                <w:b/>
                <w:sz w:val="18"/>
              </w:rPr>
              <w:t>β (pp)</w:t>
            </w:r>
          </w:p>
        </w:tc>
        <w:tc>
          <w:tcPr>
            <w:tcW w:type="dxa" w:w="2160"/>
          </w:tcPr>
          <w:p>
            <w:pPr>
              <w:spacing w:line="240" w:lineRule="auto"/>
            </w:pPr>
            <w:r/>
            <w:r>
              <w:rPr>
                <w:rFonts w:ascii="Times New Roman" w:hAnsi="Times New Roman"/>
                <w:b/>
                <w:sz w:val="18"/>
              </w:rPr>
              <w:t>SE (pp)</w:t>
            </w:r>
          </w:p>
        </w:tc>
        <w:tc>
          <w:tcPr>
            <w:tcW w:type="dxa" w:w="2160"/>
          </w:tcPr>
          <w:p>
            <w:pPr>
              <w:spacing w:line="240" w:lineRule="auto"/>
            </w:pPr>
            <w:r/>
            <w:r>
              <w:rPr>
                <w:rFonts w:ascii="Times New Roman" w:hAnsi="Times New Roman"/>
                <w:b/>
                <w:sz w:val="18"/>
              </w:rPr>
              <w:t>p</w:t>
            </w:r>
          </w:p>
        </w:tc>
        <w:tc>
          <w:tcPr>
            <w:tcW w:type="dxa" w:w="2160"/>
          </w:tcPr>
          <w:p>
            <w:pPr>
              <w:spacing w:line="240" w:lineRule="auto"/>
            </w:pPr>
            <w:r/>
            <w:r>
              <w:rPr>
                <w:rFonts w:ascii="Times New Roman" w:hAnsi="Times New Roman"/>
                <w:b/>
                <w:sz w:val="18"/>
              </w:rPr>
              <w:t>95% CI (pp)</w:t>
            </w:r>
          </w:p>
        </w:tc>
      </w:tr>
      <w:tr>
        <w:tc>
          <w:tcPr>
            <w:tcW w:type="dxa" w:w="2160"/>
          </w:tcPr>
          <w:p>
            <w:pPr>
              <w:spacing w:line="240" w:lineRule="auto"/>
            </w:pPr>
            <w:r/>
            <w:r>
              <w:rPr>
                <w:rFonts w:ascii="Times New Roman" w:hAnsi="Times New Roman"/>
                <w:sz w:val="18"/>
              </w:rPr>
              <w:t>30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2.54</w:t>
            </w:r>
          </w:p>
        </w:tc>
        <w:tc>
          <w:tcPr>
            <w:tcW w:type="dxa" w:w="2160"/>
          </w:tcPr>
          <w:p>
            <w:pPr>
              <w:spacing w:line="240" w:lineRule="auto"/>
            </w:pPr>
            <w:r/>
            <w:r>
              <w:rPr>
                <w:rFonts w:ascii="Times New Roman" w:hAnsi="Times New Roman"/>
                <w:sz w:val="18"/>
              </w:rPr>
              <w:t>.876</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2.47</w:t>
            </w:r>
          </w:p>
        </w:tc>
        <w:tc>
          <w:tcPr>
            <w:tcW w:type="dxa" w:w="2160"/>
          </w:tcPr>
          <w:p>
            <w:pPr>
              <w:spacing w:line="240" w:lineRule="auto"/>
            </w:pPr>
            <w:r/>
            <w:r>
              <w:rPr>
                <w:rFonts w:ascii="Times New Roman" w:hAnsi="Times New Roman"/>
                <w:sz w:val="18"/>
              </w:rPr>
              <w:t>.873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3.34</w:t>
            </w:r>
          </w:p>
        </w:tc>
        <w:tc>
          <w:tcPr>
            <w:tcW w:type="dxa" w:w="2160"/>
          </w:tcPr>
          <w:p>
            <w:pPr>
              <w:spacing w:line="240" w:lineRule="auto"/>
            </w:pPr>
            <w:r/>
            <w:r>
              <w:rPr>
                <w:rFonts w:ascii="Times New Roman" w:hAnsi="Times New Roman"/>
                <w:sz w:val="18"/>
              </w:rPr>
              <w:t>.906</w:t>
            </w:r>
          </w:p>
        </w:tc>
        <w:tc>
          <w:tcPr>
            <w:tcW w:type="dxa" w:w="2160"/>
          </w:tcPr>
          <w:p>
            <w:pPr>
              <w:spacing w:line="240" w:lineRule="auto"/>
            </w:pPr>
            <w:r/>
            <w:r>
              <w:rPr>
                <w:rFonts w:ascii="Times New Roman" w:hAnsi="Times New Roman"/>
                <w:sz w:val="18"/>
              </w:rPr>
              <w:t>[−6.23, 7.02]</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.889</w:t>
            </w:r>
          </w:p>
        </w:tc>
        <w:tc>
          <w:tcPr>
            <w:tcW w:type="dxa" w:w="2160"/>
          </w:tcPr>
          <w:p>
            <w:pPr>
              <w:spacing w:line="240" w:lineRule="auto"/>
            </w:pPr>
            <w:r/>
            <w:r>
              <w:rPr>
                <w:rFonts w:ascii="Times New Roman" w:hAnsi="Times New Roman"/>
                <w:sz w:val="18"/>
              </w:rPr>
              <w:t>[−5.53, 5.78]</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4.39</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9.44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2.15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90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4.33</w:t>
            </w:r>
          </w:p>
        </w:tc>
        <w:tc>
          <w:tcPr>
            <w:tcW w:type="dxa" w:w="2160"/>
          </w:tcPr>
          <w:p>
            <w:pPr>
              <w:spacing w:line="240" w:lineRule="auto"/>
            </w:pPr>
            <w:r/>
            <w:r>
              <w:rPr>
                <w:rFonts w:ascii="Times New Roman" w:hAnsi="Times New Roman"/>
                <w:sz w:val="18"/>
              </w:rPr>
              <w:t>.344</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4.99</w:t>
            </w:r>
          </w:p>
        </w:tc>
        <w:tc>
          <w:tcPr>
            <w:tcW w:type="dxa" w:w="2160"/>
          </w:tcPr>
          <w:p>
            <w:pPr>
              <w:spacing w:line="240" w:lineRule="auto"/>
            </w:pPr>
            <w:r/>
            <w:r>
              <w:rPr>
                <w:rFonts w:ascii="Times New Roman" w:hAnsi="Times New Roman"/>
                <w:sz w:val="18"/>
              </w:rPr>
              <w:t>.413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7.91</w:t>
            </w:r>
          </w:p>
        </w:tc>
        <w:tc>
          <w:tcPr>
            <w:tcW w:type="dxa" w:w="2160"/>
          </w:tcPr>
          <w:p>
            <w:pPr>
              <w:spacing w:line="240" w:lineRule="auto"/>
            </w:pPr>
            <w:r/>
            <w:r>
              <w:rPr>
                <w:rFonts w:ascii="Times New Roman" w:hAnsi="Times New Roman"/>
                <w:sz w:val="18"/>
              </w:rPr>
              <w:t>.605</w:t>
            </w:r>
          </w:p>
        </w:tc>
        <w:tc>
          <w:tcPr>
            <w:tcW w:type="dxa" w:w="2160"/>
          </w:tcPr>
          <w:p>
            <w:pPr>
              <w:spacing w:line="240" w:lineRule="auto"/>
            </w:pPr>
            <w:r/>
            <w:r>
              <w:rPr>
                <w:rFonts w:ascii="Times New Roman" w:hAnsi="Times New Roman"/>
                <w:sz w:val="18"/>
              </w:rPr>
              <w:t>[−19.76, 11.56]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.514</w:t>
            </w:r>
          </w:p>
        </w:tc>
        <w:tc>
          <w:tcPr>
            <w:tcW w:type="dxa" w:w="2160"/>
          </w:tcPr>
          <w:p>
            <w:pPr>
              <w:spacing w:line="240" w:lineRule="auto"/>
            </w:pPr>
            <w:r/>
            <w:r>
              <w:rPr>
                <w:rFonts w:ascii="Times New Roman" w:hAnsi="Times New Roman"/>
                <w:sz w:val="18"/>
              </w:rPr>
              <w:t>[−15.96, 8.05]</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14.53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22.34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1.54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180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6.10</w:t>
            </w:r>
          </w:p>
        </w:tc>
        <w:tc>
          <w:tcPr>
            <w:tcW w:type="dxa" w:w="2160"/>
          </w:tcPr>
          <w:p>
            <w:pPr>
              <w:spacing w:line="240" w:lineRule="auto"/>
            </w:pPr>
            <w:r/>
            <w:r>
              <w:rPr>
                <w:rFonts w:ascii="Times New Roman" w:hAnsi="Times New Roman"/>
                <w:sz w:val="18"/>
              </w:rPr>
              <w:t>.703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7.82</w:t>
            </w:r>
          </w:p>
        </w:tc>
        <w:tc>
          <w:tcPr>
            <w:tcW w:type="dxa" w:w="2160"/>
          </w:tcPr>
          <w:p>
            <w:pPr>
              <w:spacing w:line="240" w:lineRule="auto"/>
            </w:pPr>
            <w:r/>
            <w:r>
              <w:rPr>
                <w:rFonts w:ascii="Times New Roman" w:hAnsi="Times New Roman"/>
                <w:sz w:val="18"/>
              </w:rPr>
              <w:t>.767</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9.96</w:t>
            </w:r>
          </w:p>
        </w:tc>
        <w:tc>
          <w:tcPr>
            <w:tcW w:type="dxa" w:w="2160"/>
          </w:tcPr>
          <w:p>
            <w:pPr>
              <w:spacing w:line="240" w:lineRule="auto"/>
            </w:pPr>
            <w:r/>
            <w:r>
              <w:rPr>
                <w:rFonts w:ascii="Times New Roman" w:hAnsi="Times New Roman"/>
                <w:sz w:val="18"/>
              </w:rPr>
              <w:t>.816</w:t>
            </w:r>
          </w:p>
        </w:tc>
        <w:tc>
          <w:tcPr>
            <w:tcW w:type="dxa" w:w="2160"/>
          </w:tcPr>
          <w:p>
            <w:pPr>
              <w:spacing w:line="240" w:lineRule="auto"/>
            </w:pPr>
            <w:r/>
            <w:r>
              <w:rPr>
                <w:rFonts w:ascii="Times New Roman" w:hAnsi="Times New Roman"/>
                <w:sz w:val="18"/>
              </w:rPr>
              <w:t>[−17.40, 22.06]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.790</w:t>
            </w:r>
          </w:p>
        </w:tc>
        <w:tc>
          <w:tcPr>
            <w:tcW w:type="dxa" w:w="2160"/>
          </w:tcPr>
          <w:p>
            <w:pPr>
              <w:spacing w:line="240" w:lineRule="auto"/>
            </w:pPr>
            <w:r/>
            <w:r>
              <w:rPr>
                <w:rFonts w:ascii="Times New Roman" w:hAnsi="Times New Roman"/>
                <w:sz w:val="18"/>
              </w:rPr>
              <w:t>[−15.76, 20.11]</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24.66</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28.15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1.14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Logit average marginal effects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pPr>
              <w:spacing w:line="240" w:lineRule="auto"/>
            </w:pPr>
            <w:r/>
            <w:r>
              <w:rPr>
                <w:rFonts w:ascii="Times New Roman" w:hAnsi="Times New Roman"/>
                <w:b/>
                <w:sz w:val="18"/>
              </w:rPr>
              <w:t>Window (days)</w:t>
            </w:r>
          </w:p>
        </w:tc>
        <w:tc>
          <w:tcPr>
            <w:tcW w:type="dxa" w:w="3240"/>
          </w:tcPr>
          <w:p>
            <w:pPr>
              <w:spacing w:line="240" w:lineRule="auto"/>
            </w:pPr>
            <w:r/>
            <w:r>
              <w:rPr>
                <w:rFonts w:ascii="Times New Roman" w:hAnsi="Times New Roman"/>
                <w:b/>
                <w:sz w:val="18"/>
              </w:rPr>
              <w:t>AME (pp)</w:t>
            </w:r>
          </w:p>
        </w:tc>
        <w:tc>
          <w:tcPr>
            <w:tcW w:type="dxa" w:w="3240"/>
          </w:tcPr>
          <w:p>
            <w:pPr>
              <w:spacing w:line="240" w:lineRule="auto"/>
            </w:pPr>
            <w:r/>
            <w:r>
              <w:rPr>
                <w:rFonts w:ascii="Times New Roman" w:hAnsi="Times New Roman"/>
                <w:b/>
                <w:sz w:val="18"/>
              </w:rPr>
              <w:t>SE (pp)</w:t>
            </w:r>
          </w:p>
        </w:tc>
        <w:tc>
          <w:tcPr>
            <w:tcW w:type="dxa" w:w="3240"/>
          </w:tcPr>
          <w:p>
            <w:pPr>
              <w:spacing w:line="240" w:lineRule="auto"/>
            </w:pPr>
            <w:r/>
            <w:r>
              <w:rPr>
                <w:rFonts w:ascii="Times New Roman" w:hAnsi="Times New Roman"/>
                <w:b/>
                <w:sz w:val="18"/>
              </w:rPr>
              <w:t>Convergence</w:t>
            </w:r>
          </w:p>
        </w:tc>
      </w:tr>
      <w:tr>
        <w:tc>
          <w:tcPr>
            <w:tcW w:type="dxa" w:w="3240"/>
          </w:tcPr>
          <w:p>
            <w:pPr>
              <w:spacing w:line="240" w:lineRule="auto"/>
            </w:pPr>
            <w:r/>
            <w:r>
              <w:rPr>
                <w:rFonts w:ascii="Times New Roman" w:hAnsi="Times New Roman"/>
                <w:sz w:val="18"/>
              </w:rPr>
              <w:t>30</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35 iterations; ConvergenceWarning</w:t>
            </w:r>
          </w:p>
        </w:tc>
      </w:tr>
      <w:tr>
        <w:tc>
          <w:tcPr>
            <w:tcW w:type="dxa" w:w="3240"/>
          </w:tcPr>
          <w:p>
            <w:pPr>
              <w:spacing w:line="240" w:lineRule="auto"/>
            </w:pPr>
            <w:r/>
            <w:r>
              <w:rPr>
                <w:rFonts w:ascii="Times New Roman" w:hAnsi="Times New Roman"/>
                <w:sz w:val="18"/>
              </w:rPr>
              <w:t>90</w:t>
            </w:r>
          </w:p>
        </w:tc>
        <w:tc>
          <w:tcPr>
            <w:tcW w:type="dxa" w:w="3240"/>
          </w:tcPr>
          <w:p>
            <w:pPr>
              <w:spacing w:line="240" w:lineRule="auto"/>
            </w:pPr>
            <w:r/>
            <w:r>
              <w:rPr>
                <w:rFonts w:ascii="Times New Roman" w:hAnsi="Times New Roman"/>
                <w:sz w:val="18"/>
              </w:rPr>
              <w:t>−4.20</w:t>
            </w:r>
          </w:p>
        </w:tc>
        <w:tc>
          <w:tcPr>
            <w:tcW w:type="dxa" w:w="3240"/>
          </w:tcPr>
          <w:p>
            <w:pPr>
              <w:spacing w:line="240" w:lineRule="auto"/>
            </w:pPr>
            <w:r/>
            <w:r>
              <w:rPr>
                <w:rFonts w:ascii="Times New Roman" w:hAnsi="Times New Roman"/>
                <w:sz w:val="18"/>
              </w:rPr>
              <w:t>4.68</w:t>
            </w:r>
          </w:p>
        </w:tc>
        <w:tc>
          <w:tcPr>
            <w:tcW w:type="dxa" w:w="3240"/>
          </w:tcPr>
          <w:p>
            <w:pPr>
              <w:spacing w:line="240" w:lineRule="auto"/>
            </w:pPr>
            <w:r/>
            <w:r>
              <w:rPr>
                <w:rFonts w:ascii="Times New Roman" w:hAnsi="Times New Roman"/>
                <w:sz w:val="18"/>
              </w:rPr>
              <w:t>converged in 6 iterations</w:t>
            </w:r>
          </w:p>
        </w:tc>
      </w:tr>
      <w:tr>
        <w:tc>
          <w:tcPr>
            <w:tcW w:type="dxa" w:w="3240"/>
          </w:tcPr>
          <w:p>
            <w:pPr>
              <w:spacing w:line="240" w:lineRule="auto"/>
            </w:pPr>
            <w:r/>
            <w:r>
              <w:rPr>
                <w:rFonts w:ascii="Times New Roman" w:hAnsi="Times New Roman"/>
                <w:sz w:val="18"/>
              </w:rPr>
              <w:t>180</w:t>
            </w:r>
          </w:p>
        </w:tc>
        <w:tc>
          <w:tcPr>
            <w:tcW w:type="dxa" w:w="3240"/>
          </w:tcPr>
          <w:p>
            <w:pPr>
              <w:spacing w:line="240" w:lineRule="auto"/>
            </w:pPr>
            <w:r/>
            <w:r>
              <w:rPr>
                <w:rFonts w:ascii="Times New Roman" w:hAnsi="Times New Roman"/>
                <w:sz w:val="18"/>
              </w:rPr>
              <w:t>1.97</w:t>
            </w:r>
          </w:p>
        </w:tc>
        <w:tc>
          <w:tcPr>
            <w:tcW w:type="dxa" w:w="3240"/>
          </w:tcPr>
          <w:p>
            <w:pPr>
              <w:spacing w:line="240" w:lineRule="auto"/>
            </w:pPr>
            <w:r/>
            <w:r>
              <w:rPr>
                <w:rFonts w:ascii="Times New Roman" w:hAnsi="Times New Roman"/>
                <w:sz w:val="18"/>
              </w:rPr>
              <w:t>7.75</w:t>
            </w:r>
          </w:p>
        </w:tc>
        <w:tc>
          <w:tcPr>
            <w:tcW w:type="dxa" w:w="3240"/>
          </w:tcPr>
          <w:p>
            <w:pPr>
              <w:spacing w:line="240" w:lineRule="auto"/>
            </w:pPr>
            <w:r/>
            <w:r>
              <w:rPr>
                <w:rFonts w:ascii="Times New Roman" w:hAnsi="Times New Roman"/>
                <w:sz w:val="18"/>
              </w:rPr>
              <w:t>converged in 5 iterations</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All terms, CV3</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Window (days)</w:t>
            </w:r>
          </w:p>
        </w:tc>
        <w:tc>
          <w:tcPr>
            <w:tcW w:type="dxa" w:w="2592"/>
          </w:tcPr>
          <w:p>
            <w:pPr>
              <w:spacing w:line="240" w:lineRule="auto"/>
            </w:pPr>
            <w:r/>
            <w:r>
              <w:rPr>
                <w:rFonts w:ascii="Times New Roman" w:hAnsi="Times New Roman"/>
                <w:b/>
                <w:sz w:val="18"/>
              </w:rPr>
              <w:t>Term</w:t>
            </w:r>
          </w:p>
        </w:tc>
        <w:tc>
          <w:tcPr>
            <w:tcW w:type="dxa" w:w="2592"/>
          </w:tcPr>
          <w:p>
            <w:pPr>
              <w:spacing w:line="240" w:lineRule="auto"/>
            </w:pPr>
            <w:r/>
            <w:r>
              <w:rPr>
                <w:rFonts w:ascii="Times New Roman" w:hAnsi="Times New Roman"/>
                <w:b/>
                <w:sz w:val="18"/>
              </w:rPr>
              <w:t>β (pp)</w:t>
            </w:r>
          </w:p>
        </w:tc>
        <w:tc>
          <w:tcPr>
            <w:tcW w:type="dxa" w:w="2592"/>
          </w:tcPr>
          <w:p>
            <w:pPr>
              <w:spacing w:line="240" w:lineRule="auto"/>
            </w:pPr>
            <w:r/>
            <w:r>
              <w:rPr>
                <w:rFonts w:ascii="Times New Roman" w:hAnsi="Times New Roman"/>
                <w:b/>
                <w:sz w:val="18"/>
              </w:rPr>
              <w:t>CV3 SE (pp)</w:t>
            </w:r>
          </w:p>
        </w:tc>
        <w:tc>
          <w:tcPr>
            <w:tcW w:type="dxa" w:w="2592"/>
          </w:tcPr>
          <w:p>
            <w:pPr>
              <w:spacing w:line="240" w:lineRule="auto"/>
            </w:pPr>
            <w:r/>
            <w:r>
              <w:rPr>
                <w:rFonts w:ascii="Times New Roman" w:hAnsi="Times New Roman"/>
                <w:b/>
                <w:sz w:val="18"/>
              </w:rPr>
              <w:t>p</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5.85</w:t>
            </w:r>
          </w:p>
        </w:tc>
        <w:tc>
          <w:tcPr>
            <w:tcW w:type="dxa" w:w="2592"/>
          </w:tcPr>
          <w:p>
            <w:pPr>
              <w:spacing w:line="240" w:lineRule="auto"/>
            </w:pPr>
            <w:r/>
            <w:r>
              <w:rPr>
                <w:rFonts w:ascii="Times New Roman" w:hAnsi="Times New Roman"/>
                <w:sz w:val="18"/>
              </w:rPr>
              <w:t>12.41</w:t>
            </w:r>
          </w:p>
        </w:tc>
        <w:tc>
          <w:tcPr>
            <w:tcW w:type="dxa" w:w="2592"/>
          </w:tcPr>
          <w:p>
            <w:pPr>
              <w:spacing w:line="240" w:lineRule="auto"/>
            </w:pPr>
            <w:r/>
            <w:r>
              <w:rPr>
                <w:rFonts w:ascii="Times New Roman" w:hAnsi="Times New Roman"/>
                <w:sz w:val="18"/>
              </w:rPr>
              <w:t>.638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0.40</w:t>
            </w:r>
          </w:p>
        </w:tc>
        <w:tc>
          <w:tcPr>
            <w:tcW w:type="dxa" w:w="2592"/>
          </w:tcPr>
          <w:p>
            <w:pPr>
              <w:spacing w:line="240" w:lineRule="auto"/>
            </w:pPr>
            <w:r/>
            <w:r>
              <w:rPr>
                <w:rFonts w:ascii="Times New Roman" w:hAnsi="Times New Roman"/>
                <w:sz w:val="18"/>
              </w:rPr>
              <w:t>3.34</w:t>
            </w:r>
          </w:p>
        </w:tc>
        <w:tc>
          <w:tcPr>
            <w:tcW w:type="dxa" w:w="2592"/>
          </w:tcPr>
          <w:p>
            <w:pPr>
              <w:spacing w:line="240" w:lineRule="auto"/>
            </w:pPr>
            <w:r/>
            <w:r>
              <w:rPr>
                <w:rFonts w:ascii="Times New Roman" w:hAnsi="Times New Roman"/>
                <w:sz w:val="18"/>
              </w:rPr>
              <w:t>.906</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0.22</w:t>
            </w:r>
          </w:p>
        </w:tc>
        <w:tc>
          <w:tcPr>
            <w:tcW w:type="dxa" w:w="2592"/>
          </w:tcPr>
          <w:p>
            <w:pPr>
              <w:spacing w:line="240" w:lineRule="auto"/>
            </w:pPr>
            <w:r/>
            <w:r>
              <w:rPr>
                <w:rFonts w:ascii="Times New Roman" w:hAnsi="Times New Roman"/>
                <w:sz w:val="18"/>
              </w:rPr>
              <w:t>0.56</w:t>
            </w:r>
          </w:p>
        </w:tc>
        <w:tc>
          <w:tcPr>
            <w:tcW w:type="dxa" w:w="2592"/>
          </w:tcPr>
          <w:p>
            <w:pPr>
              <w:spacing w:line="240" w:lineRule="auto"/>
            </w:pPr>
            <w:r/>
            <w:r>
              <w:rPr>
                <w:rFonts w:ascii="Times New Roman" w:hAnsi="Times New Roman"/>
                <w:sz w:val="18"/>
              </w:rPr>
              <w:t>.692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−3.81</w:t>
            </w:r>
          </w:p>
        </w:tc>
        <w:tc>
          <w:tcPr>
            <w:tcW w:type="dxa" w:w="2592"/>
          </w:tcPr>
          <w:p>
            <w:pPr>
              <w:spacing w:line="240" w:lineRule="auto"/>
            </w:pPr>
            <w:r/>
            <w:r>
              <w:rPr>
                <w:rFonts w:ascii="Times New Roman" w:hAnsi="Times New Roman"/>
                <w:sz w:val="18"/>
              </w:rPr>
              <w:t>1.94</w:t>
            </w:r>
          </w:p>
        </w:tc>
        <w:tc>
          <w:tcPr>
            <w:tcW w:type="dxa" w:w="2592"/>
          </w:tcPr>
          <w:p>
            <w:pPr>
              <w:spacing w:line="240" w:lineRule="auto"/>
            </w:pPr>
            <w:r/>
            <w:r>
              <w:rPr>
                <w:rFonts w:ascii="Times New Roman" w:hAnsi="Times New Roman"/>
                <w:sz w:val="18"/>
              </w:rPr>
              <w:t>.052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−0.37</w:t>
            </w:r>
          </w:p>
        </w:tc>
        <w:tc>
          <w:tcPr>
            <w:tcW w:type="dxa" w:w="2592"/>
          </w:tcPr>
          <w:p>
            <w:pPr>
              <w:spacing w:line="240" w:lineRule="auto"/>
            </w:pPr>
            <w:r/>
            <w:r>
              <w:rPr>
                <w:rFonts w:ascii="Times New Roman" w:hAnsi="Times New Roman"/>
                <w:sz w:val="18"/>
              </w:rPr>
              <w:t>1.12</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1.99</w:t>
            </w:r>
          </w:p>
        </w:tc>
        <w:tc>
          <w:tcPr>
            <w:tcW w:type="dxa" w:w="2592"/>
          </w:tcPr>
          <w:p>
            <w:pPr>
              <w:spacing w:line="240" w:lineRule="auto"/>
            </w:pPr>
            <w:r/>
            <w:r>
              <w:rPr>
                <w:rFonts w:ascii="Times New Roman" w:hAnsi="Times New Roman"/>
                <w:sz w:val="18"/>
              </w:rPr>
              <w:t>5.36</w:t>
            </w:r>
          </w:p>
        </w:tc>
        <w:tc>
          <w:tcPr>
            <w:tcW w:type="dxa" w:w="2592"/>
          </w:tcPr>
          <w:p>
            <w:pPr>
              <w:spacing w:line="240" w:lineRule="auto"/>
            </w:pPr>
            <w:r/>
            <w:r>
              <w:rPr>
                <w:rFonts w:ascii="Times New Roman" w:hAnsi="Times New Roman"/>
                <w:sz w:val="18"/>
              </w:rPr>
              <w:t>.711</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5.90</w:t>
            </w:r>
          </w:p>
        </w:tc>
        <w:tc>
          <w:tcPr>
            <w:tcW w:type="dxa" w:w="2592"/>
          </w:tcPr>
          <w:p>
            <w:pPr>
              <w:spacing w:line="240" w:lineRule="auto"/>
            </w:pPr>
            <w:r/>
            <w:r>
              <w:rPr>
                <w:rFonts w:ascii="Times New Roman" w:hAnsi="Times New Roman"/>
                <w:sz w:val="18"/>
              </w:rPr>
              <w:t>16.29</w:t>
            </w:r>
          </w:p>
        </w:tc>
        <w:tc>
          <w:tcPr>
            <w:tcW w:type="dxa" w:w="2592"/>
          </w:tcPr>
          <w:p>
            <w:pPr>
              <w:spacing w:line="240" w:lineRule="auto"/>
            </w:pPr>
            <w:r/>
            <w:r>
              <w:rPr>
                <w:rFonts w:ascii="Times New Roman" w:hAnsi="Times New Roman"/>
                <w:sz w:val="18"/>
              </w:rPr>
              <w:t>.718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−0.16</w:t>
            </w:r>
          </w:p>
        </w:tc>
        <w:tc>
          <w:tcPr>
            <w:tcW w:type="dxa" w:w="2592"/>
          </w:tcPr>
          <w:p>
            <w:pPr>
              <w:spacing w:line="240" w:lineRule="auto"/>
            </w:pPr>
            <w:r/>
            <w:r>
              <w:rPr>
                <w:rFonts w:ascii="Times New Roman" w:hAnsi="Times New Roman"/>
                <w:sz w:val="18"/>
              </w:rPr>
              <w:t>1.13</w:t>
            </w:r>
          </w:p>
        </w:tc>
        <w:tc>
          <w:tcPr>
            <w:tcW w:type="dxa" w:w="2592"/>
          </w:tcPr>
          <w:p>
            <w:pPr>
              <w:spacing w:line="240" w:lineRule="auto"/>
            </w:pPr>
            <w:r/>
            <w:r>
              <w:rPr>
                <w:rFonts w:ascii="Times New Roman" w:hAnsi="Times New Roman"/>
                <w:sz w:val="18"/>
              </w:rPr>
              <w:t>.887</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−0.10</w:t>
            </w:r>
          </w:p>
        </w:tc>
        <w:tc>
          <w:tcPr>
            <w:tcW w:type="dxa" w:w="2592"/>
          </w:tcPr>
          <w:p>
            <w:pPr>
              <w:spacing w:line="240" w:lineRule="auto"/>
            </w:pPr>
            <w:r/>
            <w:r>
              <w:rPr>
                <w:rFonts w:ascii="Times New Roman" w:hAnsi="Times New Roman"/>
                <w:sz w:val="18"/>
              </w:rPr>
              <w:t>5.16</w:t>
            </w:r>
          </w:p>
        </w:tc>
        <w:tc>
          <w:tcPr>
            <w:tcW w:type="dxa" w:w="2592"/>
          </w:tcPr>
          <w:p>
            <w:pPr>
              <w:spacing w:line="240" w:lineRule="auto"/>
            </w:pPr>
            <w:r/>
            <w:r>
              <w:rPr>
                <w:rFonts w:ascii="Times New Roman" w:hAnsi="Times New Roman"/>
                <w:sz w:val="18"/>
              </w:rPr>
              <w:t>.984</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3.77</w:t>
            </w:r>
          </w:p>
        </w:tc>
        <w:tc>
          <w:tcPr>
            <w:tcW w:type="dxa" w:w="2592"/>
          </w:tcPr>
          <w:p>
            <w:pPr>
              <w:spacing w:line="240" w:lineRule="auto"/>
            </w:pPr>
            <w:r/>
            <w:r>
              <w:rPr>
                <w:rFonts w:ascii="Times New Roman" w:hAnsi="Times New Roman"/>
                <w:sz w:val="18"/>
              </w:rPr>
              <w:t>21.11</w:t>
            </w:r>
          </w:p>
        </w:tc>
        <w:tc>
          <w:tcPr>
            <w:tcW w:type="dxa" w:w="2592"/>
          </w:tcPr>
          <w:p>
            <w:pPr>
              <w:spacing w:line="240" w:lineRule="auto"/>
            </w:pPr>
            <w:r/>
            <w:r>
              <w:rPr>
                <w:rFonts w:ascii="Times New Roman" w:hAnsi="Times New Roman"/>
                <w:sz w:val="18"/>
              </w:rPr>
              <w:t>.859</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−4.10</w:t>
            </w:r>
          </w:p>
        </w:tc>
        <w:tc>
          <w:tcPr>
            <w:tcW w:type="dxa" w:w="2592"/>
          </w:tcPr>
          <w:p>
            <w:pPr>
              <w:spacing w:line="240" w:lineRule="auto"/>
            </w:pPr>
            <w:r/>
            <w:r>
              <w:rPr>
                <w:rFonts w:ascii="Times New Roman" w:hAnsi="Times New Roman"/>
                <w:sz w:val="18"/>
              </w:rPr>
              <w:t>7.91</w:t>
            </w:r>
          </w:p>
        </w:tc>
        <w:tc>
          <w:tcPr>
            <w:tcW w:type="dxa" w:w="2592"/>
          </w:tcPr>
          <w:p>
            <w:pPr>
              <w:spacing w:line="240" w:lineRule="auto"/>
            </w:pPr>
            <w:r/>
            <w:r>
              <w:rPr>
                <w:rFonts w:ascii="Times New Roman" w:hAnsi="Times New Roman"/>
                <w:sz w:val="18"/>
              </w:rPr>
              <w:t>.605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0.25</w:t>
            </w:r>
          </w:p>
        </w:tc>
        <w:tc>
          <w:tcPr>
            <w:tcW w:type="dxa" w:w="2592"/>
          </w:tcPr>
          <w:p>
            <w:pPr>
              <w:spacing w:line="240" w:lineRule="auto"/>
            </w:pPr>
            <w:r/>
            <w:r>
              <w:rPr>
                <w:rFonts w:ascii="Times New Roman" w:hAnsi="Times New Roman"/>
                <w:sz w:val="18"/>
              </w:rPr>
              <w:t>0.57</w:t>
            </w:r>
          </w:p>
        </w:tc>
        <w:tc>
          <w:tcPr>
            <w:tcW w:type="dxa" w:w="2592"/>
          </w:tcPr>
          <w:p>
            <w:pPr>
              <w:spacing w:line="240" w:lineRule="auto"/>
            </w:pPr>
            <w:r/>
            <w:r>
              <w:rPr>
                <w:rFonts w:ascii="Times New Roman" w:hAnsi="Times New Roman"/>
                <w:sz w:val="18"/>
              </w:rPr>
              <w:t>.660</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−2.44</w:t>
            </w:r>
          </w:p>
        </w:tc>
        <w:tc>
          <w:tcPr>
            <w:tcW w:type="dxa" w:w="2592"/>
          </w:tcPr>
          <w:p>
            <w:pPr>
              <w:spacing w:line="240" w:lineRule="auto"/>
            </w:pPr>
            <w:r/>
            <w:r>
              <w:rPr>
                <w:rFonts w:ascii="Times New Roman" w:hAnsi="Times New Roman"/>
                <w:sz w:val="18"/>
              </w:rPr>
              <w:t>7.41</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0.01</w:t>
            </w:r>
          </w:p>
        </w:tc>
        <w:tc>
          <w:tcPr>
            <w:tcW w:type="dxa" w:w="2592"/>
          </w:tcPr>
          <w:p>
            <w:pPr>
              <w:spacing w:line="240" w:lineRule="auto"/>
            </w:pPr>
            <w:r/>
            <w:r>
              <w:rPr>
                <w:rFonts w:ascii="Times New Roman" w:hAnsi="Times New Roman"/>
                <w:sz w:val="18"/>
              </w:rPr>
              <w:t>2.09</w:t>
            </w:r>
          </w:p>
        </w:tc>
        <w:tc>
          <w:tcPr>
            <w:tcW w:type="dxa" w:w="2592"/>
          </w:tcPr>
          <w:p>
            <w:pPr>
              <w:spacing w:line="240" w:lineRule="auto"/>
            </w:pPr>
            <w:r/>
            <w:r>
              <w:rPr>
                <w:rFonts w:ascii="Times New Roman" w:hAnsi="Times New Roman"/>
                <w:sz w:val="18"/>
              </w:rPr>
              <w:t>.995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7.46</w:t>
            </w:r>
          </w:p>
        </w:tc>
        <w:tc>
          <w:tcPr>
            <w:tcW w:type="dxa" w:w="2592"/>
          </w:tcPr>
          <w:p>
            <w:pPr>
              <w:spacing w:line="240" w:lineRule="auto"/>
            </w:pPr>
            <w:r/>
            <w:r>
              <w:rPr>
                <w:rFonts w:ascii="Times New Roman" w:hAnsi="Times New Roman"/>
                <w:sz w:val="18"/>
              </w:rPr>
              <w:t>14.28</w:t>
            </w:r>
          </w:p>
        </w:tc>
        <w:tc>
          <w:tcPr>
            <w:tcW w:type="dxa" w:w="2592"/>
          </w:tcPr>
          <w:p>
            <w:pPr>
              <w:spacing w:line="240" w:lineRule="auto"/>
            </w:pPr>
            <w:r/>
            <w:r>
              <w:rPr>
                <w:rFonts w:ascii="Times New Roman" w:hAnsi="Times New Roman"/>
                <w:sz w:val="18"/>
              </w:rPr>
              <w:t>.602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28.83</w:t>
            </w:r>
          </w:p>
        </w:tc>
        <w:tc>
          <w:tcPr>
            <w:tcW w:type="dxa" w:w="2592"/>
          </w:tcPr>
          <w:p>
            <w:pPr>
              <w:spacing w:line="240" w:lineRule="auto"/>
            </w:pPr>
            <w:r/>
            <w:r>
              <w:rPr>
                <w:rFonts w:ascii="Times New Roman" w:hAnsi="Times New Roman"/>
                <w:sz w:val="18"/>
              </w:rPr>
              <w:t>50.96</w:t>
            </w:r>
          </w:p>
        </w:tc>
        <w:tc>
          <w:tcPr>
            <w:tcW w:type="dxa" w:w="2592"/>
          </w:tcPr>
          <w:p>
            <w:pPr>
              <w:spacing w:line="240" w:lineRule="auto"/>
            </w:pPr>
            <w:r/>
            <w:r>
              <w:rPr>
                <w:rFonts w:ascii="Times New Roman" w:hAnsi="Times New Roman"/>
                <w:sz w:val="18"/>
              </w:rPr>
              <w:t>.573</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3.53</w:t>
            </w:r>
          </w:p>
        </w:tc>
        <w:tc>
          <w:tcPr>
            <w:tcW w:type="dxa" w:w="2592"/>
          </w:tcPr>
          <w:p>
            <w:pPr>
              <w:spacing w:line="240" w:lineRule="auto"/>
            </w:pPr>
            <w:r/>
            <w:r>
              <w:rPr>
                <w:rFonts w:ascii="Times New Roman" w:hAnsi="Times New Roman"/>
                <w:sz w:val="18"/>
              </w:rPr>
              <w:t>4.13</w:t>
            </w:r>
          </w:p>
        </w:tc>
        <w:tc>
          <w:tcPr>
            <w:tcW w:type="dxa" w:w="2592"/>
          </w:tcPr>
          <w:p>
            <w:pPr>
              <w:spacing w:line="240" w:lineRule="auto"/>
            </w:pPr>
            <w:r/>
            <w:r>
              <w:rPr>
                <w:rFonts w:ascii="Times New Roman" w:hAnsi="Times New Roman"/>
                <w:sz w:val="18"/>
              </w:rPr>
              <w:t>.395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−10.78</w:t>
            </w:r>
          </w:p>
        </w:tc>
        <w:tc>
          <w:tcPr>
            <w:tcW w:type="dxa" w:w="2592"/>
          </w:tcPr>
          <w:p>
            <w:pPr>
              <w:spacing w:line="240" w:lineRule="auto"/>
            </w:pPr>
            <w:r/>
            <w:r>
              <w:rPr>
                <w:rFonts w:ascii="Times New Roman" w:hAnsi="Times New Roman"/>
                <w:sz w:val="18"/>
              </w:rPr>
              <w:t>9.18</w:t>
            </w:r>
          </w:p>
        </w:tc>
        <w:tc>
          <w:tcPr>
            <w:tcW w:type="dxa" w:w="2592"/>
          </w:tcPr>
          <w:p>
            <w:pPr>
              <w:spacing w:line="240" w:lineRule="auto"/>
            </w:pPr>
            <w:r/>
            <w:r>
              <w:rPr>
                <w:rFonts w:ascii="Times New Roman" w:hAnsi="Times New Roman"/>
                <w:sz w:val="18"/>
              </w:rPr>
              <w:t>.243</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−0.93</w:t>
            </w:r>
          </w:p>
        </w:tc>
        <w:tc>
          <w:tcPr>
            <w:tcW w:type="dxa" w:w="2592"/>
          </w:tcPr>
          <w:p>
            <w:pPr>
              <w:spacing w:line="240" w:lineRule="auto"/>
            </w:pPr>
            <w:r/>
            <w:r>
              <w:rPr>
                <w:rFonts w:ascii="Times New Roman" w:hAnsi="Times New Roman"/>
                <w:sz w:val="18"/>
              </w:rPr>
              <w:t>29.54</w:t>
            </w:r>
          </w:p>
        </w:tc>
        <w:tc>
          <w:tcPr>
            <w:tcW w:type="dxa" w:w="2592"/>
          </w:tcPr>
          <w:p>
            <w:pPr>
              <w:spacing w:line="240" w:lineRule="auto"/>
            </w:pPr>
            <w:r/>
            <w:r>
              <w:rPr>
                <w:rFonts w:ascii="Times New Roman" w:hAnsi="Times New Roman"/>
                <w:sz w:val="18"/>
              </w:rPr>
              <w:t>.975</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2.33</w:t>
            </w:r>
          </w:p>
        </w:tc>
        <w:tc>
          <w:tcPr>
            <w:tcW w:type="dxa" w:w="2592"/>
          </w:tcPr>
          <w:p>
            <w:pPr>
              <w:spacing w:line="240" w:lineRule="auto"/>
            </w:pPr>
            <w:r/>
            <w:r>
              <w:rPr>
                <w:rFonts w:ascii="Times New Roman" w:hAnsi="Times New Roman"/>
                <w:sz w:val="18"/>
              </w:rPr>
              <w:t>9.96</w:t>
            </w:r>
          </w:p>
        </w:tc>
        <w:tc>
          <w:tcPr>
            <w:tcW w:type="dxa" w:w="2592"/>
          </w:tcPr>
          <w:p>
            <w:pPr>
              <w:spacing w:line="240" w:lineRule="auto"/>
            </w:pPr>
            <w:r/>
            <w:r>
              <w:rPr>
                <w:rFonts w:ascii="Times New Roman" w:hAnsi="Times New Roman"/>
                <w:sz w:val="18"/>
              </w:rPr>
              <w:t>.816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0.72</w:t>
            </w:r>
          </w:p>
        </w:tc>
        <w:tc>
          <w:tcPr>
            <w:tcW w:type="dxa" w:w="2592"/>
          </w:tcPr>
          <w:p>
            <w:pPr>
              <w:spacing w:line="240" w:lineRule="auto"/>
            </w:pPr>
            <w:r/>
            <w:r>
              <w:rPr>
                <w:rFonts w:ascii="Times New Roman" w:hAnsi="Times New Roman"/>
                <w:sz w:val="18"/>
              </w:rPr>
              <w:t>1.16</w:t>
            </w:r>
          </w:p>
        </w:tc>
        <w:tc>
          <w:tcPr>
            <w:tcW w:type="dxa" w:w="2592"/>
          </w:tcPr>
          <w:p>
            <w:pPr>
              <w:spacing w:line="240" w:lineRule="auto"/>
            </w:pPr>
            <w:r/>
            <w:r>
              <w:rPr>
                <w:rFonts w:ascii="Times New Roman" w:hAnsi="Times New Roman"/>
                <w:sz w:val="18"/>
              </w:rPr>
              <w:t>.537</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−3.72</w:t>
            </w:r>
          </w:p>
        </w:tc>
        <w:tc>
          <w:tcPr>
            <w:tcW w:type="dxa" w:w="2592"/>
          </w:tcPr>
          <w:p>
            <w:pPr>
              <w:spacing w:line="240" w:lineRule="auto"/>
            </w:pPr>
            <w:r/>
            <w:r>
              <w:rPr>
                <w:rFonts w:ascii="Times New Roman" w:hAnsi="Times New Roman"/>
                <w:sz w:val="18"/>
              </w:rPr>
              <w:t>9.86</w:t>
            </w:r>
          </w:p>
        </w:tc>
        <w:tc>
          <w:tcPr>
            <w:tcW w:type="dxa" w:w="2592"/>
          </w:tcPr>
          <w:p>
            <w:pPr>
              <w:spacing w:line="240" w:lineRule="auto"/>
            </w:pPr>
            <w:r/>
            <w:r>
              <w:rPr>
                <w:rFonts w:ascii="Times New Roman" w:hAnsi="Times New Roman"/>
                <w:sz w:val="18"/>
              </w:rPr>
              <w:t>.706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2.55</w:t>
            </w:r>
          </w:p>
        </w:tc>
        <w:tc>
          <w:tcPr>
            <w:tcW w:type="dxa" w:w="2592"/>
          </w:tcPr>
          <w:p>
            <w:pPr>
              <w:spacing w:line="240" w:lineRule="auto"/>
            </w:pPr>
            <w:r/>
            <w:r>
              <w:rPr>
                <w:rFonts w:ascii="Times New Roman" w:hAnsi="Times New Roman"/>
                <w:sz w:val="18"/>
              </w:rPr>
              <w:t>2.67</w:t>
            </w:r>
          </w:p>
        </w:tc>
        <w:tc>
          <w:tcPr>
            <w:tcW w:type="dxa" w:w="2592"/>
          </w:tcPr>
          <w:p>
            <w:pPr>
              <w:spacing w:line="240" w:lineRule="auto"/>
            </w:pPr>
            <w:r/>
            <w:r>
              <w:rPr>
                <w:rFonts w:ascii="Times New Roman" w:hAnsi="Times New Roman"/>
                <w:sz w:val="18"/>
              </w:rPr>
              <w:t>.342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−1.92</w:t>
            </w:r>
          </w:p>
        </w:tc>
        <w:tc>
          <w:tcPr>
            <w:tcW w:type="dxa" w:w="2592"/>
          </w:tcPr>
          <w:p>
            <w:pPr>
              <w:spacing w:line="240" w:lineRule="auto"/>
            </w:pPr>
            <w:r/>
            <w:r>
              <w:rPr>
                <w:rFonts w:ascii="Times New Roman" w:hAnsi="Times New Roman"/>
                <w:sz w:val="18"/>
              </w:rPr>
              <w:t>19.54</w:t>
            </w:r>
          </w:p>
        </w:tc>
        <w:tc>
          <w:tcPr>
            <w:tcW w:type="dxa" w:w="2592"/>
          </w:tcPr>
          <w:p>
            <w:pPr>
              <w:spacing w:line="240" w:lineRule="auto"/>
            </w:pPr>
            <w:r/>
            <w:r>
              <w:rPr>
                <w:rFonts w:ascii="Times New Roman" w:hAnsi="Times New Roman"/>
                <w:sz w:val="18"/>
              </w:rPr>
              <w:t>.922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3.51</w:t>
            </w:r>
          </w:p>
        </w:tc>
        <w:tc>
          <w:tcPr>
            <w:tcW w:type="dxa" w:w="2592"/>
          </w:tcPr>
          <w:p>
            <w:pPr>
              <w:spacing w:line="240" w:lineRule="auto"/>
            </w:pPr>
            <w:r/>
            <w:r>
              <w:rPr>
                <w:rFonts w:ascii="Times New Roman" w:hAnsi="Times New Roman"/>
                <w:sz w:val="18"/>
              </w:rPr>
              <w:t>41.05</w:t>
            </w:r>
          </w:p>
        </w:tc>
        <w:tc>
          <w:tcPr>
            <w:tcW w:type="dxa" w:w="2592"/>
          </w:tcPr>
          <w:p>
            <w:pPr>
              <w:spacing w:line="240" w:lineRule="auto"/>
            </w:pPr>
            <w:r/>
            <w:r>
              <w:rPr>
                <w:rFonts w:ascii="Times New Roman" w:hAnsi="Times New Roman"/>
                <w:sz w:val="18"/>
              </w:rPr>
              <w:t>.932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−0.60</w:t>
            </w:r>
          </w:p>
        </w:tc>
        <w:tc>
          <w:tcPr>
            <w:tcW w:type="dxa" w:w="2592"/>
          </w:tcPr>
          <w:p>
            <w:pPr>
              <w:spacing w:line="240" w:lineRule="auto"/>
            </w:pPr>
            <w:r/>
            <w:r>
              <w:rPr>
                <w:rFonts w:ascii="Times New Roman" w:hAnsi="Times New Roman"/>
                <w:sz w:val="18"/>
              </w:rPr>
              <w:t>4.14</w:t>
            </w:r>
          </w:p>
        </w:tc>
        <w:tc>
          <w:tcPr>
            <w:tcW w:type="dxa" w:w="2592"/>
          </w:tcPr>
          <w:p>
            <w:pPr>
              <w:spacing w:line="240" w:lineRule="auto"/>
            </w:pPr>
            <w:r/>
            <w:r>
              <w:rPr>
                <w:rFonts w:ascii="Times New Roman" w:hAnsi="Times New Roman"/>
                <w:sz w:val="18"/>
              </w:rPr>
              <w:t>.884</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−10.14</w:t>
            </w:r>
          </w:p>
        </w:tc>
        <w:tc>
          <w:tcPr>
            <w:tcW w:type="dxa" w:w="2592"/>
          </w:tcPr>
          <w:p>
            <w:pPr>
              <w:spacing w:line="240" w:lineRule="auto"/>
            </w:pPr>
            <w:r/>
            <w:r>
              <w:rPr>
                <w:rFonts w:ascii="Times New Roman" w:hAnsi="Times New Roman"/>
                <w:sz w:val="18"/>
              </w:rPr>
              <w:t>10.69</w:t>
            </w:r>
          </w:p>
        </w:tc>
        <w:tc>
          <w:tcPr>
            <w:tcW w:type="dxa" w:w="2592"/>
          </w:tcPr>
          <w:p>
            <w:pPr>
              <w:spacing w:line="240" w:lineRule="auto"/>
            </w:pPr>
            <w:r/>
            <w:r>
              <w:rPr>
                <w:rFonts w:ascii="Times New Roman" w:hAnsi="Times New Roman"/>
                <w:sz w:val="18"/>
              </w:rPr>
              <w:t>.345</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Standard errors are clustered by parent CIK. β, SE, CI and MDE are in percentage points. HC3 ignores within-cluster correlation and is disqualified as an inferential rung; it is shown because the analysis plan specified the full ladder, and its p must never be read as significance. CV3 uses the t distribution with G − 1 = 118 degrees of freedom. The wild cluster restricted bootstrap uses B = 99,999 for p and B = 9,999 for confidence-interval inversion; it yields no standard error. The 30-day logit failed to converge (35 iterations, ConvergenceWarning), so its average marginal effect is not reported; there was no separation and no dropped observation at any window. Panel C coefficients are descriptive: they are not hypothesis tests and are outside the 31-test ledger. Sources: outputs/essay3_q4/table07.csv; b_control_coefficients.csv; c_logit_diagnostics.csv; outputs/essay3_v4/f1_ladder.csv.</w:t>
      </w:r>
    </w:p>
    <w:p>
      <w:r>
        <w:br w:type="page"/>
      </w:r>
    </w:p>
    <w:p>
      <w:pPr>
        <w:spacing w:after="0" w:line="240" w:lineRule="auto"/>
      </w:pPr>
      <w:r>
        <w:rPr>
          <w:rFonts w:ascii="Times New Roman" w:hAnsi="Times New Roman"/>
          <w:b/>
          <w:i w:val="0"/>
          <w:sz w:val="24"/>
        </w:rPr>
        <w:t>Table 8</w:t>
      </w:r>
    </w:p>
    <w:p>
      <w:pPr>
        <w:spacing w:after="160" w:line="240" w:lineRule="auto"/>
      </w:pPr>
      <w:r>
        <w:rPr>
          <w:rFonts w:ascii="Times New Roman" w:hAnsi="Times New Roman"/>
          <w:b w:val="0"/>
          <w:i/>
          <w:sz w:val="24"/>
        </w:rPr>
        <w:t>Pre-Disclosure Placebo</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Estimator</w:t>
            </w:r>
          </w:p>
        </w:tc>
        <w:tc>
          <w:tcPr>
            <w:tcW w:type="dxa" w:w="2592"/>
          </w:tcPr>
          <w:p>
            <w:pPr>
              <w:spacing w:line="240" w:lineRule="auto"/>
            </w:pPr>
            <w:r/>
            <w:r>
              <w:rPr>
                <w:rFonts w:ascii="Times New Roman" w:hAnsi="Times New Roman"/>
                <w:b/>
                <w:sz w:val="18"/>
              </w:rPr>
              <w:t>β (pp) or rate (%)</w:t>
            </w:r>
          </w:p>
        </w:tc>
        <w:tc>
          <w:tcPr>
            <w:tcW w:type="dxa" w:w="2592"/>
          </w:tcPr>
          <w:p>
            <w:pPr>
              <w:spacing w:line="240" w:lineRule="auto"/>
            </w:pPr>
            <w:r/>
            <w:r>
              <w:rPr>
                <w:rFonts w:ascii="Times New Roman" w:hAnsi="Times New Roman"/>
                <w:b/>
                <w:sz w:val="18"/>
              </w:rPr>
              <w:t>SE (pp)</w:t>
            </w:r>
          </w:p>
        </w:tc>
        <w:tc>
          <w:tcPr>
            <w:tcW w:type="dxa" w:w="2592"/>
          </w:tcPr>
          <w:p>
            <w:pPr>
              <w:spacing w:line="240" w:lineRule="auto"/>
            </w:pPr>
            <w:r/>
            <w:r>
              <w:rPr>
                <w:rFonts w:ascii="Times New Roman" w:hAnsi="Times New Roman"/>
                <w:b/>
                <w:sz w:val="18"/>
              </w:rPr>
              <w:t>p</w:t>
            </w:r>
          </w:p>
        </w:tc>
        <w:tc>
          <w:tcPr>
            <w:tcW w:type="dxa" w:w="2592"/>
          </w:tcPr>
          <w:p>
            <w:pPr>
              <w:spacing w:line="240" w:lineRule="auto"/>
            </w:pPr>
            <w:r/>
            <w:r>
              <w:rPr>
                <w:rFonts w:ascii="Times New Roman" w:hAnsi="Times New Roman"/>
                <w:b/>
                <w:sz w:val="18"/>
              </w:rPr>
              <w:t>95% CI (pp) / n</w:t>
            </w:r>
          </w:p>
        </w:tc>
      </w:tr>
      <w:tr>
        <w:tc>
          <w:tcPr>
            <w:tcW w:type="dxa" w:w="2592"/>
          </w:tcPr>
          <w:p>
            <w:pPr>
              <w:spacing w:line="240" w:lineRule="auto"/>
            </w:pPr>
            <w:r/>
            <w:r>
              <w:rPr>
                <w:rFonts w:ascii="Times New Roman" w:hAnsi="Times New Roman"/>
                <w:sz w:val="18"/>
              </w:rPr>
              <w:t>HC3 (disqualified; reported per the analysis plan)</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5.60</w:t>
            </w:r>
          </w:p>
        </w:tc>
        <w:tc>
          <w:tcPr>
            <w:tcW w:type="dxa" w:w="2592"/>
          </w:tcPr>
          <w:p>
            <w:pPr>
              <w:spacing w:line="240" w:lineRule="auto"/>
            </w:pPr>
            <w:r/>
            <w:r>
              <w:rPr>
                <w:rFonts w:ascii="Times New Roman" w:hAnsi="Times New Roman"/>
                <w:sz w:val="18"/>
              </w:rPr>
              <w:t>.124</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CV1</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6.49</w:t>
            </w:r>
          </w:p>
        </w:tc>
        <w:tc>
          <w:tcPr>
            <w:tcW w:type="dxa" w:w="2592"/>
          </w:tcPr>
          <w:p>
            <w:pPr>
              <w:spacing w:line="240" w:lineRule="auto"/>
            </w:pPr>
            <w:r/>
            <w:r>
              <w:rPr>
                <w:rFonts w:ascii="Times New Roman" w:hAnsi="Times New Roman"/>
                <w:sz w:val="18"/>
              </w:rPr>
              <w:t>.187</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CV3</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8.49</w:t>
            </w:r>
          </w:p>
        </w:tc>
        <w:tc>
          <w:tcPr>
            <w:tcW w:type="dxa" w:w="2592"/>
          </w:tcPr>
          <w:p>
            <w:pPr>
              <w:spacing w:line="240" w:lineRule="auto"/>
            </w:pPr>
            <w:r/>
            <w:r>
              <w:rPr>
                <w:rFonts w:ascii="Times New Roman" w:hAnsi="Times New Roman"/>
                <w:sz w:val="18"/>
              </w:rPr>
              <w:t>.312</w:t>
            </w:r>
          </w:p>
        </w:tc>
        <w:tc>
          <w:tcPr>
            <w:tcW w:type="dxa" w:w="2592"/>
          </w:tcPr>
          <w:p>
            <w:pPr>
              <w:spacing w:line="240" w:lineRule="auto"/>
            </w:pPr>
            <w:r/>
            <w:r>
              <w:rPr>
                <w:rFonts w:ascii="Times New Roman" w:hAnsi="Times New Roman"/>
                <w:sz w:val="18"/>
              </w:rPr>
              <w:t>[−25.43, 8.18]</w:t>
            </w:r>
          </w:p>
        </w:tc>
      </w:tr>
      <w:tr>
        <w:tc>
          <w:tcPr>
            <w:tcW w:type="dxa" w:w="2592"/>
          </w:tcPr>
          <w:p>
            <w:pPr>
              <w:spacing w:line="240" w:lineRule="auto"/>
            </w:pPr>
            <w:r/>
            <w:r>
              <w:rPr>
                <w:rFonts w:ascii="Times New Roman" w:hAnsi="Times New Roman"/>
                <w:sz w:val="18"/>
              </w:rPr>
              <w:t>Wild cluster restricted bootstrap</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.231</w:t>
            </w:r>
          </w:p>
        </w:tc>
        <w:tc>
          <w:tcPr>
            <w:tcW w:type="dxa" w:w="2592"/>
          </w:tcPr>
          <w:p>
            <w:pPr>
              <w:spacing w:line="240" w:lineRule="auto"/>
            </w:pPr>
            <w:r/>
            <w:r>
              <w:rPr>
                <w:rFonts w:ascii="Times New Roman" w:hAnsi="Times New Roman"/>
                <w:sz w:val="18"/>
              </w:rPr>
              <w:t>[−23.24, 5.92]</w:t>
            </w:r>
          </w:p>
        </w:tc>
      </w:tr>
      <w:tr>
        <w:tc>
          <w:tcPr>
            <w:tcW w:type="dxa" w:w="2592"/>
          </w:tcPr>
          <w:p>
            <w:pPr>
              <w:spacing w:line="240" w:lineRule="auto"/>
            </w:pPr>
            <w:r/>
            <w:r>
              <w:rPr>
                <w:rFonts w:ascii="Times New Roman" w:hAnsi="Times New Roman"/>
                <w:sz w:val="18"/>
              </w:rPr>
              <w:t>Treated departure rate in the placebo window</w:t>
            </w:r>
          </w:p>
        </w:tc>
        <w:tc>
          <w:tcPr>
            <w:tcW w:type="dxa" w:w="2592"/>
          </w:tcPr>
          <w:p>
            <w:pPr>
              <w:spacing w:line="240" w:lineRule="auto"/>
            </w:pPr>
            <w:r/>
            <w:r>
              <w:rPr>
                <w:rFonts w:ascii="Times New Roman" w:hAnsi="Times New Roman"/>
                <w:sz w:val="18"/>
              </w:rPr>
              <w:t>22.9</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25 of 109 events</w:t>
            </w:r>
          </w:p>
        </w:tc>
      </w:tr>
      <w:tr>
        <w:tc>
          <w:tcPr>
            <w:tcW w:type="dxa" w:w="2592"/>
          </w:tcPr>
          <w:p>
            <w:pPr>
              <w:spacing w:line="240" w:lineRule="auto"/>
            </w:pPr>
            <w:r/>
            <w:r>
              <w:rPr>
                <w:rFonts w:ascii="Times New Roman" w:hAnsi="Times New Roman"/>
                <w:sz w:val="18"/>
              </w:rPr>
              <w:t>Control departure rate in the placebo window</w:t>
            </w:r>
          </w:p>
        </w:tc>
        <w:tc>
          <w:tcPr>
            <w:tcW w:type="dxa" w:w="2592"/>
          </w:tcPr>
          <w:p>
            <w:pPr>
              <w:spacing w:line="240" w:lineRule="auto"/>
            </w:pPr>
            <w:r/>
            <w:r>
              <w:rPr>
                <w:rFonts w:ascii="Times New Roman" w:hAnsi="Times New Roman"/>
                <w:sz w:val="18"/>
              </w:rPr>
              <w:t>23.6</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70 of 296 events</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The placebo outcome is an executive departure in (t0 − 180d, t0], the 180 days ending at notification. The interval is closed at t0, so a departure dated on the notification date falls in the placebo window and not in any outcome window. β, SE and CI are in percentage points. HC3 is disqualified as above. Sources: outputs/essay3_q4/table08.csv, from outputs/essay3_v4/f4_placebo.csv.</w:t>
      </w:r>
    </w:p>
    <w:p>
      <w:pPr>
        <w:sectPr>
          <w:pgSz w:w="15840" w:h="122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9</w:t>
      </w:r>
    </w:p>
    <w:p>
      <w:pPr>
        <w:spacing w:after="160" w:line="240" w:lineRule="auto"/>
      </w:pPr>
      <w:r>
        <w:rPr>
          <w:rFonts w:ascii="Times New Roman" w:hAnsi="Times New Roman"/>
          <w:b w:val="0"/>
          <w:i/>
          <w:sz w:val="24"/>
        </w:rPr>
        <w:t>Sensitivity Analyses</w:t>
      </w:r>
    </w:p>
    <w:p>
      <w:pPr>
        <w:spacing w:after="80" w:line="240" w:lineRule="auto"/>
      </w:pPr>
      <w:r>
        <w:rPr>
          <w:rFonts w:ascii="Times New Roman" w:hAnsi="Times New Roman"/>
          <w:b/>
          <w:i w:val="0"/>
          <w:sz w:val="22"/>
        </w:rPr>
        <w:t>Panel A: All 27 sensitivity specifications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rFonts w:ascii="Times New Roman" w:hAnsi="Times New Roman"/>
                <w:b/>
                <w:sz w:val="18"/>
              </w:rPr>
              <w:t>Sensitivity</w:t>
            </w:r>
          </w:p>
        </w:tc>
        <w:tc>
          <w:tcPr>
            <w:tcW w:type="dxa" w:w="1170"/>
          </w:tcPr>
          <w:p>
            <w:pPr>
              <w:spacing w:line="240" w:lineRule="auto"/>
            </w:pPr>
            <w:r/>
            <w:r>
              <w:rPr>
                <w:rFonts w:ascii="Times New Roman" w:hAnsi="Times New Roman"/>
                <w:b/>
                <w:sz w:val="18"/>
              </w:rPr>
              <w:t>Window (days)</w:t>
            </w:r>
          </w:p>
        </w:tc>
        <w:tc>
          <w:tcPr>
            <w:tcW w:type="dxa" w:w="1170"/>
          </w:tcPr>
          <w:p>
            <w:pPr>
              <w:spacing w:line="240" w:lineRule="auto"/>
            </w:pPr>
            <w:r/>
            <w:r>
              <w:rPr>
                <w:rFonts w:ascii="Times New Roman" w:hAnsi="Times New Roman"/>
                <w:b/>
                <w:sz w:val="18"/>
              </w:rPr>
              <w:t>β (pp)</w:t>
            </w:r>
          </w:p>
        </w:tc>
        <w:tc>
          <w:tcPr>
            <w:tcW w:type="dxa" w:w="1170"/>
          </w:tcPr>
          <w:p>
            <w:pPr>
              <w:spacing w:line="240" w:lineRule="auto"/>
            </w:pPr>
            <w:r/>
            <w:r>
              <w:rPr>
                <w:rFonts w:ascii="Times New Roman" w:hAnsi="Times New Roman"/>
                <w:b/>
                <w:sz w:val="18"/>
              </w:rPr>
              <w:t>CV3 SE (pp)</w:t>
            </w:r>
          </w:p>
        </w:tc>
        <w:tc>
          <w:tcPr>
            <w:tcW w:type="dxa" w:w="1170"/>
          </w:tcPr>
          <w:p>
            <w:pPr>
              <w:spacing w:line="240" w:lineRule="auto"/>
            </w:pPr>
            <w:r/>
            <w:r>
              <w:rPr>
                <w:rFonts w:ascii="Times New Roman" w:hAnsi="Times New Roman"/>
                <w:b/>
                <w:sz w:val="18"/>
              </w:rPr>
              <w:t>CV3 p</w:t>
            </w:r>
          </w:p>
        </w:tc>
        <w:tc>
          <w:tcPr>
            <w:tcW w:type="dxa" w:w="1170"/>
          </w:tcPr>
          <w:p>
            <w:pPr>
              <w:spacing w:line="240" w:lineRule="auto"/>
            </w:pPr>
            <w:r/>
            <w:r>
              <w:rPr>
                <w:rFonts w:ascii="Times New Roman" w:hAnsi="Times New Roman"/>
                <w:b/>
                <w:sz w:val="18"/>
              </w:rPr>
              <w:t>Bootstrap p</w:t>
            </w:r>
          </w:p>
        </w:tc>
        <w:tc>
          <w:tcPr>
            <w:tcW w:type="dxa" w:w="1170"/>
          </w:tcPr>
          <w:p>
            <w:pPr>
              <w:spacing w:line="240" w:lineRule="auto"/>
            </w:pPr>
            <w:r/>
            <w:r>
              <w:rPr>
                <w:rFonts w:ascii="Times New Roman" w:hAnsi="Times New Roman"/>
                <w:b/>
                <w:sz w:val="18"/>
              </w:rPr>
              <w:t>BH-adjusted p</w:t>
            </w:r>
          </w:p>
        </w:tc>
        <w:tc>
          <w:tcPr>
            <w:tcW w:type="dxa" w:w="1170"/>
          </w:tcPr>
          <w:p>
            <w:pPr>
              <w:spacing w:line="240" w:lineRule="auto"/>
            </w:pPr>
            <w:r/>
            <w:r>
              <w:rPr>
                <w:rFonts w:ascii="Times New Roman" w:hAnsi="Times New Roman"/>
                <w:b/>
                <w:sz w:val="18"/>
              </w:rPr>
              <w:t>N</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0.78</w:t>
            </w:r>
          </w:p>
        </w:tc>
        <w:tc>
          <w:tcPr>
            <w:tcW w:type="dxa" w:w="1170"/>
          </w:tcPr>
          <w:p>
            <w:pPr>
              <w:spacing w:line="240" w:lineRule="auto"/>
            </w:pPr>
            <w:r/>
            <w:r>
              <w:rPr>
                <w:rFonts w:ascii="Times New Roman" w:hAnsi="Times New Roman"/>
                <w:sz w:val="18"/>
              </w:rPr>
              <w:t>3.02</w:t>
            </w:r>
          </w:p>
        </w:tc>
        <w:tc>
          <w:tcPr>
            <w:tcW w:type="dxa" w:w="1170"/>
          </w:tcPr>
          <w:p>
            <w:pPr>
              <w:spacing w:line="240" w:lineRule="auto"/>
            </w:pPr>
            <w:r/>
            <w:r>
              <w:rPr>
                <w:rFonts w:ascii="Times New Roman" w:hAnsi="Times New Roman"/>
                <w:sz w:val="18"/>
              </w:rPr>
              <w:t>.796</w:t>
            </w:r>
          </w:p>
        </w:tc>
        <w:tc>
          <w:tcPr>
            <w:tcW w:type="dxa" w:w="1170"/>
          </w:tcPr>
          <w:p>
            <w:pPr>
              <w:spacing w:line="240" w:lineRule="auto"/>
            </w:pPr>
            <w:r/>
            <w:r>
              <w:rPr>
                <w:rFonts w:ascii="Times New Roman" w:hAnsi="Times New Roman"/>
                <w:sz w:val="18"/>
              </w:rPr>
              <w:t>.744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−1.65</w:t>
            </w:r>
          </w:p>
        </w:tc>
        <w:tc>
          <w:tcPr>
            <w:tcW w:type="dxa" w:w="1170"/>
          </w:tcPr>
          <w:p>
            <w:pPr>
              <w:spacing w:line="240" w:lineRule="auto"/>
            </w:pPr>
            <w:r/>
            <w:r>
              <w:rPr>
                <w:rFonts w:ascii="Times New Roman" w:hAnsi="Times New Roman"/>
                <w:sz w:val="18"/>
              </w:rPr>
              <w:t>7.05</w:t>
            </w:r>
          </w:p>
        </w:tc>
        <w:tc>
          <w:tcPr>
            <w:tcW w:type="dxa" w:w="1170"/>
          </w:tcPr>
          <w:p>
            <w:pPr>
              <w:spacing w:line="240" w:lineRule="auto"/>
            </w:pPr>
            <w:r/>
            <w:r>
              <w:rPr>
                <w:rFonts w:ascii="Times New Roman" w:hAnsi="Times New Roman"/>
                <w:sz w:val="18"/>
              </w:rPr>
              <w:t>.815</w:t>
            </w:r>
          </w:p>
        </w:tc>
        <w:tc>
          <w:tcPr>
            <w:tcW w:type="dxa" w:w="1170"/>
          </w:tcPr>
          <w:p>
            <w:pPr>
              <w:spacing w:line="240" w:lineRule="auto"/>
            </w:pPr>
            <w:r/>
            <w:r>
              <w:rPr>
                <w:rFonts w:ascii="Times New Roman" w:hAnsi="Times New Roman"/>
                <w:sz w:val="18"/>
              </w:rPr>
              <w:t>.750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5.57</w:t>
            </w:r>
          </w:p>
        </w:tc>
        <w:tc>
          <w:tcPr>
            <w:tcW w:type="dxa" w:w="1170"/>
          </w:tcPr>
          <w:p>
            <w:pPr>
              <w:spacing w:line="240" w:lineRule="auto"/>
            </w:pPr>
            <w:r/>
            <w:r>
              <w:rPr>
                <w:rFonts w:ascii="Times New Roman" w:hAnsi="Times New Roman"/>
                <w:sz w:val="18"/>
              </w:rPr>
              <w:t>8.61</w:t>
            </w:r>
          </w:p>
        </w:tc>
        <w:tc>
          <w:tcPr>
            <w:tcW w:type="dxa" w:w="1170"/>
          </w:tcPr>
          <w:p>
            <w:pPr>
              <w:spacing w:line="240" w:lineRule="auto"/>
            </w:pPr>
            <w:r/>
            <w:r>
              <w:rPr>
                <w:rFonts w:ascii="Times New Roman" w:hAnsi="Times New Roman"/>
                <w:sz w:val="18"/>
              </w:rPr>
              <w:t>.519</w:t>
            </w:r>
          </w:p>
        </w:tc>
        <w:tc>
          <w:tcPr>
            <w:tcW w:type="dxa" w:w="1170"/>
          </w:tcPr>
          <w:p>
            <w:pPr>
              <w:spacing w:line="240" w:lineRule="auto"/>
            </w:pPr>
            <w:r/>
            <w:r>
              <w:rPr>
                <w:rFonts w:ascii="Times New Roman" w:hAnsi="Times New Roman"/>
                <w:sz w:val="18"/>
              </w:rPr>
              <w:t>.461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3.41</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.155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4.17</w:t>
            </w:r>
          </w:p>
        </w:tc>
        <w:tc>
          <w:tcPr>
            <w:tcW w:type="dxa" w:w="1170"/>
          </w:tcPr>
          <w:p>
            <w:pPr>
              <w:spacing w:line="240" w:lineRule="auto"/>
            </w:pPr>
            <w:r/>
            <w:r>
              <w:rPr>
                <w:rFonts w:ascii="Times New Roman" w:hAnsi="Times New Roman"/>
                <w:sz w:val="18"/>
              </w:rPr>
              <w:t>7.88</w:t>
            </w:r>
          </w:p>
        </w:tc>
        <w:tc>
          <w:tcPr>
            <w:tcW w:type="dxa" w:w="1170"/>
          </w:tcPr>
          <w:p>
            <w:pPr>
              <w:spacing w:line="240" w:lineRule="auto"/>
            </w:pPr>
            <w:r/>
            <w:r>
              <w:rPr>
                <w:rFonts w:ascii="Times New Roman" w:hAnsi="Times New Roman"/>
                <w:sz w:val="18"/>
              </w:rPr>
              <w:t>.597</w:t>
            </w:r>
          </w:p>
        </w:tc>
        <w:tc>
          <w:tcPr>
            <w:tcW w:type="dxa" w:w="1170"/>
          </w:tcPr>
          <w:p>
            <w:pPr>
              <w:spacing w:line="240" w:lineRule="auto"/>
            </w:pPr>
            <w:r/>
            <w:r>
              <w:rPr>
                <w:rFonts w:ascii="Times New Roman" w:hAnsi="Times New Roman"/>
                <w:sz w:val="18"/>
              </w:rPr>
              <w:t>.484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11.09</w:t>
            </w:r>
          </w:p>
        </w:tc>
        <w:tc>
          <w:tcPr>
            <w:tcW w:type="dxa" w:w="1170"/>
          </w:tcPr>
          <w:p>
            <w:pPr>
              <w:spacing w:line="240" w:lineRule="auto"/>
            </w:pPr>
            <w:r/>
            <w:r>
              <w:rPr>
                <w:rFonts w:ascii="Times New Roman" w:hAnsi="Times New Roman"/>
                <w:sz w:val="18"/>
              </w:rPr>
              <w:t>13.89</w:t>
            </w:r>
          </w:p>
        </w:tc>
        <w:tc>
          <w:tcPr>
            <w:tcW w:type="dxa" w:w="1170"/>
          </w:tcPr>
          <w:p>
            <w:pPr>
              <w:spacing w:line="240" w:lineRule="auto"/>
            </w:pPr>
            <w:r/>
            <w:r>
              <w:rPr>
                <w:rFonts w:ascii="Times New Roman" w:hAnsi="Times New Roman"/>
                <w:sz w:val="18"/>
              </w:rPr>
              <w:t>.426</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−2.08</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.600</w:t>
            </w:r>
          </w:p>
        </w:tc>
        <w:tc>
          <w:tcPr>
            <w:tcW w:type="dxa" w:w="1170"/>
          </w:tcPr>
          <w:p>
            <w:pPr>
              <w:spacing w:line="240" w:lineRule="auto"/>
            </w:pPr>
            <w:r/>
            <w:r>
              <w:rPr>
                <w:rFonts w:ascii="Times New Roman" w:hAnsi="Times New Roman"/>
                <w:sz w:val="18"/>
              </w:rPr>
              <w:t>.554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−7.17</w:t>
            </w:r>
          </w:p>
        </w:tc>
        <w:tc>
          <w:tcPr>
            <w:tcW w:type="dxa" w:w="1170"/>
          </w:tcPr>
          <w:p>
            <w:pPr>
              <w:spacing w:line="240" w:lineRule="auto"/>
            </w:pPr>
            <w:r/>
            <w:r>
              <w:rPr>
                <w:rFonts w:ascii="Times New Roman" w:hAnsi="Times New Roman"/>
                <w:sz w:val="18"/>
              </w:rPr>
              <w:t>6.79</w:t>
            </w:r>
          </w:p>
        </w:tc>
        <w:tc>
          <w:tcPr>
            <w:tcW w:type="dxa" w:w="1170"/>
          </w:tcPr>
          <w:p>
            <w:pPr>
              <w:spacing w:line="240" w:lineRule="auto"/>
            </w:pPr>
            <w:r/>
            <w:r>
              <w:rPr>
                <w:rFonts w:ascii="Times New Roman" w:hAnsi="Times New Roman"/>
                <w:sz w:val="18"/>
              </w:rPr>
              <w:t>.293</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−5.06</w:t>
            </w:r>
          </w:p>
        </w:tc>
        <w:tc>
          <w:tcPr>
            <w:tcW w:type="dxa" w:w="1170"/>
          </w:tcPr>
          <w:p>
            <w:pPr>
              <w:spacing w:line="240" w:lineRule="auto"/>
            </w:pPr>
            <w:r/>
            <w:r>
              <w:rPr>
                <w:rFonts w:ascii="Times New Roman" w:hAnsi="Times New Roman"/>
                <w:sz w:val="18"/>
              </w:rPr>
              <w:t>10.58</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.592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1.71</w:t>
            </w:r>
          </w:p>
        </w:tc>
        <w:tc>
          <w:tcPr>
            <w:tcW w:type="dxa" w:w="1170"/>
          </w:tcPr>
          <w:p>
            <w:pPr>
              <w:spacing w:line="240" w:lineRule="auto"/>
            </w:pPr>
            <w:r/>
            <w:r>
              <w:rPr>
                <w:rFonts w:ascii="Times New Roman" w:hAnsi="Times New Roman"/>
                <w:sz w:val="18"/>
              </w:rPr>
              <w:t>3.03</w:t>
            </w:r>
          </w:p>
        </w:tc>
        <w:tc>
          <w:tcPr>
            <w:tcW w:type="dxa" w:w="1170"/>
          </w:tcPr>
          <w:p>
            <w:pPr>
              <w:spacing w:line="240" w:lineRule="auto"/>
            </w:pPr>
            <w:r/>
            <w:r>
              <w:rPr>
                <w:rFonts w:ascii="Times New Roman" w:hAnsi="Times New Roman"/>
                <w:sz w:val="18"/>
              </w:rPr>
              <w:t>.572</w:t>
            </w:r>
          </w:p>
        </w:tc>
        <w:tc>
          <w:tcPr>
            <w:tcW w:type="dxa" w:w="1170"/>
          </w:tcPr>
          <w:p>
            <w:pPr>
              <w:spacing w:line="240" w:lineRule="auto"/>
            </w:pPr>
            <w:r/>
            <w:r>
              <w:rPr>
                <w:rFonts w:ascii="Times New Roman" w:hAnsi="Times New Roman"/>
                <w:sz w:val="18"/>
              </w:rPr>
              <w:t>.527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−0.46</w:t>
            </w:r>
          </w:p>
        </w:tc>
        <w:tc>
          <w:tcPr>
            <w:tcW w:type="dxa" w:w="1170"/>
          </w:tcPr>
          <w:p>
            <w:pPr>
              <w:spacing w:line="240" w:lineRule="auto"/>
            </w:pPr>
            <w:r/>
            <w:r>
              <w:rPr>
                <w:rFonts w:ascii="Times New Roman" w:hAnsi="Times New Roman"/>
                <w:sz w:val="18"/>
              </w:rPr>
              <w:t>6.67</w:t>
            </w:r>
          </w:p>
        </w:tc>
        <w:tc>
          <w:tcPr>
            <w:tcW w:type="dxa" w:w="1170"/>
          </w:tcPr>
          <w:p>
            <w:pPr>
              <w:spacing w:line="240" w:lineRule="auto"/>
            </w:pPr>
            <w:r/>
            <w:r>
              <w:rPr>
                <w:rFonts w:ascii="Times New Roman" w:hAnsi="Times New Roman"/>
                <w:sz w:val="18"/>
              </w:rPr>
              <w:t>.945</w:t>
            </w:r>
          </w:p>
        </w:tc>
        <w:tc>
          <w:tcPr>
            <w:tcW w:type="dxa" w:w="1170"/>
          </w:tcPr>
          <w:p>
            <w:pPr>
              <w:spacing w:line="240" w:lineRule="auto"/>
            </w:pPr>
            <w:r/>
            <w:r>
              <w:rPr>
                <w:rFonts w:ascii="Times New Roman" w:hAnsi="Times New Roman"/>
                <w:sz w:val="18"/>
              </w:rPr>
              <w:t>.929</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5.64</w:t>
            </w:r>
          </w:p>
        </w:tc>
        <w:tc>
          <w:tcPr>
            <w:tcW w:type="dxa" w:w="1170"/>
          </w:tcPr>
          <w:p>
            <w:pPr>
              <w:spacing w:line="240" w:lineRule="auto"/>
            </w:pPr>
            <w:r/>
            <w:r>
              <w:rPr>
                <w:rFonts w:ascii="Times New Roman" w:hAnsi="Times New Roman"/>
                <w:sz w:val="18"/>
              </w:rPr>
              <w:t>10.04</w:t>
            </w:r>
          </w:p>
        </w:tc>
        <w:tc>
          <w:tcPr>
            <w:tcW w:type="dxa" w:w="1170"/>
          </w:tcPr>
          <w:p>
            <w:pPr>
              <w:spacing w:line="240" w:lineRule="auto"/>
            </w:pPr>
            <w:r/>
            <w:r>
              <w:rPr>
                <w:rFonts w:ascii="Times New Roman" w:hAnsi="Times New Roman"/>
                <w:sz w:val="18"/>
              </w:rPr>
              <w:t>.576</w:t>
            </w:r>
          </w:p>
        </w:tc>
        <w:tc>
          <w:tcPr>
            <w:tcW w:type="dxa" w:w="1170"/>
          </w:tcPr>
          <w:p>
            <w:pPr>
              <w:spacing w:line="240" w:lineRule="auto"/>
            </w:pPr>
            <w:r/>
            <w:r>
              <w:rPr>
                <w:rFonts w:ascii="Times New Roman" w:hAnsi="Times New Roman"/>
                <w:sz w:val="18"/>
              </w:rPr>
              <w:t>.545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0.38</w:t>
            </w:r>
          </w:p>
        </w:tc>
        <w:tc>
          <w:tcPr>
            <w:tcW w:type="dxa" w:w="1170"/>
          </w:tcPr>
          <w:p>
            <w:pPr>
              <w:spacing w:line="240" w:lineRule="auto"/>
            </w:pPr>
            <w:r/>
            <w:r>
              <w:rPr>
                <w:rFonts w:ascii="Times New Roman" w:hAnsi="Times New Roman"/>
                <w:sz w:val="18"/>
              </w:rPr>
              <w:t>3.17</w:t>
            </w:r>
          </w:p>
        </w:tc>
        <w:tc>
          <w:tcPr>
            <w:tcW w:type="dxa" w:w="1170"/>
          </w:tcPr>
          <w:p>
            <w:pPr>
              <w:spacing w:line="240" w:lineRule="auto"/>
            </w:pPr>
            <w:r/>
            <w:r>
              <w:rPr>
                <w:rFonts w:ascii="Times New Roman" w:hAnsi="Times New Roman"/>
                <w:sz w:val="18"/>
              </w:rPr>
              <w:t>.905</w:t>
            </w:r>
          </w:p>
        </w:tc>
        <w:tc>
          <w:tcPr>
            <w:tcW w:type="dxa" w:w="1170"/>
          </w:tcPr>
          <w:p>
            <w:pPr>
              <w:spacing w:line="240" w:lineRule="auto"/>
            </w:pPr>
            <w:r/>
            <w:r>
              <w:rPr>
                <w:rFonts w:ascii="Times New Roman" w:hAnsi="Times New Roman"/>
                <w:sz w:val="18"/>
              </w:rPr>
              <w:t>.893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−3.70</w:t>
            </w:r>
          </w:p>
        </w:tc>
        <w:tc>
          <w:tcPr>
            <w:tcW w:type="dxa" w:w="1170"/>
          </w:tcPr>
          <w:p>
            <w:pPr>
              <w:spacing w:line="240" w:lineRule="auto"/>
            </w:pPr>
            <w:r/>
            <w:r>
              <w:rPr>
                <w:rFonts w:ascii="Times New Roman" w:hAnsi="Times New Roman"/>
                <w:sz w:val="18"/>
              </w:rPr>
              <w:t>8.00</w:t>
            </w:r>
          </w:p>
        </w:tc>
        <w:tc>
          <w:tcPr>
            <w:tcW w:type="dxa" w:w="1170"/>
          </w:tcPr>
          <w:p>
            <w:pPr>
              <w:spacing w:line="240" w:lineRule="auto"/>
            </w:pPr>
            <w:r/>
            <w:r>
              <w:rPr>
                <w:rFonts w:ascii="Times New Roman" w:hAnsi="Times New Roman"/>
                <w:sz w:val="18"/>
              </w:rPr>
              <w:t>.645</w:t>
            </w:r>
          </w:p>
        </w:tc>
        <w:tc>
          <w:tcPr>
            <w:tcW w:type="dxa" w:w="1170"/>
          </w:tcPr>
          <w:p>
            <w:pPr>
              <w:spacing w:line="240" w:lineRule="auto"/>
            </w:pPr>
            <w:r/>
            <w:r>
              <w:rPr>
                <w:rFonts w:ascii="Times New Roman" w:hAnsi="Times New Roman"/>
                <w:sz w:val="18"/>
              </w:rPr>
              <w:t>.605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2.26</w:t>
            </w:r>
          </w:p>
        </w:tc>
        <w:tc>
          <w:tcPr>
            <w:tcW w:type="dxa" w:w="1170"/>
          </w:tcPr>
          <w:p>
            <w:pPr>
              <w:spacing w:line="240" w:lineRule="auto"/>
            </w:pPr>
            <w:r/>
            <w:r>
              <w:rPr>
                <w:rFonts w:ascii="Times New Roman" w:hAnsi="Times New Roman"/>
                <w:sz w:val="18"/>
              </w:rPr>
              <w:t>9.75</w:t>
            </w:r>
          </w:p>
        </w:tc>
        <w:tc>
          <w:tcPr>
            <w:tcW w:type="dxa" w:w="1170"/>
          </w:tcPr>
          <w:p>
            <w:pPr>
              <w:spacing w:line="240" w:lineRule="auto"/>
            </w:pPr>
            <w:r/>
            <w:r>
              <w:rPr>
                <w:rFonts w:ascii="Times New Roman" w:hAnsi="Times New Roman"/>
                <w:sz w:val="18"/>
              </w:rPr>
              <w:t>.817</w:t>
            </w:r>
          </w:p>
        </w:tc>
        <w:tc>
          <w:tcPr>
            <w:tcW w:type="dxa" w:w="1170"/>
          </w:tcPr>
          <w:p>
            <w:pPr>
              <w:spacing w:line="240" w:lineRule="auto"/>
            </w:pPr>
            <w:r/>
            <w:r>
              <w:rPr>
                <w:rFonts w:ascii="Times New Roman" w:hAnsi="Times New Roman"/>
                <w:sz w:val="18"/>
              </w:rPr>
              <w:t>.801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3.42</w:t>
            </w:r>
          </w:p>
        </w:tc>
        <w:tc>
          <w:tcPr>
            <w:tcW w:type="dxa" w:w="1170"/>
          </w:tcPr>
          <w:p>
            <w:pPr>
              <w:spacing w:line="240" w:lineRule="auto"/>
            </w:pPr>
            <w:r/>
            <w:r>
              <w:rPr>
                <w:rFonts w:ascii="Times New Roman" w:hAnsi="Times New Roman"/>
                <w:sz w:val="18"/>
              </w:rPr>
              <w:t>5.89</w:t>
            </w:r>
          </w:p>
        </w:tc>
        <w:tc>
          <w:tcPr>
            <w:tcW w:type="dxa" w:w="1170"/>
          </w:tcPr>
          <w:p>
            <w:pPr>
              <w:spacing w:line="240" w:lineRule="auto"/>
            </w:pPr>
            <w:r/>
            <w:r>
              <w:rPr>
                <w:rFonts w:ascii="Times New Roman" w:hAnsi="Times New Roman"/>
                <w:sz w:val="18"/>
              </w:rPr>
              <w:t>.562</w:t>
            </w:r>
          </w:p>
        </w:tc>
        <w:tc>
          <w:tcPr>
            <w:tcW w:type="dxa" w:w="1170"/>
          </w:tcPr>
          <w:p>
            <w:pPr>
              <w:spacing w:line="240" w:lineRule="auto"/>
            </w:pPr>
            <w:r/>
            <w:r>
              <w:rPr>
                <w:rFonts w:ascii="Times New Roman" w:hAnsi="Times New Roman"/>
                <w:sz w:val="18"/>
              </w:rPr>
              <w:t>.666</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−1.07</w:t>
            </w:r>
          </w:p>
        </w:tc>
        <w:tc>
          <w:tcPr>
            <w:tcW w:type="dxa" w:w="1170"/>
          </w:tcPr>
          <w:p>
            <w:pPr>
              <w:spacing w:line="240" w:lineRule="auto"/>
            </w:pPr>
            <w:r/>
            <w:r>
              <w:rPr>
                <w:rFonts w:ascii="Times New Roman" w:hAnsi="Times New Roman"/>
                <w:sz w:val="18"/>
              </w:rPr>
              <w:t>9.66</w:t>
            </w:r>
          </w:p>
        </w:tc>
        <w:tc>
          <w:tcPr>
            <w:tcW w:type="dxa" w:w="1170"/>
          </w:tcPr>
          <w:p>
            <w:pPr>
              <w:spacing w:line="240" w:lineRule="auto"/>
            </w:pPr>
            <w:r/>
            <w:r>
              <w:rPr>
                <w:rFonts w:ascii="Times New Roman" w:hAnsi="Times New Roman"/>
                <w:sz w:val="18"/>
              </w:rPr>
              <w:t>.912</w:t>
            </w:r>
          </w:p>
        </w:tc>
        <w:tc>
          <w:tcPr>
            <w:tcW w:type="dxa" w:w="1170"/>
          </w:tcPr>
          <w:p>
            <w:pPr>
              <w:spacing w:line="240" w:lineRule="auto"/>
            </w:pPr>
            <w:r/>
            <w:r>
              <w:rPr>
                <w:rFonts w:ascii="Times New Roman" w:hAnsi="Times New Roman"/>
                <w:sz w:val="18"/>
              </w:rPr>
              <w:t>.894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0.30</w:t>
            </w:r>
          </w:p>
        </w:tc>
        <w:tc>
          <w:tcPr>
            <w:tcW w:type="dxa" w:w="1170"/>
          </w:tcPr>
          <w:p>
            <w:pPr>
              <w:spacing w:line="240" w:lineRule="auto"/>
            </w:pPr>
            <w:r/>
            <w:r>
              <w:rPr>
                <w:rFonts w:ascii="Times New Roman" w:hAnsi="Times New Roman"/>
                <w:sz w:val="18"/>
              </w:rPr>
              <w:t>14.80</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0.07</w:t>
            </w:r>
          </w:p>
        </w:tc>
        <w:tc>
          <w:tcPr>
            <w:tcW w:type="dxa" w:w="1170"/>
          </w:tcPr>
          <w:p>
            <w:pPr>
              <w:spacing w:line="240" w:lineRule="auto"/>
            </w:pPr>
            <w:r/>
            <w:r>
              <w:rPr>
                <w:rFonts w:ascii="Times New Roman" w:hAnsi="Times New Roman"/>
                <w:sz w:val="18"/>
              </w:rPr>
              <w:t>4.30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−6.82</w:t>
            </w:r>
          </w:p>
        </w:tc>
        <w:tc>
          <w:tcPr>
            <w:tcW w:type="dxa" w:w="1170"/>
          </w:tcPr>
          <w:p>
            <w:pPr>
              <w:spacing w:line="240" w:lineRule="auto"/>
            </w:pPr>
            <w:r/>
            <w:r>
              <w:rPr>
                <w:rFonts w:ascii="Times New Roman" w:hAnsi="Times New Roman"/>
                <w:sz w:val="18"/>
              </w:rPr>
              <w:t>10.34</w:t>
            </w:r>
          </w:p>
        </w:tc>
        <w:tc>
          <w:tcPr>
            <w:tcW w:type="dxa" w:w="1170"/>
          </w:tcPr>
          <w:p>
            <w:pPr>
              <w:spacing w:line="240" w:lineRule="auto"/>
            </w:pPr>
            <w:r/>
            <w:r>
              <w:rPr>
                <w:rFonts w:ascii="Times New Roman" w:hAnsi="Times New Roman"/>
                <w:sz w:val="18"/>
              </w:rPr>
              <w:t>.511</w:t>
            </w:r>
          </w:p>
        </w:tc>
        <w:tc>
          <w:tcPr>
            <w:tcW w:type="dxa" w:w="1170"/>
          </w:tcPr>
          <w:p>
            <w:pPr>
              <w:spacing w:line="240" w:lineRule="auto"/>
            </w:pPr>
            <w:r/>
            <w:r>
              <w:rPr>
                <w:rFonts w:ascii="Times New Roman" w:hAnsi="Times New Roman"/>
                <w:sz w:val="18"/>
              </w:rPr>
              <w:t>.404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−1.03</w:t>
            </w:r>
          </w:p>
        </w:tc>
        <w:tc>
          <w:tcPr>
            <w:tcW w:type="dxa" w:w="1170"/>
          </w:tcPr>
          <w:p>
            <w:pPr>
              <w:spacing w:line="240" w:lineRule="auto"/>
            </w:pPr>
            <w:r/>
            <w:r>
              <w:rPr>
                <w:rFonts w:ascii="Times New Roman" w:hAnsi="Times New Roman"/>
                <w:sz w:val="18"/>
              </w:rPr>
              <w:t>12.49</w:t>
            </w:r>
          </w:p>
        </w:tc>
        <w:tc>
          <w:tcPr>
            <w:tcW w:type="dxa" w:w="1170"/>
          </w:tcPr>
          <w:p>
            <w:pPr>
              <w:spacing w:line="240" w:lineRule="auto"/>
            </w:pPr>
            <w:r/>
            <w:r>
              <w:rPr>
                <w:rFonts w:ascii="Times New Roman" w:hAnsi="Times New Roman"/>
                <w:sz w:val="18"/>
              </w:rPr>
              <w:t>.935</w:t>
            </w:r>
          </w:p>
        </w:tc>
        <w:tc>
          <w:tcPr>
            <w:tcW w:type="dxa" w:w="1170"/>
          </w:tcPr>
          <w:p>
            <w:pPr>
              <w:spacing w:line="240" w:lineRule="auto"/>
            </w:pPr>
            <w:r/>
            <w:r>
              <w:rPr>
                <w:rFonts w:ascii="Times New Roman" w:hAnsi="Times New Roman"/>
                <w:sz w:val="18"/>
              </w:rPr>
              <w:t>.927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4.37</w:t>
            </w:r>
          </w:p>
        </w:tc>
        <w:tc>
          <w:tcPr>
            <w:tcW w:type="dxa" w:w="1170"/>
          </w:tcPr>
          <w:p>
            <w:pPr>
              <w:spacing w:line="240" w:lineRule="auto"/>
            </w:pPr>
            <w:r/>
            <w:r>
              <w:rPr>
                <w:rFonts w:ascii="Times New Roman" w:hAnsi="Times New Roman"/>
                <w:sz w:val="18"/>
              </w:rPr>
              <w:t>.613</w:t>
            </w:r>
          </w:p>
        </w:tc>
        <w:tc>
          <w:tcPr>
            <w:tcW w:type="dxa" w:w="1170"/>
          </w:tcPr>
          <w:p>
            <w:pPr>
              <w:spacing w:line="240" w:lineRule="auto"/>
            </w:pPr>
            <w:r/>
            <w:r>
              <w:rPr>
                <w:rFonts w:ascii="Times New Roman" w:hAnsi="Times New Roman"/>
                <w:sz w:val="18"/>
              </w:rPr>
              <w:t>.574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6.11</w:t>
            </w:r>
          </w:p>
        </w:tc>
        <w:tc>
          <w:tcPr>
            <w:tcW w:type="dxa" w:w="1170"/>
          </w:tcPr>
          <w:p>
            <w:pPr>
              <w:spacing w:line="240" w:lineRule="auto"/>
            </w:pPr>
            <w:r/>
            <w:r>
              <w:rPr>
                <w:rFonts w:ascii="Times New Roman" w:hAnsi="Times New Roman"/>
                <w:sz w:val="18"/>
              </w:rPr>
              <w:t>.685</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0.96</w:t>
            </w:r>
          </w:p>
        </w:tc>
        <w:tc>
          <w:tcPr>
            <w:tcW w:type="dxa" w:w="1170"/>
          </w:tcPr>
          <w:p>
            <w:pPr>
              <w:spacing w:line="240" w:lineRule="auto"/>
            </w:pPr>
            <w:r/>
            <w:r>
              <w:rPr>
                <w:rFonts w:ascii="Times New Roman" w:hAnsi="Times New Roman"/>
                <w:sz w:val="18"/>
              </w:rPr>
              <w:t>9.61</w:t>
            </w:r>
          </w:p>
        </w:tc>
        <w:tc>
          <w:tcPr>
            <w:tcW w:type="dxa" w:w="1170"/>
          </w:tcPr>
          <w:p>
            <w:pPr>
              <w:spacing w:line="240" w:lineRule="auto"/>
            </w:pPr>
            <w:r/>
            <w:r>
              <w:rPr>
                <w:rFonts w:ascii="Times New Roman" w:hAnsi="Times New Roman"/>
                <w:sz w:val="18"/>
              </w:rPr>
              <w:t>.921</w:t>
            </w:r>
          </w:p>
        </w:tc>
        <w:tc>
          <w:tcPr>
            <w:tcW w:type="dxa" w:w="1170"/>
          </w:tcPr>
          <w:p>
            <w:pPr>
              <w:spacing w:line="240" w:lineRule="auto"/>
            </w:pPr>
            <w:r/>
            <w:r>
              <w:rPr>
                <w:rFonts w:ascii="Times New Roman" w:hAnsi="Times New Roman"/>
                <w:sz w:val="18"/>
              </w:rPr>
              <w:t>.902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−18.54</w:t>
            </w:r>
          </w:p>
        </w:tc>
        <w:tc>
          <w:tcPr>
            <w:tcW w:type="dxa" w:w="1170"/>
          </w:tcPr>
          <w:p>
            <w:pPr>
              <w:spacing w:line="240" w:lineRule="auto"/>
            </w:pPr>
            <w:r/>
            <w:r>
              <w:rPr>
                <w:rFonts w:ascii="Times New Roman" w:hAnsi="Times New Roman"/>
                <w:sz w:val="18"/>
              </w:rPr>
              <w:t>15.52</w:t>
            </w:r>
          </w:p>
        </w:tc>
        <w:tc>
          <w:tcPr>
            <w:tcW w:type="dxa" w:w="1170"/>
          </w:tcPr>
          <w:p>
            <w:pPr>
              <w:spacing w:line="240" w:lineRule="auto"/>
            </w:pPr>
            <w:r/>
            <w:r>
              <w:rPr>
                <w:rFonts w:ascii="Times New Roman" w:hAnsi="Times New Roman"/>
                <w:sz w:val="18"/>
              </w:rPr>
              <w:t>.235</w:t>
            </w:r>
          </w:p>
        </w:tc>
        <w:tc>
          <w:tcPr>
            <w:tcW w:type="dxa" w:w="1170"/>
          </w:tcPr>
          <w:p>
            <w:pPr>
              <w:spacing w:line="240" w:lineRule="auto"/>
            </w:pPr>
            <w:r/>
            <w:r>
              <w:rPr>
                <w:rFonts w:ascii="Times New Roman" w:hAnsi="Times New Roman"/>
                <w:sz w:val="18"/>
              </w:rPr>
              <w:t>.125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18.83</w:t>
            </w:r>
          </w:p>
        </w:tc>
        <w:tc>
          <w:tcPr>
            <w:tcW w:type="dxa" w:w="1170"/>
          </w:tcPr>
          <w:p>
            <w:pPr>
              <w:spacing w:line="240" w:lineRule="auto"/>
            </w:pPr>
            <w:r/>
            <w:r>
              <w:rPr>
                <w:rFonts w:ascii="Times New Roman" w:hAnsi="Times New Roman"/>
                <w:sz w:val="18"/>
              </w:rPr>
              <w:t>14.23</w:t>
            </w:r>
          </w:p>
        </w:tc>
        <w:tc>
          <w:tcPr>
            <w:tcW w:type="dxa" w:w="1170"/>
          </w:tcPr>
          <w:p>
            <w:pPr>
              <w:spacing w:line="240" w:lineRule="auto"/>
            </w:pPr>
            <w:r/>
            <w:r>
              <w:rPr>
                <w:rFonts w:ascii="Times New Roman" w:hAnsi="Times New Roman"/>
                <w:sz w:val="18"/>
              </w:rPr>
              <w:t>.188</w:t>
            </w:r>
          </w:p>
        </w:tc>
        <w:tc>
          <w:tcPr>
            <w:tcW w:type="dxa" w:w="1170"/>
          </w:tcPr>
          <w:p>
            <w:pPr>
              <w:spacing w:line="240" w:lineRule="auto"/>
            </w:pPr>
            <w:r/>
            <w:r>
              <w:rPr>
                <w:rFonts w:ascii="Times New Roman" w:hAnsi="Times New Roman"/>
                <w:sz w:val="18"/>
              </w:rPr>
              <w:t>.168</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−25.27</w:t>
            </w:r>
          </w:p>
        </w:tc>
        <w:tc>
          <w:tcPr>
            <w:tcW w:type="dxa" w:w="1170"/>
          </w:tcPr>
          <w:p>
            <w:pPr>
              <w:spacing w:line="240" w:lineRule="auto"/>
            </w:pPr>
            <w:r/>
            <w:r>
              <w:rPr>
                <w:rFonts w:ascii="Times New Roman" w:hAnsi="Times New Roman"/>
                <w:sz w:val="18"/>
              </w:rPr>
              <w:t>15.84</w:t>
            </w:r>
          </w:p>
        </w:tc>
        <w:tc>
          <w:tcPr>
            <w:tcW w:type="dxa" w:w="1170"/>
          </w:tcPr>
          <w:p>
            <w:pPr>
              <w:spacing w:line="240" w:lineRule="auto"/>
            </w:pPr>
            <w:r/>
            <w:r>
              <w:rPr>
                <w:rFonts w:ascii="Times New Roman" w:hAnsi="Times New Roman"/>
                <w:sz w:val="18"/>
              </w:rPr>
              <w:t>.113</w:t>
            </w:r>
          </w:p>
        </w:tc>
        <w:tc>
          <w:tcPr>
            <w:tcW w:type="dxa" w:w="1170"/>
          </w:tcPr>
          <w:p>
            <w:pPr>
              <w:spacing w:line="240" w:lineRule="auto"/>
            </w:pPr>
            <w:r/>
            <w:r>
              <w:rPr>
                <w:rFonts w:ascii="Times New Roman" w:hAnsi="Times New Roman"/>
                <w:sz w:val="18"/>
              </w:rPr>
              <w:t>.071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Two-digit SIC cells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Two-digit SIC cell</w:t>
            </w:r>
          </w:p>
        </w:tc>
        <w:tc>
          <w:tcPr>
            <w:tcW w:type="dxa" w:w="2340"/>
          </w:tcPr>
          <w:p>
            <w:pPr>
              <w:spacing w:line="240" w:lineRule="auto"/>
            </w:pPr>
            <w:r/>
            <w:r>
              <w:rPr>
                <w:rFonts w:ascii="Times New Roman" w:hAnsi="Times New Roman"/>
                <w:b/>
                <w:sz w:val="18"/>
              </w:rPr>
              <w:t>Events</w:t>
            </w:r>
          </w:p>
        </w:tc>
        <w:tc>
          <w:tcPr>
            <w:tcW w:type="dxa" w:w="2340"/>
          </w:tcPr>
          <w:p>
            <w:pPr>
              <w:spacing w:line="240" w:lineRule="auto"/>
            </w:pPr>
            <w:r/>
            <w:r>
              <w:rPr>
                <w:rFonts w:ascii="Times New Roman" w:hAnsi="Times New Roman"/>
                <w:b/>
                <w:sz w:val="18"/>
              </w:rPr>
              <w:t>Treated</w:t>
            </w:r>
          </w:p>
        </w:tc>
        <w:tc>
          <w:tcPr>
            <w:tcW w:type="dxa" w:w="2340"/>
          </w:tcPr>
          <w:p>
            <w:pPr>
              <w:spacing w:line="240" w:lineRule="auto"/>
            </w:pPr>
            <w:r/>
            <w:r>
              <w:rPr>
                <w:rFonts w:ascii="Times New Roman" w:hAnsi="Times New Roman"/>
                <w:b/>
                <w:sz w:val="18"/>
              </w:rPr>
              <w:t>Control</w:t>
            </w:r>
          </w:p>
        </w:tc>
      </w:tr>
      <w:tr>
        <w:tc>
          <w:tcPr>
            <w:tcW w:type="dxa" w:w="2340"/>
          </w:tcPr>
          <w:p>
            <w:pPr>
              <w:spacing w:line="240" w:lineRule="auto"/>
            </w:pPr>
            <w:r/>
            <w:r>
              <w:rPr>
                <w:rFonts w:ascii="Times New Roman" w:hAnsi="Times New Roman"/>
                <w:sz w:val="18"/>
              </w:rPr>
              <w:t>48 (communications)</w:t>
            </w:r>
          </w:p>
        </w:tc>
        <w:tc>
          <w:tcPr>
            <w:tcW w:type="dxa" w:w="2340"/>
          </w:tcPr>
          <w:p>
            <w:pPr>
              <w:spacing w:line="240" w:lineRule="auto"/>
            </w:pPr>
            <w:r/>
            <w:r>
              <w:rPr>
                <w:rFonts w:ascii="Times New Roman" w:hAnsi="Times New Roman"/>
                <w:sz w:val="18"/>
              </w:rPr>
              <w:t>144</w:t>
            </w:r>
          </w:p>
        </w:tc>
        <w:tc>
          <w:tcPr>
            <w:tcW w:type="dxa" w:w="2340"/>
          </w:tcPr>
          <w:p>
            <w:pPr>
              <w:spacing w:line="240" w:lineRule="auto"/>
            </w:pPr>
            <w:r/>
            <w:r>
              <w:rPr>
                <w:rFonts w:ascii="Times New Roman" w:hAnsi="Times New Roman"/>
                <w:sz w:val="18"/>
              </w:rPr>
              <w:t>104</w:t>
            </w:r>
          </w:p>
        </w:tc>
        <w:tc>
          <w:tcPr>
            <w:tcW w:type="dxa" w:w="2340"/>
          </w:tcPr>
          <w:p>
            <w:pPr>
              <w:spacing w:line="240" w:lineRule="auto"/>
            </w:pPr>
            <w:r/>
            <w:r>
              <w:rPr>
                <w:rFonts w:ascii="Times New Roman" w:hAnsi="Times New Roman"/>
                <w:sz w:val="18"/>
              </w:rPr>
              <w:t>40</w:t>
            </w:r>
          </w:p>
        </w:tc>
      </w:tr>
      <w:tr>
        <w:tc>
          <w:tcPr>
            <w:tcW w:type="dxa" w:w="2340"/>
          </w:tcPr>
          <w:p>
            <w:pPr>
              <w:spacing w:line="240" w:lineRule="auto"/>
            </w:pPr>
            <w:r/>
            <w:r>
              <w:rPr>
                <w:rFonts w:ascii="Times New Roman" w:hAnsi="Times New Roman"/>
                <w:sz w:val="18"/>
              </w:rPr>
              <w:t>73 (business services)</w:t>
            </w:r>
          </w:p>
        </w:tc>
        <w:tc>
          <w:tcPr>
            <w:tcW w:type="dxa" w:w="2340"/>
          </w:tcPr>
          <w:p>
            <w:pPr>
              <w:spacing w:line="240" w:lineRule="auto"/>
            </w:pPr>
            <w:r/>
            <w:r>
              <w:rPr>
                <w:rFonts w:ascii="Times New Roman" w:hAnsi="Times New Roman"/>
                <w:sz w:val="18"/>
              </w:rPr>
              <w:t>146</w:t>
            </w:r>
          </w:p>
        </w:tc>
        <w:tc>
          <w:tcPr>
            <w:tcW w:type="dxa" w:w="2340"/>
          </w:tcPr>
          <w:p>
            <w:pPr>
              <w:spacing w:line="240" w:lineRule="auto"/>
            </w:pPr>
            <w:r/>
            <w:r>
              <w:rPr>
                <w:rFonts w:ascii="Times New Roman" w:hAnsi="Times New Roman"/>
                <w:sz w:val="18"/>
              </w:rPr>
              <w:t>5</w:t>
            </w:r>
          </w:p>
        </w:tc>
        <w:tc>
          <w:tcPr>
            <w:tcW w:type="dxa" w:w="2340"/>
          </w:tcPr>
          <w:p>
            <w:pPr>
              <w:spacing w:line="240" w:lineRule="auto"/>
            </w:pPr>
            <w:r/>
            <w:r>
              <w:rPr>
                <w:rFonts w:ascii="Times New Roman" w:hAnsi="Times New Roman"/>
                <w:sz w:val="18"/>
              </w:rPr>
              <w:t>141</w:t>
            </w:r>
          </w:p>
        </w:tc>
      </w:tr>
      <w:tr>
        <w:tc>
          <w:tcPr>
            <w:tcW w:type="dxa" w:w="2340"/>
          </w:tcPr>
          <w:p>
            <w:pPr>
              <w:spacing w:line="240" w:lineRule="auto"/>
            </w:pPr>
            <w:r/>
            <w:r>
              <w:rPr>
                <w:rFonts w:ascii="Times New Roman" w:hAnsi="Times New Roman"/>
                <w:sz w:val="18"/>
              </w:rPr>
              <w:t>34 cells, no treated events</w:t>
            </w:r>
          </w:p>
        </w:tc>
        <w:tc>
          <w:tcPr>
            <w:tcW w:type="dxa" w:w="2340"/>
          </w:tcPr>
          <w:p>
            <w:pPr>
              <w:spacing w:line="240" w:lineRule="auto"/>
            </w:pPr>
            <w:r/>
            <w:r>
              <w:rPr>
                <w:rFonts w:ascii="Times New Roman" w:hAnsi="Times New Roman"/>
                <w:sz w:val="18"/>
              </w:rPr>
              <w:t>115</w:t>
            </w:r>
          </w:p>
        </w:tc>
        <w:tc>
          <w:tcPr>
            <w:tcW w:type="dxa" w:w="2340"/>
          </w:tcPr>
          <w:p>
            <w:pPr>
              <w:spacing w:line="240" w:lineRule="auto"/>
            </w:pPr>
            <w:r/>
            <w:r>
              <w:rPr>
                <w:rFonts w:ascii="Times New Roman" w:hAnsi="Times New Roman"/>
                <w:sz w:val="18"/>
              </w:rPr>
              <w:t>0</w:t>
            </w:r>
          </w:p>
        </w:tc>
        <w:tc>
          <w:tcPr>
            <w:tcW w:type="dxa" w:w="2340"/>
          </w:tcPr>
          <w:p>
            <w:pPr>
              <w:spacing w:line="240" w:lineRule="auto"/>
            </w:pPr>
            <w:r/>
            <w:r>
              <w:rPr>
                <w:rFonts w:ascii="Times New Roman" w:hAnsi="Times New Roman"/>
                <w:sz w:val="18"/>
              </w:rPr>
              <w:t>115</w:t>
            </w:r>
          </w:p>
        </w:tc>
      </w:tr>
      <w:tr>
        <w:tc>
          <w:tcPr>
            <w:tcW w:type="dxa" w:w="2340"/>
          </w:tcPr>
          <w:p>
            <w:pPr>
              <w:spacing w:line="240" w:lineRule="auto"/>
            </w:pPr>
            <w:r/>
            <w:r>
              <w:rPr>
                <w:rFonts w:ascii="Times New Roman" w:hAnsi="Times New Roman"/>
                <w:sz w:val="18"/>
              </w:rPr>
              <w:t>Total</w:t>
            </w:r>
          </w:p>
        </w:tc>
        <w:tc>
          <w:tcPr>
            <w:tcW w:type="dxa" w:w="2340"/>
          </w:tcPr>
          <w:p>
            <w:pPr>
              <w:spacing w:line="240" w:lineRule="auto"/>
            </w:pPr>
            <w:r/>
            <w:r>
              <w:rPr>
                <w:rFonts w:ascii="Times New Roman" w:hAnsi="Times New Roman"/>
                <w:sz w:val="18"/>
              </w:rPr>
              <w:t>405</w:t>
            </w:r>
          </w:p>
        </w:tc>
        <w:tc>
          <w:tcPr>
            <w:tcW w:type="dxa" w:w="2340"/>
          </w:tcPr>
          <w:p>
            <w:pPr>
              <w:spacing w:line="240" w:lineRule="auto"/>
            </w:pPr>
            <w:r/>
            <w:r>
              <w:rPr>
                <w:rFonts w:ascii="Times New Roman" w:hAnsi="Times New Roman"/>
                <w:sz w:val="18"/>
              </w:rPr>
              <w:t>109</w:t>
            </w:r>
          </w:p>
        </w:tc>
        <w:tc>
          <w:tcPr>
            <w:tcW w:type="dxa" w:w="2340"/>
          </w:tcPr>
          <w:p>
            <w:pPr>
              <w:spacing w:line="240" w:lineRule="auto"/>
            </w:pPr>
            <w:r/>
            <w:r>
              <w:rPr>
                <w:rFonts w:ascii="Times New Roman" w:hAnsi="Times New Roman"/>
                <w:sz w:val="18"/>
              </w:rPr>
              <w:t>296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every row retains all N = 405, so no specification drops a fixed-effect singleton or a missing SIC cell. β and SE are in percentage points. Benjamini-Hochberg is applied within the 27-test sensitivity family. HC3 does not appear: it is disqualified, and its standard error is not finite for the SIC fixed-effects rows, whose design is rank-deficient. The recall-corrected rows divide the outcome by the measured stratum recall; that correction is uncapped and corrects missed departures only, with no adjustment for false positives, and the two CI-endpoint rows are bounding exercises rather than estimates. The complete test ledger is 31 tests (3 primary, 1 placebo, 27 sensitivities); the chief executive family contributes 0 tests because its 10-event gate failed at every window. The full 36-cell SIC list is in outputs/essay3_v4/f3_sic2_cells.csv. Sources: outputs/essay3_q4/table09.csv; outputs/essay3_v4/i_tests.csv.</w:t>
      </w:r>
    </w:p>
    <w:p>
      <w:pPr>
        <w:sectPr>
          <w:pgSz w:w="12240" w:h="158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10</w:t>
      </w:r>
    </w:p>
    <w:p>
      <w:pPr>
        <w:spacing w:after="160" w:line="240" w:lineRule="auto"/>
      </w:pPr>
      <w:r>
        <w:rPr>
          <w:rFonts w:ascii="Times New Roman" w:hAnsi="Times New Roman"/>
          <w:b w:val="0"/>
          <w:i/>
          <w:sz w:val="24"/>
        </w:rPr>
        <w:t>Cluster Concentration</w:t>
      </w:r>
    </w:p>
    <w:p>
      <w:pPr>
        <w:spacing w:after="80" w:line="240" w:lineRule="auto"/>
      </w:pPr>
      <w:r>
        <w:rPr>
          <w:rFonts w:ascii="Times New Roman" w:hAnsi="Times New Roman"/>
          <w:b/>
          <w:i w:val="0"/>
          <w:sz w:val="22"/>
        </w:rPr>
        <w:t>Panel A: Leave-one-cluster-out</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Full-sample β (pp)</w:t>
            </w:r>
          </w:p>
        </w:tc>
        <w:tc>
          <w:tcPr>
            <w:tcW w:type="dxa" w:w="1851"/>
          </w:tcPr>
          <w:p>
            <w:pPr>
              <w:spacing w:line="240" w:lineRule="auto"/>
            </w:pPr>
            <w:r/>
            <w:r>
              <w:rPr>
                <w:rFonts w:ascii="Times New Roman" w:hAnsi="Times New Roman"/>
                <w:b/>
                <w:sz w:val="18"/>
              </w:rPr>
              <w:t>Range across deletions (pp)</w:t>
            </w:r>
          </w:p>
        </w:tc>
        <w:tc>
          <w:tcPr>
            <w:tcW w:type="dxa" w:w="1851"/>
          </w:tcPr>
          <w:p>
            <w:pPr>
              <w:spacing w:line="240" w:lineRule="auto"/>
            </w:pPr>
            <w:r/>
            <w:r>
              <w:rPr>
                <w:rFonts w:ascii="Times New Roman" w:hAnsi="Times New Roman"/>
                <w:b/>
                <w:sz w:val="18"/>
              </w:rPr>
              <w:t>Sign reversals</w:t>
            </w:r>
          </w:p>
        </w:tc>
        <w:tc>
          <w:tcPr>
            <w:tcW w:type="dxa" w:w="1851"/>
          </w:tcPr>
          <w:p>
            <w:pPr>
              <w:spacing w:line="240" w:lineRule="auto"/>
            </w:pPr>
            <w:r/>
            <w:r>
              <w:rPr>
                <w:rFonts w:ascii="Times New Roman" w:hAnsi="Times New Roman"/>
                <w:b/>
                <w:sz w:val="18"/>
              </w:rPr>
              <w:t>Reversing clusters (β without)</w:t>
            </w:r>
          </w:p>
        </w:tc>
        <w:tc>
          <w:tcPr>
            <w:tcW w:type="dxa" w:w="1851"/>
          </w:tcPr>
          <w:p>
            <w:pPr>
              <w:spacing w:line="240" w:lineRule="auto"/>
            </w:pPr>
            <w:r/>
            <w:r>
              <w:rPr>
                <w:rFonts w:ascii="Times New Roman" w:hAnsi="Times New Roman"/>
                <w:b/>
                <w:sz w:val="18"/>
              </w:rPr>
              <w:t>T-Mobile deleted (pp)</w:t>
            </w:r>
          </w:p>
        </w:tc>
        <w:tc>
          <w:tcPr>
            <w:tcW w:type="dxa" w:w="1851"/>
          </w:tcPr>
          <w:p>
            <w:pPr>
              <w:spacing w:line="240" w:lineRule="auto"/>
            </w:pPr>
            <w:r/>
            <w:r>
              <w:rPr>
                <w:rFonts w:ascii="Times New Roman" w:hAnsi="Times New Roman"/>
                <w:b/>
                <w:sz w:val="18"/>
              </w:rPr>
              <w:t>Sprint deleted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[−1.64, 2.00]</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T-Mobile USA, Inc. (−1.64); Sprint Nextel (−0.25); Sirius XM Radio Inc. (−0.13)</w:t>
            </w:r>
          </w:p>
        </w:tc>
        <w:tc>
          <w:tcPr>
            <w:tcW w:type="dxa" w:w="1851"/>
          </w:tcPr>
          <w:p>
            <w:pPr>
              <w:spacing w:line="240" w:lineRule="auto"/>
            </w:pPr>
            <w:r/>
            <w:r>
              <w:rPr>
                <w:rFonts w:ascii="Times New Roman" w:hAnsi="Times New Roman"/>
                <w:sz w:val="18"/>
              </w:rPr>
              <w:t>−1.64</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[−6.87, 2.04]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Fidelity National Information Services, Inc. (2.04)</w:t>
            </w:r>
          </w:p>
        </w:tc>
        <w:tc>
          <w:tcPr>
            <w:tcW w:type="dxa" w:w="1851"/>
          </w:tcPr>
          <w:p>
            <w:pPr>
              <w:spacing w:line="240" w:lineRule="auto"/>
            </w:pPr>
            <w:r/>
            <w:r>
              <w:rPr>
                <w:rFonts w:ascii="Times New Roman" w:hAnsi="Times New Roman"/>
                <w:sz w:val="18"/>
              </w:rPr>
              <w:t>−6.87</w:t>
            </w:r>
          </w:p>
        </w:tc>
        <w:tc>
          <w:tcPr>
            <w:tcW w:type="dxa" w:w="1851"/>
          </w:tcPr>
          <w:p>
            <w:pPr>
              <w:spacing w:line="240" w:lineRule="auto"/>
            </w:pPr>
            <w:r/>
            <w:r>
              <w:rPr>
                <w:rFonts w:ascii="Times New Roman" w:hAnsi="Times New Roman"/>
                <w:sz w:val="18"/>
              </w:rPr>
              <w:t>−4.24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[−3.49, 6.23]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T-Mobile USA, Inc. (−3.49)</w:t>
            </w:r>
          </w:p>
        </w:tc>
        <w:tc>
          <w:tcPr>
            <w:tcW w:type="dxa" w:w="1851"/>
          </w:tcPr>
          <w:p>
            <w:pPr>
              <w:spacing w:line="240" w:lineRule="auto"/>
            </w:pPr>
            <w:r/>
            <w:r>
              <w:rPr>
                <w:rFonts w:ascii="Times New Roman" w:hAnsi="Times New Roman"/>
                <w:sz w:val="18"/>
              </w:rPr>
              <w:t>−3.49</w:t>
            </w:r>
          </w:p>
        </w:tc>
        <w:tc>
          <w:tcPr>
            <w:tcW w:type="dxa" w:w="1851"/>
          </w:tcPr>
          <w:p>
            <w:pPr>
              <w:spacing w:line="240" w:lineRule="auto"/>
            </w:pPr>
            <w:r/>
            <w:r>
              <w:rPr>
                <w:rFonts w:ascii="Times New Roman" w:hAnsi="Times New Roman"/>
                <w:sz w:val="18"/>
              </w:rPr>
              <w:t>1.66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Top ten clusters by share of CV3 jackknife variance</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CIK</w:t>
            </w:r>
          </w:p>
        </w:tc>
        <w:tc>
          <w:tcPr>
            <w:tcW w:type="dxa" w:w="1851"/>
          </w:tcPr>
          <w:p>
            <w:pPr>
              <w:spacing w:line="240" w:lineRule="auto"/>
            </w:pPr>
            <w:r/>
            <w:r>
              <w:rPr>
                <w:rFonts w:ascii="Times New Roman" w:hAnsi="Times New Roman"/>
                <w:b/>
                <w:sz w:val="18"/>
              </w:rPr>
              <w:t>Cluster</w:t>
            </w:r>
          </w:p>
        </w:tc>
        <w:tc>
          <w:tcPr>
            <w:tcW w:type="dxa" w:w="1851"/>
          </w:tcPr>
          <w:p>
            <w:pPr>
              <w:spacing w:line="240" w:lineRule="auto"/>
            </w:pPr>
            <w:r/>
            <w:r>
              <w:rPr>
                <w:rFonts w:ascii="Times New Roman" w:hAnsi="Times New Roman"/>
                <w:b/>
                <w:sz w:val="18"/>
              </w:rPr>
              <w:t>Group</w:t>
            </w:r>
          </w:p>
        </w:tc>
        <w:tc>
          <w:tcPr>
            <w:tcW w:type="dxa" w:w="1851"/>
          </w:tcPr>
          <w:p>
            <w:pPr>
              <w:spacing w:line="240" w:lineRule="auto"/>
            </w:pPr>
            <w:r/>
            <w:r>
              <w:rPr>
                <w:rFonts w:ascii="Times New Roman" w:hAnsi="Times New Roman"/>
                <w:b/>
                <w:sz w:val="18"/>
              </w:rPr>
              <w:t>Events</w:t>
            </w:r>
          </w:p>
        </w:tc>
        <w:tc>
          <w:tcPr>
            <w:tcW w:type="dxa" w:w="1851"/>
          </w:tcPr>
          <w:p>
            <w:pPr>
              <w:spacing w:line="240" w:lineRule="auto"/>
            </w:pPr>
            <w:r/>
            <w:r>
              <w:rPr>
                <w:rFonts w:ascii="Times New Roman" w:hAnsi="Times New Roman"/>
                <w:b/>
                <w:sz w:val="18"/>
              </w:rPr>
              <w:t>Share of CV3 jackknife variance (%)</w:t>
            </w:r>
          </w:p>
        </w:tc>
        <w:tc>
          <w:tcPr>
            <w:tcW w:type="dxa" w:w="1851"/>
          </w:tcPr>
          <w:p>
            <w:pPr>
              <w:spacing w:line="240" w:lineRule="auto"/>
            </w:pPr>
            <w:r/>
            <w:r>
              <w:rPr>
                <w:rFonts w:ascii="Times New Roman" w:hAnsi="Times New Roman"/>
                <w:b/>
                <w:sz w:val="18"/>
              </w:rPr>
              <w:t>β without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36.9</w:t>
            </w:r>
          </w:p>
        </w:tc>
        <w:tc>
          <w:tcPr>
            <w:tcW w:type="dxa" w:w="1851"/>
          </w:tcPr>
          <w:p>
            <w:pPr>
              <w:spacing w:line="240" w:lineRule="auto"/>
            </w:pPr>
            <w:r/>
            <w:r>
              <w:rPr>
                <w:rFonts w:ascii="Times New Roman" w:hAnsi="Times New Roman"/>
                <w:sz w:val="18"/>
              </w:rPr>
              <w:t>−1.64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22.7</w:t>
            </w:r>
          </w:p>
        </w:tc>
        <w:tc>
          <w:tcPr>
            <w:tcW w:type="dxa" w:w="1851"/>
          </w:tcPr>
          <w:p>
            <w:pPr>
              <w:spacing w:line="240" w:lineRule="auto"/>
            </w:pPr>
            <w:r/>
            <w:r>
              <w:rPr>
                <w:rFonts w:ascii="Times New Roman" w:hAnsi="Times New Roman"/>
                <w:sz w:val="18"/>
              </w:rPr>
              <w:t>2.00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18.3</w:t>
            </w:r>
          </w:p>
        </w:tc>
        <w:tc>
          <w:tcPr>
            <w:tcW w:type="dxa" w:w="1851"/>
          </w:tcPr>
          <w:p>
            <w:pPr>
              <w:spacing w:line="240" w:lineRule="auto"/>
            </w:pPr>
            <w:r/>
            <w:r>
              <w:rPr>
                <w:rFonts w:ascii="Times New Roman" w:hAnsi="Times New Roman"/>
                <w:sz w:val="18"/>
              </w:rPr>
              <w:t>1.83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4.2</w:t>
            </w:r>
          </w:p>
        </w:tc>
        <w:tc>
          <w:tcPr>
            <w:tcW w:type="dxa" w:w="1851"/>
          </w:tcPr>
          <w:p>
            <w:pPr>
              <w:spacing w:line="240" w:lineRule="auto"/>
            </w:pPr>
            <w:r/>
            <w:r>
              <w:rPr>
                <w:rFonts w:ascii="Times New Roman" w:hAnsi="Times New Roman"/>
                <w:sz w:val="18"/>
              </w:rPr>
              <w:t>1.09</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101,830</w:t>
            </w:r>
          </w:p>
        </w:tc>
        <w:tc>
          <w:tcPr>
            <w:tcW w:type="dxa" w:w="1851"/>
          </w:tcPr>
          <w:p>
            <w:pPr>
              <w:spacing w:line="240" w:lineRule="auto"/>
            </w:pPr>
            <w:r/>
            <w:r>
              <w:rPr>
                <w:rFonts w:ascii="Times New Roman" w:hAnsi="Times New Roman"/>
                <w:sz w:val="18"/>
              </w:rPr>
              <w:t>Sprint Nextel</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3.7</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−0.13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320,193</w:t>
            </w:r>
          </w:p>
        </w:tc>
        <w:tc>
          <w:tcPr>
            <w:tcW w:type="dxa" w:w="1851"/>
          </w:tcPr>
          <w:p>
            <w:pPr>
              <w:spacing w:line="240" w:lineRule="auto"/>
            </w:pPr>
            <w:r/>
            <w:r>
              <w:rPr>
                <w:rFonts w:ascii="Times New Roman" w:hAnsi="Times New Roman"/>
                <w:sz w:val="18"/>
              </w:rPr>
              <w:t>Apple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7</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0.90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1.4</w:t>
            </w:r>
          </w:p>
        </w:tc>
        <w:tc>
          <w:tcPr>
            <w:tcW w:type="dxa" w:w="1851"/>
          </w:tcPr>
          <w:p>
            <w:pPr>
              <w:spacing w:line="240" w:lineRule="auto"/>
            </w:pPr>
            <w:r/>
            <w:r>
              <w:rPr>
                <w:rFonts w:ascii="Times New Roman" w:hAnsi="Times New Roman"/>
                <w:sz w:val="18"/>
              </w:rPr>
              <w:t>0.80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1,108,524</w:t>
            </w:r>
          </w:p>
        </w:tc>
        <w:tc>
          <w:tcPr>
            <w:tcW w:type="dxa" w:w="1851"/>
          </w:tcPr>
          <w:p>
            <w:pPr>
              <w:spacing w:line="240" w:lineRule="auto"/>
            </w:pPr>
            <w:r/>
            <w:r>
              <w:rPr>
                <w:rFonts w:ascii="Times New Roman" w:hAnsi="Times New Roman"/>
                <w:sz w:val="18"/>
              </w:rPr>
              <w:t>Salesforce.com</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0.04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1,137,789</w:t>
            </w:r>
          </w:p>
        </w:tc>
        <w:tc>
          <w:tcPr>
            <w:tcW w:type="dxa" w:w="1851"/>
          </w:tcPr>
          <w:p>
            <w:pPr>
              <w:spacing w:line="240" w:lineRule="auto"/>
            </w:pPr>
            <w:r/>
            <w:r>
              <w:rPr>
                <w:rFonts w:ascii="Times New Roman" w:hAnsi="Times New Roman"/>
                <w:sz w:val="18"/>
              </w:rPr>
              <w:t>Seagate US LLC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1.0</w:t>
            </w:r>
          </w:p>
        </w:tc>
        <w:tc>
          <w:tcPr>
            <w:tcW w:type="dxa" w:w="1851"/>
          </w:tcPr>
          <w:p>
            <w:pPr>
              <w:spacing w:line="240" w:lineRule="auto"/>
            </w:pPr>
            <w:r/>
            <w:r>
              <w:rPr>
                <w:rFonts w:ascii="Times New Roman" w:hAnsi="Times New Roman"/>
                <w:sz w:val="18"/>
              </w:rPr>
              <w:t>0.73</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59.2</w:t>
            </w:r>
          </w:p>
        </w:tc>
        <w:tc>
          <w:tcPr>
            <w:tcW w:type="dxa" w:w="1851"/>
          </w:tcPr>
          <w:p>
            <w:pPr>
              <w:spacing w:line="240" w:lineRule="auto"/>
            </w:pPr>
            <w:r/>
            <w:r>
              <w:rPr>
                <w:rFonts w:ascii="Times New Roman" w:hAnsi="Times New Roman"/>
                <w:sz w:val="18"/>
              </w:rPr>
              <w:t>2.04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12.3</w:t>
            </w:r>
          </w:p>
        </w:tc>
        <w:tc>
          <w:tcPr>
            <w:tcW w:type="dxa" w:w="1851"/>
          </w:tcPr>
          <w:p>
            <w:pPr>
              <w:spacing w:line="240" w:lineRule="auto"/>
            </w:pPr>
            <w:r/>
            <w:r>
              <w:rPr>
                <w:rFonts w:ascii="Times New Roman" w:hAnsi="Times New Roman"/>
                <w:sz w:val="18"/>
              </w:rPr>
              <w:t>−6.87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5.9</w:t>
            </w:r>
          </w:p>
        </w:tc>
        <w:tc>
          <w:tcPr>
            <w:tcW w:type="dxa" w:w="1851"/>
          </w:tcPr>
          <w:p>
            <w:pPr>
              <w:spacing w:line="240" w:lineRule="auto"/>
            </w:pPr>
            <w:r/>
            <w:r>
              <w:rPr>
                <w:rFonts w:ascii="Times New Roman" w:hAnsi="Times New Roman"/>
                <w:sz w:val="18"/>
              </w:rPr>
              <w:t>−2.15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4.1</w:t>
            </w:r>
          </w:p>
        </w:tc>
        <w:tc>
          <w:tcPr>
            <w:tcW w:type="dxa" w:w="1851"/>
          </w:tcPr>
          <w:p>
            <w:pPr>
              <w:spacing w:line="240" w:lineRule="auto"/>
            </w:pPr>
            <w:r/>
            <w:r>
              <w:rPr>
                <w:rFonts w:ascii="Times New Roman" w:hAnsi="Times New Roman"/>
                <w:sz w:val="18"/>
              </w:rPr>
              <w:t>−5.68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−2.85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20,520</w:t>
            </w:r>
          </w:p>
        </w:tc>
        <w:tc>
          <w:tcPr>
            <w:tcW w:type="dxa" w:w="1851"/>
          </w:tcPr>
          <w:p>
            <w:pPr>
              <w:spacing w:line="240" w:lineRule="auto"/>
            </w:pPr>
            <w:r/>
            <w:r>
              <w:rPr>
                <w:rFonts w:ascii="Times New Roman" w:hAnsi="Times New Roman"/>
                <w:sz w:val="18"/>
              </w:rPr>
              <w:t>Frontier Communications</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4</w:t>
            </w:r>
          </w:p>
        </w:tc>
        <w:tc>
          <w:tcPr>
            <w:tcW w:type="dxa" w:w="1851"/>
          </w:tcPr>
          <w:p>
            <w:pPr>
              <w:spacing w:line="240" w:lineRule="auto"/>
            </w:pPr>
            <w:r/>
            <w:r>
              <w:rPr>
                <w:rFonts w:ascii="Times New Roman" w:hAnsi="Times New Roman"/>
                <w:sz w:val="18"/>
              </w:rPr>
              <w:t>1.9</w:t>
            </w:r>
          </w:p>
        </w:tc>
        <w:tc>
          <w:tcPr>
            <w:tcW w:type="dxa" w:w="1851"/>
          </w:tcPr>
          <w:p>
            <w:pPr>
              <w:spacing w:line="240" w:lineRule="auto"/>
            </w:pPr>
            <w:r/>
            <w:r>
              <w:rPr>
                <w:rFonts w:ascii="Times New Roman" w:hAnsi="Times New Roman"/>
                <w:sz w:val="18"/>
              </w:rPr>
              <w:t>−5.17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−5.11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1,041,061</w:t>
            </w:r>
          </w:p>
        </w:tc>
        <w:tc>
          <w:tcPr>
            <w:tcW w:type="dxa" w:w="1851"/>
          </w:tcPr>
          <w:p>
            <w:pPr>
              <w:spacing w:line="240" w:lineRule="auto"/>
            </w:pPr>
            <w:r/>
            <w:r>
              <w:rPr>
                <w:rFonts w:ascii="Times New Roman" w:hAnsi="Times New Roman"/>
                <w:sz w:val="18"/>
              </w:rPr>
              <w:t>Yum! Brands,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1.3</w:t>
            </w:r>
          </w:p>
        </w:tc>
        <w:tc>
          <w:tcPr>
            <w:tcW w:type="dxa" w:w="1851"/>
          </w:tcPr>
          <w:p>
            <w:pPr>
              <w:spacing w:line="240" w:lineRule="auto"/>
            </w:pPr>
            <w:r/>
            <w:r>
              <w:rPr>
                <w:rFonts w:ascii="Times New Roman" w:hAnsi="Times New Roman"/>
                <w:sz w:val="18"/>
              </w:rPr>
              <w:t>−3.18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789,019</w:t>
            </w:r>
          </w:p>
        </w:tc>
        <w:tc>
          <w:tcPr>
            <w:tcW w:type="dxa" w:w="1851"/>
          </w:tcPr>
          <w:p>
            <w:pPr>
              <w:spacing w:line="240" w:lineRule="auto"/>
            </w:pPr>
            <w:r/>
            <w:r>
              <w:rPr>
                <w:rFonts w:ascii="Times New Roman" w:hAnsi="Times New Roman"/>
                <w:sz w:val="18"/>
              </w:rPr>
              <w:t>Microsoft Corporation</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5</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−4.84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1,609,711</w:t>
            </w:r>
          </w:p>
        </w:tc>
        <w:tc>
          <w:tcPr>
            <w:tcW w:type="dxa" w:w="1851"/>
          </w:tcPr>
          <w:p>
            <w:pPr>
              <w:spacing w:line="240" w:lineRule="auto"/>
            </w:pPr>
            <w:r/>
            <w:r>
              <w:rPr>
                <w:rFonts w:ascii="Times New Roman" w:hAnsi="Times New Roman"/>
                <w:sz w:val="18"/>
              </w:rPr>
              <w:t>GoDaddy.com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−3.32</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33.9</w:t>
            </w:r>
          </w:p>
        </w:tc>
        <w:tc>
          <w:tcPr>
            <w:tcW w:type="dxa" w:w="1851"/>
          </w:tcPr>
          <w:p>
            <w:pPr>
              <w:spacing w:line="240" w:lineRule="auto"/>
            </w:pPr>
            <w:r/>
            <w:r>
              <w:rPr>
                <w:rFonts w:ascii="Times New Roman" w:hAnsi="Times New Roman"/>
                <w:sz w:val="18"/>
              </w:rPr>
              <w:t>−3.49</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1,166,691</w:t>
            </w:r>
          </w:p>
        </w:tc>
        <w:tc>
          <w:tcPr>
            <w:tcW w:type="dxa" w:w="1851"/>
          </w:tcPr>
          <w:p>
            <w:pPr>
              <w:spacing w:line="240" w:lineRule="auto"/>
            </w:pPr>
            <w:r/>
            <w:r>
              <w:rPr>
                <w:rFonts w:ascii="Times New Roman" w:hAnsi="Times New Roman"/>
                <w:sz w:val="18"/>
              </w:rPr>
              <w:t>Comcast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15.2</w:t>
            </w:r>
          </w:p>
        </w:tc>
        <w:tc>
          <w:tcPr>
            <w:tcW w:type="dxa" w:w="1851"/>
          </w:tcPr>
          <w:p>
            <w:pPr>
              <w:spacing w:line="240" w:lineRule="auto"/>
            </w:pPr>
            <w:r/>
            <w:r>
              <w:rPr>
                <w:rFonts w:ascii="Times New Roman" w:hAnsi="Times New Roman"/>
                <w:sz w:val="18"/>
              </w:rPr>
              <w:t>6.23</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9.8</w:t>
            </w:r>
          </w:p>
        </w:tc>
        <w:tc>
          <w:tcPr>
            <w:tcW w:type="dxa" w:w="1851"/>
          </w:tcPr>
          <w:p>
            <w:pPr>
              <w:spacing w:line="240" w:lineRule="auto"/>
            </w:pPr>
            <w:r/>
            <w:r>
              <w:rPr>
                <w:rFonts w:ascii="Times New Roman" w:hAnsi="Times New Roman"/>
                <w:sz w:val="18"/>
              </w:rPr>
              <w:t>5.47</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9.4</w:t>
            </w:r>
          </w:p>
        </w:tc>
        <w:tc>
          <w:tcPr>
            <w:tcW w:type="dxa" w:w="1851"/>
          </w:tcPr>
          <w:p>
            <w:pPr>
              <w:spacing w:line="240" w:lineRule="auto"/>
            </w:pPr>
            <w:r/>
            <w:r>
              <w:rPr>
                <w:rFonts w:ascii="Times New Roman" w:hAnsi="Times New Roman"/>
                <w:sz w:val="18"/>
              </w:rPr>
              <w:t>5.41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4.3</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4.0</w:t>
            </w:r>
          </w:p>
        </w:tc>
        <w:tc>
          <w:tcPr>
            <w:tcW w:type="dxa" w:w="1851"/>
          </w:tcPr>
          <w:p>
            <w:pPr>
              <w:spacing w:line="240" w:lineRule="auto"/>
            </w:pPr>
            <w:r/>
            <w:r>
              <w:rPr>
                <w:rFonts w:ascii="Times New Roman" w:hAnsi="Times New Roman"/>
                <w:sz w:val="18"/>
              </w:rPr>
              <w:t>0.34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1,105,705</w:t>
            </w:r>
          </w:p>
        </w:tc>
        <w:tc>
          <w:tcPr>
            <w:tcW w:type="dxa" w:w="1851"/>
          </w:tcPr>
          <w:p>
            <w:pPr>
              <w:spacing w:line="240" w:lineRule="auto"/>
            </w:pPr>
            <w:r/>
            <w:r>
              <w:rPr>
                <w:rFonts w:ascii="Times New Roman" w:hAnsi="Times New Roman"/>
                <w:sz w:val="18"/>
              </w:rPr>
              <w:t>Time Warner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2.7</w:t>
            </w:r>
          </w:p>
        </w:tc>
        <w:tc>
          <w:tcPr>
            <w:tcW w:type="dxa" w:w="1851"/>
          </w:tcPr>
          <w:p>
            <w:pPr>
              <w:spacing w:line="240" w:lineRule="auto"/>
            </w:pPr>
            <w:r/>
            <w:r>
              <w:rPr>
                <w:rFonts w:ascii="Times New Roman" w:hAnsi="Times New Roman"/>
                <w:sz w:val="18"/>
              </w:rPr>
              <w:t>0.68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3.86</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732,712</w:t>
            </w:r>
          </w:p>
        </w:tc>
        <w:tc>
          <w:tcPr>
            <w:tcW w:type="dxa" w:w="1851"/>
          </w:tcPr>
          <w:p>
            <w:pPr>
              <w:spacing w:line="240" w:lineRule="auto"/>
            </w:pPr>
            <w:r/>
            <w:r>
              <w:rPr>
                <w:rFonts w:ascii="Times New Roman" w:hAnsi="Times New Roman"/>
                <w:sz w:val="18"/>
              </w:rPr>
              <w:t>Verizon</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0.81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1,543,151</w:t>
            </w:r>
          </w:p>
        </w:tc>
        <w:tc>
          <w:tcPr>
            <w:tcW w:type="dxa" w:w="1851"/>
          </w:tcPr>
          <w:p>
            <w:pPr>
              <w:spacing w:line="240" w:lineRule="auto"/>
            </w:pPr>
            <w:r/>
            <w:r>
              <w:rPr>
                <w:rFonts w:ascii="Times New Roman" w:hAnsi="Times New Roman"/>
                <w:sz w:val="18"/>
              </w:rPr>
              <w:t>Uber Technologies,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3.63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CCM-based overlap restriction</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Sample</w:t>
            </w:r>
          </w:p>
        </w:tc>
        <w:tc>
          <w:tcPr>
            <w:tcW w:type="dxa" w:w="1851"/>
          </w:tcPr>
          <w:p>
            <w:pPr>
              <w:spacing w:line="240" w:lineRule="auto"/>
            </w:pPr>
            <w:r/>
            <w:r>
              <w:rPr>
                <w:rFonts w:ascii="Times New Roman" w:hAnsi="Times New Roman"/>
                <w:b/>
                <w:sz w:val="18"/>
              </w:rPr>
              <w:t>N</w:t>
            </w:r>
          </w:p>
        </w:tc>
        <w:tc>
          <w:tcPr>
            <w:tcW w:type="dxa" w:w="1851"/>
          </w:tcPr>
          <w:p>
            <w:pPr>
              <w:spacing w:line="240" w:lineRule="auto"/>
            </w:pPr>
            <w:r/>
            <w:r>
              <w:rPr>
                <w:rFonts w:ascii="Times New Roman" w:hAnsi="Times New Roman"/>
                <w:b/>
                <w:sz w:val="18"/>
              </w:rPr>
              <w:t>G</w:t>
            </w:r>
          </w:p>
        </w:tc>
        <w:tc>
          <w:tcPr>
            <w:tcW w:type="dxa" w:w="1851"/>
          </w:tcPr>
          <w:p>
            <w:pPr>
              <w:spacing w:line="240" w:lineRule="auto"/>
            </w:pPr>
            <w:r/>
            <w:r>
              <w:rPr>
                <w:rFonts w:ascii="Times New Roman" w:hAnsi="Times New Roman"/>
                <w:b/>
                <w:sz w:val="18"/>
              </w:rPr>
              <w:t>β (pp)</w:t>
            </w:r>
          </w:p>
        </w:tc>
        <w:tc>
          <w:tcPr>
            <w:tcW w:type="dxa" w:w="1851"/>
          </w:tcPr>
          <w:p>
            <w:pPr>
              <w:spacing w:line="240" w:lineRule="auto"/>
            </w:pPr>
            <w:r/>
            <w:r>
              <w:rPr>
                <w:rFonts w:ascii="Times New Roman" w:hAnsi="Times New Roman"/>
                <w:b/>
                <w:sz w:val="18"/>
              </w:rPr>
              <w:t>CV3 p</w:t>
            </w:r>
          </w:p>
        </w:tc>
        <w:tc>
          <w:tcPr>
            <w:tcW w:type="dxa" w:w="1851"/>
          </w:tcPr>
          <w:p>
            <w:pPr>
              <w:spacing w:line="240" w:lineRule="auto"/>
            </w:pPr>
            <w:r/>
            <w:r>
              <w:rPr>
                <w:rFonts w:ascii="Times New Roman" w:hAnsi="Times New Roman"/>
                <w:b/>
                <w:sz w:val="18"/>
              </w:rPr>
              <w:t>Bootstrap 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1.77</w:t>
            </w:r>
          </w:p>
        </w:tc>
        <w:tc>
          <w:tcPr>
            <w:tcW w:type="dxa" w:w="1851"/>
          </w:tcPr>
          <w:p>
            <w:pPr>
              <w:spacing w:line="240" w:lineRule="auto"/>
            </w:pPr>
            <w:r/>
            <w:r>
              <w:rPr>
                <w:rFonts w:ascii="Times New Roman" w:hAnsi="Times New Roman"/>
                <w:sz w:val="18"/>
              </w:rPr>
              <w:t>.585</w:t>
            </w:r>
          </w:p>
        </w:tc>
        <w:tc>
          <w:tcPr>
            <w:tcW w:type="dxa" w:w="1851"/>
          </w:tcPr>
          <w:p>
            <w:pPr>
              <w:spacing w:line="240" w:lineRule="auto"/>
            </w:pPr>
            <w:r/>
            <w:r>
              <w:rPr>
                <w:rFonts w:ascii="Times New Roman" w:hAnsi="Times New Roman"/>
                <w:sz w:val="18"/>
              </w:rPr>
              <w:t>.466</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.906</w:t>
            </w:r>
          </w:p>
        </w:tc>
        <w:tc>
          <w:tcPr>
            <w:tcW w:type="dxa" w:w="1851"/>
          </w:tcPr>
          <w:p>
            <w:pPr>
              <w:spacing w:line="240" w:lineRule="auto"/>
            </w:pPr>
            <w:r/>
            <w:r>
              <w:rPr>
                <w:rFonts w:ascii="Times New Roman" w:hAnsi="Times New Roman"/>
                <w:sz w:val="18"/>
              </w:rPr>
              <w:t>.889</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−3.45</w:t>
            </w:r>
          </w:p>
        </w:tc>
        <w:tc>
          <w:tcPr>
            <w:tcW w:type="dxa" w:w="1851"/>
          </w:tcPr>
          <w:p>
            <w:pPr>
              <w:spacing w:line="240" w:lineRule="auto"/>
            </w:pPr>
            <w:r/>
            <w:r>
              <w:rPr>
                <w:rFonts w:ascii="Times New Roman" w:hAnsi="Times New Roman"/>
                <w:sz w:val="18"/>
              </w:rPr>
              <w:t>.731</w:t>
            </w:r>
          </w:p>
        </w:tc>
        <w:tc>
          <w:tcPr>
            <w:tcW w:type="dxa" w:w="1851"/>
          </w:tcPr>
          <w:p>
            <w:pPr>
              <w:spacing w:line="240" w:lineRule="auto"/>
            </w:pPr>
            <w:r/>
            <w:r>
              <w:rPr>
                <w:rFonts w:ascii="Times New Roman" w:hAnsi="Times New Roman"/>
                <w:sz w:val="18"/>
              </w:rPr>
              <w:t>.621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.605</w:t>
            </w:r>
          </w:p>
        </w:tc>
        <w:tc>
          <w:tcPr>
            <w:tcW w:type="dxa" w:w="1851"/>
          </w:tcPr>
          <w:p>
            <w:pPr>
              <w:spacing w:line="240" w:lineRule="auto"/>
            </w:pPr>
            <w:r/>
            <w:r>
              <w:rPr>
                <w:rFonts w:ascii="Times New Roman" w:hAnsi="Times New Roman"/>
                <w:sz w:val="18"/>
              </w:rPr>
              <w:t>.514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2.08</w:t>
            </w:r>
          </w:p>
        </w:tc>
        <w:tc>
          <w:tcPr>
            <w:tcW w:type="dxa" w:w="1851"/>
          </w:tcPr>
          <w:p>
            <w:pPr>
              <w:spacing w:line="240" w:lineRule="auto"/>
            </w:pPr>
            <w:r/>
            <w:r>
              <w:rPr>
                <w:rFonts w:ascii="Times New Roman" w:hAnsi="Times New Roman"/>
                <w:sz w:val="18"/>
              </w:rPr>
              <w:t>.852</w:t>
            </w:r>
          </w:p>
        </w:tc>
        <w:tc>
          <w:tcPr>
            <w:tcW w:type="dxa" w:w="1851"/>
          </w:tcPr>
          <w:p>
            <w:pPr>
              <w:spacing w:line="240" w:lineRule="auto"/>
            </w:pPr>
            <w:r/>
            <w:r>
              <w:rPr>
                <w:rFonts w:ascii="Times New Roman" w:hAnsi="Times New Roman"/>
                <w:sz w:val="18"/>
              </w:rPr>
              <w:t>.818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.816</w:t>
            </w:r>
          </w:p>
        </w:tc>
        <w:tc>
          <w:tcPr>
            <w:tcW w:type="dxa" w:w="1851"/>
          </w:tcPr>
          <w:p>
            <w:pPr>
              <w:spacing w:line="240" w:lineRule="auto"/>
            </w:pPr>
            <w:r/>
            <w:r>
              <w:rPr>
                <w:rFonts w:ascii="Times New Roman" w:hAnsi="Times New Roman"/>
                <w:sz w:val="18"/>
              </w:rPr>
              <w:t>.790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G = 119 clusters. β is in percentage points. A sign reversal is a cluster whose deletion changes the sign of β. Panel C restricts to events that were also linked by the earlier ccm-based security link, which v4 replaced with a rebuilt CUSIP-to-permno link; it is a ccm-based overlap restriction and is not a ticker match. All 58 events removed in Panel C are control events across 37 parent CIKs; no treated event turns on the linker rebuild. Sources: outputs/essay3_q4/table10.csv; outputs/essay3_v4/f1_cv3_variance_shares.csv; outputs/essay3_v4/239_v3_overlap_sensitivity.csv.</w:t>
      </w:r>
    </w:p>
    <w:p>
      <w:r>
        <w:br w:type="page"/>
      </w:r>
    </w:p>
    <w:p>
      <w:pPr>
        <w:spacing w:after="0" w:line="240" w:lineRule="auto"/>
      </w:pPr>
      <w:r>
        <w:rPr>
          <w:rFonts w:ascii="Times New Roman" w:hAnsi="Times New Roman"/>
          <w:b/>
          <w:i w:val="0"/>
          <w:sz w:val="24"/>
        </w:rPr>
        <w:t>Table 11</w:t>
      </w:r>
    </w:p>
    <w:p>
      <w:pPr>
        <w:spacing w:after="160" w:line="240" w:lineRule="auto"/>
      </w:pPr>
      <w:r>
        <w:rPr>
          <w:rFonts w:ascii="Times New Roman" w:hAnsi="Times New Roman"/>
          <w:b w:val="0"/>
          <w:i/>
          <w:sz w:val="24"/>
        </w:rPr>
        <w:t>T-Mobile Events and Executive Departures</w:t>
      </w:r>
    </w:p>
    <w:p>
      <w:pPr>
        <w:spacing w:after="80" w:line="240" w:lineRule="auto"/>
      </w:pPr>
      <w:r>
        <w:rPr>
          <w:rFonts w:ascii="Times New Roman" w:hAnsi="Times New Roman"/>
          <w:b/>
          <w:i w:val="0"/>
          <w:sz w:val="22"/>
        </w:rPr>
        <w:t>Panel A: The 26 T-Mobile events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Breach date</w:t>
            </w:r>
          </w:p>
        </w:tc>
        <w:tc>
          <w:tcPr>
            <w:tcW w:type="dxa" w:w="1851"/>
          </w:tcPr>
          <w:p>
            <w:pPr>
              <w:spacing w:line="240" w:lineRule="auto"/>
            </w:pPr>
            <w:r/>
            <w:r>
              <w:rPr>
                <w:rFonts w:ascii="Times New Roman" w:hAnsi="Times New Roman"/>
                <w:b/>
                <w:sz w:val="18"/>
              </w:rPr>
              <w:t>Notification date</w:t>
            </w:r>
          </w:p>
        </w:tc>
        <w:tc>
          <w:tcPr>
            <w:tcW w:type="dxa" w:w="1851"/>
          </w:tcPr>
          <w:p>
            <w:pPr>
              <w:spacing w:line="240" w:lineRule="auto"/>
            </w:pPr>
            <w:r/>
            <w:r>
              <w:rPr>
                <w:rFonts w:ascii="Times New Roman" w:hAnsi="Times New Roman"/>
                <w:b/>
                <w:sz w:val="18"/>
              </w:rPr>
              <w:t>Treatment clause</w:t>
            </w:r>
          </w:p>
        </w:tc>
        <w:tc>
          <w:tcPr>
            <w:tcW w:type="dxa" w:w="1851"/>
          </w:tcPr>
          <w:p>
            <w:pPr>
              <w:spacing w:line="240" w:lineRule="auto"/>
            </w:pPr>
            <w:r/>
            <w:r>
              <w:rPr>
                <w:rFonts w:ascii="Times New Roman" w:hAnsi="Times New Roman"/>
                <w:b/>
                <w:sz w:val="18"/>
              </w:rPr>
              <w:t>Placebo</w:t>
            </w:r>
          </w:p>
        </w:tc>
        <w:tc>
          <w:tcPr>
            <w:tcW w:type="dxa" w:w="1851"/>
          </w:tcPr>
          <w:p>
            <w:pPr>
              <w:spacing w:line="240" w:lineRule="auto"/>
            </w:pPr>
            <w:r/>
            <w:r>
              <w:rPr>
                <w:rFonts w:ascii="Times New Roman" w:hAnsi="Times New Roman"/>
                <w:b/>
                <w:sz w:val="18"/>
              </w:rPr>
              <w:t>30 days</w:t>
            </w:r>
          </w:p>
        </w:tc>
        <w:tc>
          <w:tcPr>
            <w:tcW w:type="dxa" w:w="1851"/>
          </w:tcPr>
          <w:p>
            <w:pPr>
              <w:spacing w:line="240" w:lineRule="auto"/>
            </w:pPr>
            <w:r/>
            <w:r>
              <w:rPr>
                <w:rFonts w:ascii="Times New Roman" w:hAnsi="Times New Roman"/>
                <w:b/>
                <w:sz w:val="18"/>
              </w:rPr>
              <w:t>90 days</w:t>
            </w:r>
          </w:p>
        </w:tc>
        <w:tc>
          <w:tcPr>
            <w:tcW w:type="dxa" w:w="1851"/>
          </w:tcPr>
          <w:p>
            <w:pPr>
              <w:spacing w:line="240" w:lineRule="auto"/>
            </w:pPr>
            <w:r/>
            <w:r>
              <w:rPr>
                <w:rFonts w:ascii="Times New Roman" w:hAnsi="Times New Roman"/>
                <w:b/>
                <w:sz w:val="18"/>
              </w:rPr>
              <w:t>180 days</w:t>
            </w:r>
          </w:p>
        </w:tc>
      </w:tr>
      <w:tr>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2015-09-14</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2017-04-01</w:t>
            </w:r>
          </w:p>
        </w:tc>
        <w:tc>
          <w:tcPr>
            <w:tcW w:type="dxa" w:w="1851"/>
          </w:tcPr>
          <w:p>
            <w:pPr>
              <w:spacing w:line="240" w:lineRule="auto"/>
            </w:pPr>
            <w:r/>
            <w:r>
              <w:rPr>
                <w:rFonts w:ascii="Times New Roman" w:hAnsi="Times New Roman"/>
                <w:sz w:val="18"/>
              </w:rPr>
              <w:t>2017-06-09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2017-08-24</w:t>
            </w:r>
          </w:p>
        </w:tc>
        <w:tc>
          <w:tcPr>
            <w:tcW w:type="dxa" w:w="1851"/>
          </w:tcPr>
          <w:p>
            <w:pPr>
              <w:spacing w:line="240" w:lineRule="auto"/>
            </w:pPr>
            <w:r/>
            <w:r>
              <w:rPr>
                <w:rFonts w:ascii="Times New Roman" w:hAnsi="Times New Roman"/>
                <w:sz w:val="18"/>
              </w:rPr>
              <w:t>2017-09-14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2017-09-16</w:t>
            </w:r>
          </w:p>
        </w:tc>
        <w:tc>
          <w:tcPr>
            <w:tcW w:type="dxa" w:w="1851"/>
          </w:tcPr>
          <w:p>
            <w:pPr>
              <w:spacing w:line="240" w:lineRule="auto"/>
            </w:pPr>
            <w:r/>
            <w:r>
              <w:rPr>
                <w:rFonts w:ascii="Times New Roman" w:hAnsi="Times New Roman"/>
                <w:sz w:val="18"/>
              </w:rPr>
              <w:t>2017-10-02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2018-08-20</w:t>
            </w:r>
          </w:p>
        </w:tc>
        <w:tc>
          <w:tcPr>
            <w:tcW w:type="dxa" w:w="1851"/>
          </w:tcPr>
          <w:p>
            <w:pPr>
              <w:spacing w:line="240" w:lineRule="auto"/>
            </w:pPr>
            <w:r/>
            <w:r>
              <w:rPr>
                <w:rFonts w:ascii="Times New Roman" w:hAnsi="Times New Roman"/>
                <w:sz w:val="18"/>
              </w:rPr>
              <w:t>2018-08-23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2019-11-26</w:t>
            </w:r>
          </w:p>
        </w:tc>
        <w:tc>
          <w:tcPr>
            <w:tcW w:type="dxa" w:w="1851"/>
          </w:tcPr>
          <w:p>
            <w:pPr>
              <w:spacing w:line="240" w:lineRule="auto"/>
            </w:pPr>
            <w:r/>
            <w:r>
              <w:rPr>
                <w:rFonts w:ascii="Times New Roman" w:hAnsi="Times New Roman"/>
                <w:sz w:val="18"/>
              </w:rPr>
              <w:t>2020-03-02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2020-08-27</w:t>
            </w:r>
          </w:p>
        </w:tc>
        <w:tc>
          <w:tcPr>
            <w:tcW w:type="dxa" w:w="1851"/>
          </w:tcPr>
          <w:p>
            <w:pPr>
              <w:spacing w:line="240" w:lineRule="auto"/>
            </w:pPr>
            <w:r/>
            <w:r>
              <w:rPr>
                <w:rFonts w:ascii="Times New Roman" w:hAnsi="Times New Roman"/>
                <w:sz w:val="18"/>
              </w:rPr>
              <w:t>2020-12-08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2020-08-31</w:t>
            </w:r>
          </w:p>
        </w:tc>
        <w:tc>
          <w:tcPr>
            <w:tcW w:type="dxa" w:w="1851"/>
          </w:tcPr>
          <w:p>
            <w:pPr>
              <w:spacing w:line="240" w:lineRule="auto"/>
            </w:pPr>
            <w:r/>
            <w:r>
              <w:rPr>
                <w:rFonts w:ascii="Times New Roman" w:hAnsi="Times New Roman"/>
                <w:sz w:val="18"/>
              </w:rPr>
              <w:t>2020-10-09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2021-01-18</w:t>
            </w:r>
          </w:p>
        </w:tc>
        <w:tc>
          <w:tcPr>
            <w:tcW w:type="dxa" w:w="1851"/>
          </w:tcPr>
          <w:p>
            <w:pPr>
              <w:spacing w:line="240" w:lineRule="auto"/>
            </w:pPr>
            <w:r/>
            <w:r>
              <w:rPr>
                <w:rFonts w:ascii="Times New Roman" w:hAnsi="Times New Roman"/>
                <w:sz w:val="18"/>
              </w:rPr>
              <w:t>2021-02-09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2021-02-12</w:t>
            </w:r>
          </w:p>
        </w:tc>
        <w:tc>
          <w:tcPr>
            <w:tcW w:type="dxa" w:w="1851"/>
          </w:tcPr>
          <w:p>
            <w:pPr>
              <w:spacing w:line="240" w:lineRule="auto"/>
            </w:pPr>
            <w:r/>
            <w:r>
              <w:rPr>
                <w:rFonts w:ascii="Times New Roman" w:hAnsi="Times New Roman"/>
                <w:sz w:val="18"/>
              </w:rPr>
              <w:t>2021-03-16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2021-02-20</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2021-03-01</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2021-08-13</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2021-08-17</w:t>
            </w:r>
          </w:p>
        </w:tc>
        <w:tc>
          <w:tcPr>
            <w:tcW w:type="dxa" w:w="1851"/>
          </w:tcPr>
          <w:p>
            <w:pPr>
              <w:spacing w:line="240" w:lineRule="auto"/>
            </w:pPr>
            <w:r/>
            <w:r>
              <w:rPr>
                <w:rFonts w:ascii="Times New Roman" w:hAnsi="Times New Roman"/>
                <w:sz w:val="18"/>
              </w:rPr>
              <w:t>2021-08-19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2022-11-25</w:t>
            </w:r>
          </w:p>
        </w:tc>
        <w:tc>
          <w:tcPr>
            <w:tcW w:type="dxa" w:w="1851"/>
          </w:tcPr>
          <w:p>
            <w:pPr>
              <w:spacing w:line="240" w:lineRule="auto"/>
            </w:pPr>
            <w:r/>
            <w:r>
              <w:rPr>
                <w:rFonts w:ascii="Times New Roman" w:hAnsi="Times New Roman"/>
                <w:sz w:val="18"/>
              </w:rPr>
              <w:t>2023-01-19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2023-02-01</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2023-02-24</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The departures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Name</w:t>
            </w:r>
          </w:p>
        </w:tc>
        <w:tc>
          <w:tcPr>
            <w:tcW w:type="dxa" w:w="1851"/>
          </w:tcPr>
          <w:p>
            <w:pPr>
              <w:spacing w:line="240" w:lineRule="auto"/>
            </w:pPr>
            <w:r/>
            <w:r>
              <w:rPr>
                <w:rFonts w:ascii="Times New Roman" w:hAnsi="Times New Roman"/>
                <w:b/>
                <w:sz w:val="18"/>
              </w:rPr>
              <w:t>Title as stated in the filing</w:t>
            </w:r>
          </w:p>
        </w:tc>
        <w:tc>
          <w:tcPr>
            <w:tcW w:type="dxa" w:w="1851"/>
          </w:tcPr>
          <w:p>
            <w:pPr>
              <w:spacing w:line="240" w:lineRule="auto"/>
            </w:pPr>
            <w:r/>
            <w:r>
              <w:rPr>
                <w:rFonts w:ascii="Times New Roman" w:hAnsi="Times New Roman"/>
                <w:b/>
                <w:sz w:val="18"/>
              </w:rPr>
              <w:t>Filing date</w:t>
            </w:r>
          </w:p>
        </w:tc>
        <w:tc>
          <w:tcPr>
            <w:tcW w:type="dxa" w:w="1851"/>
          </w:tcPr>
          <w:p>
            <w:pPr>
              <w:spacing w:line="240" w:lineRule="auto"/>
            </w:pPr>
            <w:r/>
            <w:r>
              <w:rPr>
                <w:rFonts w:ascii="Times New Roman" w:hAnsi="Times New Roman"/>
                <w:b/>
                <w:sz w:val="18"/>
              </w:rPr>
              <w:t>Accession</w:t>
            </w:r>
          </w:p>
        </w:tc>
        <w:tc>
          <w:tcPr>
            <w:tcW w:type="dxa" w:w="1851"/>
          </w:tcPr>
          <w:p>
            <w:pPr>
              <w:spacing w:line="240" w:lineRule="auto"/>
            </w:pPr>
            <w:r/>
            <w:r>
              <w:rPr>
                <w:rFonts w:ascii="Times New Roman" w:hAnsi="Times New Roman"/>
                <w:b/>
                <w:sz w:val="18"/>
              </w:rPr>
              <w:t>Window placement</w:t>
            </w:r>
          </w:p>
        </w:tc>
        <w:tc>
          <w:tcPr>
            <w:tcW w:type="dxa" w:w="1851"/>
          </w:tcPr>
          <w:p>
            <w:pPr>
              <w:spacing w:line="240" w:lineRule="auto"/>
            </w:pPr>
            <w:r/>
            <w:r>
              <w:rPr>
                <w:rFonts w:ascii="Times New Roman" w:hAnsi="Times New Roman"/>
                <w:b/>
                <w:sz w:val="18"/>
              </w:rPr>
              <w:t>Outcome-window events (180 days)</w:t>
            </w:r>
          </w:p>
        </w:tc>
        <w:tc>
          <w:tcPr>
            <w:tcW w:type="dxa" w:w="1851"/>
          </w:tcPr>
          <w:p>
            <w:pPr>
              <w:spacing w:line="240" w:lineRule="auto"/>
            </w:pPr>
            <w:r/>
            <w:r>
              <w:rPr>
                <w:rFonts w:ascii="Times New Roman" w:hAnsi="Times New Roman"/>
                <w:b/>
                <w:sz w:val="18"/>
              </w:rPr>
              <w:t>Placebo-window events</w:t>
            </w:r>
          </w:p>
        </w:tc>
      </w:tr>
      <w:tr>
        <w:tc>
          <w:tcPr>
            <w:tcW w:type="dxa" w:w="1851"/>
          </w:tcPr>
          <w:p>
            <w:pPr>
              <w:spacing w:line="240" w:lineRule="auto"/>
            </w:pPr>
            <w:r/>
            <w:r>
              <w:rPr>
                <w:rFonts w:ascii="Times New Roman" w:hAnsi="Times New Roman"/>
                <w:sz w:val="18"/>
              </w:rPr>
              <w:t>Gary A. King</w:t>
            </w:r>
          </w:p>
        </w:tc>
        <w:tc>
          <w:tcPr>
            <w:tcW w:type="dxa" w:w="1851"/>
          </w:tcPr>
          <w:p>
            <w:pPr>
              <w:spacing w:line="240" w:lineRule="auto"/>
            </w:pPr>
            <w:r/>
            <w:r>
              <w:rPr>
                <w:rFonts w:ascii="Times New Roman" w:hAnsi="Times New Roman"/>
                <w:sz w:val="18"/>
              </w:rPr>
              <w:t>Executive Vice President and Chief Information Officer</w:t>
            </w:r>
          </w:p>
        </w:tc>
        <w:tc>
          <w:tcPr>
            <w:tcW w:type="dxa" w:w="1851"/>
          </w:tcPr>
          <w:p>
            <w:pPr>
              <w:spacing w:line="240" w:lineRule="auto"/>
            </w:pPr>
            <w:r/>
            <w:r>
              <w:rPr>
                <w:rFonts w:ascii="Times New Roman" w:hAnsi="Times New Roman"/>
                <w:sz w:val="18"/>
              </w:rPr>
              <w:t>2016-02-19</w:t>
            </w:r>
          </w:p>
        </w:tc>
        <w:tc>
          <w:tcPr>
            <w:tcW w:type="dxa" w:w="1851"/>
          </w:tcPr>
          <w:p>
            <w:pPr>
              <w:spacing w:line="240" w:lineRule="auto"/>
            </w:pPr>
            <w:r/>
            <w:r>
              <w:rPr>
                <w:rFonts w:ascii="Times New Roman" w:hAnsi="Times New Roman"/>
                <w:sz w:val="18"/>
              </w:rPr>
              <w:t>0001193125-16-470124</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David A. Miller</w:t>
            </w:r>
          </w:p>
        </w:tc>
        <w:tc>
          <w:tcPr>
            <w:tcW w:type="dxa" w:w="1851"/>
          </w:tcPr>
          <w:p>
            <w:pPr>
              <w:spacing w:line="240" w:lineRule="auto"/>
            </w:pPr>
            <w:r/>
            <w:r>
              <w:rPr>
                <w:rFonts w:ascii="Times New Roman" w:hAnsi="Times New Roman"/>
                <w:sz w:val="18"/>
              </w:rPr>
              <w:t>Executive Vice President, General Counsel and Secretary</w:t>
            </w:r>
          </w:p>
        </w:tc>
        <w:tc>
          <w:tcPr>
            <w:tcW w:type="dxa" w:w="1851"/>
          </w:tcPr>
          <w:p>
            <w:pPr>
              <w:spacing w:line="240" w:lineRule="auto"/>
            </w:pPr>
            <w:r/>
            <w:r>
              <w:rPr>
                <w:rFonts w:ascii="Times New Roman" w:hAnsi="Times New Roman"/>
                <w:sz w:val="18"/>
              </w:rPr>
              <w:t>2021-09-16</w:t>
            </w:r>
          </w:p>
        </w:tc>
        <w:tc>
          <w:tcPr>
            <w:tcW w:type="dxa" w:w="1851"/>
          </w:tcPr>
          <w:p>
            <w:pPr>
              <w:spacing w:line="240" w:lineRule="auto"/>
            </w:pPr>
            <w:r/>
            <w:r>
              <w:rPr>
                <w:rFonts w:ascii="Times New Roman" w:hAnsi="Times New Roman"/>
                <w:sz w:val="18"/>
              </w:rPr>
              <w:t>0001193125-21-275230</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6</w:t>
            </w:r>
          </w:p>
        </w:tc>
        <w:tc>
          <w:tcPr>
            <w:tcW w:type="dxa" w:w="1851"/>
          </w:tcPr>
          <w:p>
            <w:pPr>
              <w:spacing w:line="240" w:lineRule="auto"/>
            </w:pPr>
            <w:r/>
            <w:r>
              <w:rPr>
                <w:rFonts w:ascii="Times New Roman" w:hAnsi="Times New Roman"/>
                <w:sz w:val="18"/>
              </w:rPr>
              <w:t>1</w:t>
            </w:r>
          </w:p>
        </w:tc>
      </w:tr>
      <w:tr>
        <w:tc>
          <w:tcPr>
            <w:tcW w:type="dxa" w:w="1851"/>
          </w:tcPr>
          <w:p>
            <w:pPr>
              <w:spacing w:line="240" w:lineRule="auto"/>
            </w:pPr>
            <w:r/>
            <w:r>
              <w:rPr>
                <w:rFonts w:ascii="Times New Roman" w:hAnsi="Times New Roman"/>
                <w:sz w:val="18"/>
              </w:rPr>
              <w:t>Neville Ray</w:t>
            </w:r>
          </w:p>
        </w:tc>
        <w:tc>
          <w:tcPr>
            <w:tcW w:type="dxa" w:w="1851"/>
          </w:tcPr>
          <w:p>
            <w:pPr>
              <w:spacing w:line="240" w:lineRule="auto"/>
            </w:pPr>
            <w:r/>
            <w:r>
              <w:rPr>
                <w:rFonts w:ascii="Times New Roman" w:hAnsi="Times New Roman"/>
                <w:sz w:val="18"/>
              </w:rPr>
              <w:t>President, Technology</w:t>
            </w:r>
          </w:p>
        </w:tc>
        <w:tc>
          <w:tcPr>
            <w:tcW w:type="dxa" w:w="1851"/>
          </w:tcPr>
          <w:p>
            <w:pPr>
              <w:spacing w:line="240" w:lineRule="auto"/>
            </w:pPr>
            <w:r/>
            <w:r>
              <w:rPr>
                <w:rFonts w:ascii="Times New Roman" w:hAnsi="Times New Roman"/>
                <w:sz w:val="18"/>
              </w:rPr>
              <w:t>2023-02-13</w:t>
            </w:r>
          </w:p>
        </w:tc>
        <w:tc>
          <w:tcPr>
            <w:tcW w:type="dxa" w:w="1851"/>
          </w:tcPr>
          <w:p>
            <w:pPr>
              <w:spacing w:line="240" w:lineRule="auto"/>
            </w:pPr>
            <w:r/>
            <w:r>
              <w:rPr>
                <w:rFonts w:ascii="Times New Roman" w:hAnsi="Times New Roman"/>
                <w:sz w:val="18"/>
              </w:rPr>
              <w:t>0001193125-23-035719</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Peter Ewens</w:t>
            </w:r>
          </w:p>
        </w:tc>
        <w:tc>
          <w:tcPr>
            <w:tcW w:type="dxa" w:w="1851"/>
          </w:tcPr>
          <w:p>
            <w:pPr>
              <w:spacing w:line="240" w:lineRule="auto"/>
            </w:pPr>
            <w:r/>
            <w:r>
              <w:rPr>
                <w:rFonts w:ascii="Times New Roman" w:hAnsi="Times New Roman"/>
                <w:sz w:val="18"/>
              </w:rPr>
              <w:t>Executive Vice President, Corporate Strategy &amp; Development</w:t>
            </w:r>
          </w:p>
        </w:tc>
        <w:tc>
          <w:tcPr>
            <w:tcW w:type="dxa" w:w="1851"/>
          </w:tcPr>
          <w:p>
            <w:pPr>
              <w:spacing w:line="240" w:lineRule="auto"/>
            </w:pPr>
            <w:r/>
            <w:r>
              <w:rPr>
                <w:rFonts w:ascii="Times New Roman" w:hAnsi="Times New Roman"/>
                <w:sz w:val="18"/>
              </w:rPr>
              <w:t>2023-09-08</w:t>
            </w:r>
          </w:p>
        </w:tc>
        <w:tc>
          <w:tcPr>
            <w:tcW w:type="dxa" w:w="1851"/>
          </w:tcPr>
          <w:p>
            <w:pPr>
              <w:spacing w:line="240" w:lineRule="auto"/>
            </w:pPr>
            <w:r/>
            <w:r>
              <w:rPr>
                <w:rFonts w:ascii="Times New Roman" w:hAnsi="Times New Roman"/>
                <w:sz w:val="18"/>
              </w:rPr>
              <w:t>0001193125-23-231377</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John Legere</w:t>
            </w:r>
          </w:p>
        </w:tc>
        <w:tc>
          <w:tcPr>
            <w:tcW w:type="dxa" w:w="1851"/>
          </w:tcPr>
          <w:p>
            <w:pPr>
              <w:spacing w:line="240" w:lineRule="auto"/>
            </w:pPr>
            <w:r/>
            <w:r>
              <w:rPr>
                <w:rFonts w:ascii="Times New Roman" w:hAnsi="Times New Roman"/>
                <w:sz w:val="18"/>
              </w:rPr>
              <w:t>Chief Executive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J. Braxton Carter</w:t>
            </w:r>
          </w:p>
        </w:tc>
        <w:tc>
          <w:tcPr>
            <w:tcW w:type="dxa" w:w="1851"/>
          </w:tcPr>
          <w:p>
            <w:pPr>
              <w:spacing w:line="240" w:lineRule="auto"/>
            </w:pPr>
            <w:r/>
            <w:r>
              <w:rPr>
                <w:rFonts w:ascii="Times New Roman" w:hAnsi="Times New Roman"/>
                <w:sz w:val="18"/>
              </w:rPr>
              <w:t>Executive Vice President and Chief Financial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in Panel A (all 26 T-Mobile events in the analysis sample, CIK 1283699) and persons in Panel B. Y/N marks whether at least one executive departure falls in that window. The 13 events with a 180-day departure resolve to only four distinct departures, because several breach records fall within 180 days of the same filing. The two event columns count, for each person, how many of the 26 events place that person's departure in the 180-day outcome window and how many place it in the placebo window; they are counted per person, and a person can appear in both. Legere and Carter fall in the placebo window of the 2019-11-26 event: their 8-K was filed 2019-11-18, eight days before that breach date and 105 days before the 2020-03-02 notification, so neither can be a response to either. Titles and context are taken verbatim from the filings; no filing links any departure to a breach. Sources: outputs/essay3_q4/table11.csv; outputs/essay3_q4/tmobile_502_text.md.</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