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Based Prediction and Calibration of UAV Visual Localization Success Across Regions</w:t>
      </w:r>
    </w:p>
    <w:p>
      <w:r>
        <w:rPr>
          <w:b/>
        </w:rPr>
        <w:t>Tonmoy Sarker</w:t>
      </w:r>
    </w:p>
    <w:p>
      <w:r>
        <w:rPr>
          <w:color w:val="C00000"/>
        </w:rPr>
        <w:t>[AUTHOR DETAILS PENDING: Confirm co-authors, author order and affiliation. Provisional affiliation from the original draft: School of Computing and Information Technology, University of Wollongong, NSW, Australia.]</w:t>
      </w:r>
    </w:p>
    <w:p>
      <w:r>
        <w:rPr>
          <w:color w:val="C00000"/>
        </w:rPr>
        <w:t>Revision v0.2 | 30 September 2026. Red text identifies temporary pilot results, plot locations, pending full-test results and unresolved checks. Replace or resolve these items before submission. Pilot values are measurements, not fabricated examples.</w:t>
      </w:r>
    </w:p>
    <w:p>
      <w:pPr>
        <w:pStyle w:val="Heading1"/>
      </w:pPr>
      <w:r>
        <w:t>Abstract</w:t>
      </w:r>
    </w:p>
    <w:p>
      <w:r>
        <w:t>Visual localization against a satellite map can provide absolute position updates for a UAV, but its success depends on the scene, the search geometry and the localizer. We study whether satellite-map features and a prior search window can predict the probability that a fixed visual localizer returns an accepted position within a specified tolerance. Labels are obtained from real UAV images in UAV-VisLoc under controlled prior errors. We compare a training-prevalence baseline, handcrafted texture features, frozen DINOv2 map embeddings and embeddings augmented with map distinctiveness. Evaluation uses seven spatially defined groups, nested fitting without the test group, and separate measures of discrimination and probability quality. A source-fitted calibration model includes group intercepts when estimating its slope and a common source-fitted intercept at inference. The primary outcome is accepted-correct localization within 100 m; rejection and accepted-incorrect localization are retained as distinct outcomes.</w:t>
      </w:r>
    </w:p>
    <w:p>
      <w:r>
        <w:rPr>
          <w:color w:val="C00000"/>
        </w:rPr>
        <w:t>[FULL-TEST ABSTRACT RESULTS PENDING: Insert the validated number of labelled and headline-test attempts; macro AUROC and average precision for M0–M3; paired differences and their justified uncertainty; raw and calibrated Brier score and log loss; results excluding development group G2; and one conclusion limited to prediction and calibration. The existing 990-attempt localizer pilot and 900-attempt predictor pilot are development evidence, not the final test.]</w:t>
      </w:r>
    </w:p>
    <w:p>
      <w:r>
        <w:t>Keywords: UAV visual localization; map matchability; probability calibration; geographic generalization; satellite imagery.</w:t>
      </w:r>
    </w:p>
    <w:p>
      <w:pPr>
        <w:pStyle w:val="Heading1"/>
      </w:pPr>
      <w:r>
        <w:t>1 Introduction</w:t>
      </w:r>
    </w:p>
    <w:p>
      <w:r>
        <w:t>A UAV operating without reliable GNSS may accumulate position error through relative motion estimation. Matching an onboard image to a georeferenced map offers an absolute correction, but a successful match is not available everywhere. Texture, repeated structures, map coverage and differences between the aerial and satellite images can affect both the chance of obtaining a fix and the chance of accepting an incorrect one. An incorrect correction can degrade a navigation estimate; a rejected attempt leaves the vehicle without the expected update.</w:t>
      </w:r>
    </w:p>
    <w:p>
      <w:r>
        <w:t>This motivates prediction before the next image is observed. Given a planned location or current position prior, can information in the satellite map identify where a particular localizer is likely to succeed? For this purpose, a ranking score and a probability serve different roles. Ranking can order candidate correction locations. A probability is additionally intended to quantify how often an attempt succeeds under the conditions represented by the evaluation distribution. A model can rank well while assigning systematically misleading probabilities in a new region.</w:t>
      </w:r>
    </w:p>
    <w:p>
      <w:r>
        <w:t>Reference-image matchability has been studied through learned scene descriptors and suitable-area selection [1]–[3]. RSPNet [1] and the evaluation of Jiang et al. [2] use simulated query distortions. Our experiment instead labels real UAV observations with a fixed localizer and assesses transfer across spatially separated groups. We do not claim that matchability prediction itself is new, or that no earlier work considers geography or uncertainty.</w:t>
      </w:r>
    </w:p>
    <w:p>
      <w:r>
        <w:t>We address two questions. RQ1 asks whether map-only features predict accepted-correct localization in groups excluded from model fitting. RQ2 asks whether calibration fitted on source groups improves probability quality in the held-out group. The study contributes a real-outcome labelling protocol with explicit rejection and error states, a spatial grouping and evaluation procedure, and a comparison of source-fitted calibration methods under regional variation in success prevalence. Navigation benefit and the relative value of real versus synthetic supervision require separate experiments.</w:t>
      </w:r>
    </w:p>
    <w:p>
      <w:r>
        <w:rPr>
          <w:color w:val="C00000"/>
        </w:rPr>
        <w:t>[FINAL CONTRIBUTION PENDING: Add the empirical answers to RQ1 and RQ2 after the full evaluation. Do not describe the probabilities as calibrated in unseen regions solely because a calibration algorithm was fitted.]</w:t>
      </w:r>
    </w:p>
    <w:p>
      <w:pPr>
        <w:pStyle w:val="Heading1"/>
      </w:pPr>
      <w:r>
        <w:t>2 Related Work</w:t>
      </w:r>
    </w:p>
    <w:p>
      <w:pPr>
        <w:pStyle w:val="Heading2"/>
      </w:pPr>
      <w:r>
        <w:t>2.1 Reference image matchability</w:t>
      </w:r>
    </w:p>
    <w:p>
      <w:r>
        <w:t>RSPNet [1] estimates matchability using scene saliency and neighbourhood uniqueness. Its supervision measures matching success over simulated distortions, and its authors report a split into separate training and test regions. Jiang et al. [2] use multi-level saliency to select suitable matching areas and evaluate quantitative matching with simulated queries. These studies motivate our comparison of texture, learned map representations and distinctiveness, while our target is the outcome of a specified localizer on real UAV frames.</w:t>
      </w:r>
    </w:p>
    <w:p>
      <w:r>
        <w:t>MLSNet [3] predicts scene-matching levels as a segmentation problem. Its abstract establishes its relevance to reference-image matchability. The reviewed material does not establish its detailed label-generation, geographic evaluation or calibration protocol, so those properties cannot be used to assert a difference from the present study.</w:t>
      </w:r>
    </w:p>
    <w:p>
      <w:r>
        <w:rPr>
          <w:color w:val="C00000"/>
        </w:rPr>
        <w:t>[LITERATURE CHECK: Obtain and inspect the MLSNet full text before making any stronger novelty claim. Do not infer absence of real-flight evaluation, calibration or geographic holdouts from an abstract.]</w:t>
      </w:r>
    </w:p>
    <w:p>
      <w:pPr>
        <w:pStyle w:val="Heading2"/>
      </w:pPr>
      <w:r>
        <w:t>2.2 Localization and verification</w:t>
      </w:r>
    </w:p>
    <w:p>
      <w:r>
        <w:t>UAV-VisLoc [4] provides real UAV images, position metadata and satellite maps across eleven locations in China. We use these data to generate localizer-specific outcomes. DINOv2 [5] supplies frozen visual representations for both retrieval and patch verification; training the representation is outside the scope of this study.</w:t>
      </w:r>
    </w:p>
    <w:p>
      <w:r>
        <w:t>Post-observation verification uses information that is unavailable to a map-only predictor. SAFEVPR [6] verifies sequence-retrieval candidates through patch matching and conformal risk control, evaluating empirical validity under condition shift. Claxton et al. [7] verify visual place-recognition estimates and evaluate their effect on robot navigation. These approaches are relevant to accepting or rejecting an observed match. Our predictor operates before the UAV image is available and cannot use query descriptors, inlier counts or candidate scores.</w:t>
      </w:r>
    </w:p>
    <w:p>
      <w:pPr>
        <w:pStyle w:val="Heading2"/>
      </w:pPr>
      <w:r>
        <w:t>2.3 Calibration and intermittent sensing</w:t>
      </w:r>
    </w:p>
    <w:p>
      <w:r>
        <w:t>Planning with intermittent measurements makes the probability of receiving a useful correction relevant to route selection. The Robust Belief Roadmap [8] incorporates stochastic sensor misdetection into planning under uncertainty. It motivates the use of correction probabilities but does not validate the map-only probabilities studied here. Platt scaling [9] and calibration evaluation [10] provide tools for separating predictive discrimination from probability quality. We examine their behaviour when source and test regions have different success rates, without assuming that source calibration guarantees calibration after geographic shift.</w:t>
      </w:r>
    </w:p>
    <w:p>
      <w:pPr>
        <w:pStyle w:val="Heading1"/>
      </w:pPr>
      <w:r>
        <w:t>3 Problem Formulation</w:t>
      </w:r>
    </w:p>
    <w:p>
      <w:r>
        <w:t>Let an attempt be identified by a region map, a prior centre and a search radius. The UAV image is used by the localizer to generate a label but is unavailable to the predictor. The frozen localizer retrieves candidate tiles whose centres fall within the nominal radius, verifies candidate correspondences and either accepts a position or rejects the attempt. Ground-truth coordinates are used to generate controlled priors and evaluate error, not as predictor inputs.</w:t>
      </w:r>
    </w:p>
    <w:p>
      <w:r>
        <w:t>We distinguish accepted-correct (AC), an accepted position with geodesic error at most the tolerance; accepted-incorrect (AI), an accepted position whose error exceeds the tolerance; and rejected (REJ), an attempt without an accepted position, including an empty search window. The binary target is one for AC and zero for AI or REJ. The predictor estimates the conditional probability of AC from map features and search geometry for this fixed localizer and evaluation distribution.</w:t>
      </w:r>
    </w:p>
    <w:p>
      <w:r>
        <w:t>The primary tolerance is 100 m. The preregistered rationale is an unexplained approximately 97–105 m displacement between metadata centres and map content in the geometry audit, which limits confidence in finer absolute ground truth. Results at 25 m and 50 m are secondary. The 100 m criterion is an evaluation choice, not a demonstrated navigation-safety requirement.</w:t>
      </w:r>
    </w:p>
    <w:p>
      <w:r>
        <w:t>For each radius, prior displacement follows an isotropic two-dimensional Gaussian with per-axis standard deviation equal to half the radius. The theoretical probability that the truth lies within the nominal circular window is approximately 86.5%; finite-sample membership is measured separately. Attempts with truth outside the window are retained. Tile footprints and verification crops extend beyond their centres, so the nominal radius is neither a strict pixel boundary nor a hard limit on the returned position.</w:t>
      </w:r>
    </w:p>
    <w:p>
      <w:r>
        <w:t>Map-only means that feature computation may use the region map, prior centre and search radius, including the explicitly defined surrounding map context. It does not mean that every accessed pixel lies inside the nominal circle. The probability target also averages over flight and imaging conditions omitted from those inputs. It need not transfer unchanged to a different camera, altitude distribution, matcher, tolerance or prior-error distribution.</w:t>
      </w:r>
    </w:p>
    <w:p>
      <w:pPr>
        <w:keepLines/>
      </w:pPr>
      <w:r>
        <w:rPr>
          <w:color w:val="C00000"/>
        </w:rPr>
        <w:t>[FIGURE 1 PLACEHOLDER — Insert an information-flow diagram here. Show a map-only prediction branch using map, prior and radius; a separate label branch using the UAV image and frozen localizer; ground truth used only for prior generation and scoring; and AC, AI and REJ outputs. Mark source-only fitting and the held-out group. Caption: Information available to the predictor and to the offline labelling procedure.]</w:t>
      </w:r>
    </w:p>
    <w:p>
      <w:pPr>
        <w:pStyle w:val="Heading1"/>
      </w:pPr>
      <w:r>
        <w:t>4 Experimental Protocol</w:t>
      </w:r>
    </w:p>
    <w:p>
      <w:pPr>
        <w:pStyle w:val="Heading2"/>
      </w:pPr>
      <w:r>
        <w:t>4.1 Dataset and spatial grouping</w:t>
      </w:r>
    </w:p>
    <w:p>
      <w:r>
        <w:t>The audited local UAV-VisLoc release contains 6,774 UAV images with corresponding metadata, compared with 6,742 images reported in the dataset paper [4]. All 6,774 files have a one-to-one metadata association in the inventory audit. The eleven region folders contain fourteen satellite raster files because region 09 is supplied as four tiles; the other ten regions each have one raster. We use the audited files and disclose the count difference.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312"/>
        <w:gridCol w:w="936"/>
        <w:gridCol w:w="1584"/>
        <w:gridCol w:w="1526"/>
      </w:tblGrid>
      <w:tr>
        <w:trPr>
          <w:cantSplit/>
          <w:tblHeader/>
        </w:trPr>
        <w:tc>
          <w:tcPr>
            <w:tcW w:type="dxa" w:w="864"/>
            <w:vAlign w:val="center"/>
            <w:tcMar>
              <w:top w:w="75" w:type="dxa"/>
              <w:bottom w:w="75" w:type="dxa"/>
              <w:left w:w="75" w:type="dxa"/>
              <w:right w:w="75" w:type="dxa"/>
            </w:tcMar>
            <w:shd w:fill="E8E8E8"/>
          </w:tcPr>
          <w:p>
            <w:pPr>
              <w:keepNext/>
              <w:spacing w:after="0" w:before="0" w:line="240" w:lineRule="auto"/>
              <w:jc w:val="left"/>
            </w:pPr>
            <w:r>
              <w:rPr>
                <w:b/>
                <w:color w:val="000000"/>
                <w:sz w:val="18"/>
              </w:rPr>
              <w:t>Region</w:t>
            </w:r>
          </w:p>
        </w:tc>
        <w:tc>
          <w:tcPr>
            <w:tcW w:type="dxa" w:w="3312"/>
            <w:vAlign w:val="center"/>
            <w:tcMar>
              <w:top w:w="75" w:type="dxa"/>
              <w:bottom w:w="75" w:type="dxa"/>
              <w:left w:w="75" w:type="dxa"/>
              <w:right w:w="75" w:type="dxa"/>
            </w:tcMar>
            <w:shd w:fill="E8E8E8"/>
          </w:tcPr>
          <w:p>
            <w:pPr>
              <w:keepNext/>
              <w:spacing w:after="0" w:before="0" w:line="240" w:lineRule="auto"/>
              <w:jc w:val="center"/>
            </w:pPr>
            <w:r>
              <w:rPr>
                <w:b/>
                <w:color w:val="000000"/>
                <w:sz w:val="18"/>
              </w:rPr>
              <w:t>Site</w:t>
            </w:r>
          </w:p>
        </w:tc>
        <w:tc>
          <w:tcPr>
            <w:tcW w:type="dxa" w:w="936"/>
            <w:vAlign w:val="center"/>
            <w:tcMar>
              <w:top w:w="75" w:type="dxa"/>
              <w:bottom w:w="75" w:type="dxa"/>
              <w:left w:w="75" w:type="dxa"/>
              <w:right w:w="75" w:type="dxa"/>
            </w:tcMar>
            <w:shd w:fill="E8E8E8"/>
          </w:tcPr>
          <w:p>
            <w:pPr>
              <w:keepNext/>
              <w:spacing w:after="0" w:before="0" w:line="240" w:lineRule="auto"/>
              <w:jc w:val="center"/>
            </w:pPr>
            <w:r>
              <w:rPr>
                <w:b/>
                <w:color w:val="000000"/>
                <w:sz w:val="18"/>
              </w:rPr>
              <w:t>Group</w:t>
            </w:r>
          </w:p>
        </w:tc>
        <w:tc>
          <w:tcPr>
            <w:tcW w:type="dxa" w:w="1584"/>
            <w:vAlign w:val="center"/>
            <w:tcMar>
              <w:top w:w="75" w:type="dxa"/>
              <w:bottom w:w="75" w:type="dxa"/>
              <w:left w:w="75" w:type="dxa"/>
              <w:right w:w="75" w:type="dxa"/>
            </w:tcMar>
            <w:shd w:fill="E8E8E8"/>
          </w:tcPr>
          <w:p>
            <w:pPr>
              <w:keepNext/>
              <w:spacing w:after="0" w:before="0" w:line="240" w:lineRule="auto"/>
              <w:jc w:val="center"/>
            </w:pPr>
            <w:r>
              <w:rPr>
                <w:b/>
                <w:color w:val="000000"/>
                <w:sz w:val="18"/>
              </w:rPr>
              <w:t>Frames</w:t>
            </w:r>
          </w:p>
        </w:tc>
        <w:tc>
          <w:tcPr>
            <w:tcW w:type="dxa" w:w="1526"/>
            <w:vAlign w:val="center"/>
            <w:tcMar>
              <w:top w:w="75" w:type="dxa"/>
              <w:bottom w:w="75" w:type="dxa"/>
              <w:left w:w="75" w:type="dxa"/>
              <w:right w:w="75" w:type="dxa"/>
            </w:tcMar>
            <w:shd w:fill="E8E8E8"/>
          </w:tcPr>
          <w:p>
            <w:pPr>
              <w:keepNext/>
              <w:spacing w:after="0" w:before="0" w:line="240" w:lineRule="auto"/>
              <w:jc w:val="center"/>
            </w:pPr>
            <w:r>
              <w:rPr>
                <w:b/>
                <w:color w:val="000000"/>
                <w:sz w:val="18"/>
              </w:rPr>
              <w:t>Est AGL m</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01</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Changjiang-20</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G1</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817</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387</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02</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Changjiang-23</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G1</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1,071</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389</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03</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Taizhou-1</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G2</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768</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462</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04</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Taizhou-6</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G2</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738</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539</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05</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Yunnan</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G3</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473</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375</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06</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Zhuxi</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G4</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344</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308</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07</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Donghuayuan</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G5</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30</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190</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08</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Huzhou-3</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G6</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1,033</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549</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09</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Huzhou-3</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G6</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766</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543</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10</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Huailai</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G5</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144</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293</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000000"/>
                <w:sz w:val="18"/>
              </w:rPr>
              <w:t>11</w:t>
            </w:r>
          </w:p>
        </w:tc>
        <w:tc>
          <w:tcPr>
            <w:tcW w:type="dxa" w:w="3312"/>
            <w:vAlign w:val="center"/>
            <w:tcMar>
              <w:top w:w="75" w:type="dxa"/>
              <w:bottom w:w="75" w:type="dxa"/>
              <w:left w:w="75" w:type="dxa"/>
              <w:right w:w="75" w:type="dxa"/>
            </w:tcMar>
          </w:tcPr>
          <w:p>
            <w:pPr>
              <w:keepNext/>
              <w:spacing w:after="0" w:before="0" w:line="240" w:lineRule="auto"/>
              <w:jc w:val="center"/>
            </w:pPr>
            <w:r>
              <w:rPr>
                <w:b w:val="0"/>
                <w:color w:val="000000"/>
                <w:sz w:val="18"/>
              </w:rPr>
              <w:t>Shandan</w:t>
            </w:r>
          </w:p>
        </w:tc>
        <w:tc>
          <w:tcPr>
            <w:tcW w:type="dxa" w:w="936"/>
            <w:vAlign w:val="center"/>
            <w:tcMar>
              <w:top w:w="75" w:type="dxa"/>
              <w:bottom w:w="75" w:type="dxa"/>
              <w:left w:w="75" w:type="dxa"/>
              <w:right w:w="75" w:type="dxa"/>
            </w:tcMar>
          </w:tcPr>
          <w:p>
            <w:pPr>
              <w:keepNext/>
              <w:spacing w:after="0" w:before="0" w:line="240" w:lineRule="auto"/>
              <w:jc w:val="center"/>
            </w:pPr>
            <w:r>
              <w:rPr>
                <w:b w:val="0"/>
                <w:color w:val="000000"/>
                <w:sz w:val="18"/>
              </w:rPr>
              <w:t>G7</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000000"/>
                <w:sz w:val="18"/>
              </w:rPr>
              <w:t>590</w:t>
            </w:r>
          </w:p>
        </w:tc>
        <w:tc>
          <w:tcPr>
            <w:tcW w:type="dxa" w:w="1526"/>
            <w:vAlign w:val="center"/>
            <w:tcMar>
              <w:top w:w="75" w:type="dxa"/>
              <w:bottom w:w="75" w:type="dxa"/>
              <w:left w:w="75" w:type="dxa"/>
              <w:right w:w="75" w:type="dxa"/>
            </w:tcMar>
          </w:tcPr>
          <w:p>
            <w:pPr>
              <w:keepNext/>
              <w:spacing w:after="0" w:before="0" w:line="240" w:lineRule="auto"/>
              <w:jc w:val="center"/>
            </w:pPr>
            <w:r>
              <w:rPr>
                <w:b w:val="0"/>
                <w:color w:val="000000"/>
                <w:sz w:val="18"/>
              </w:rPr>
              <w:t>778</w:t>
            </w:r>
          </w:p>
        </w:tc>
      </w:tr>
    </w:tbl>
    <w:p>
      <w:pPr>
        <w:pStyle w:val="Caption"/>
      </w:pPr>
      <w:r>
        <w:t>Table 1. Audited region inventory and primary grouping. Counts describe the release, before the region-07 exclusion. Estimated AGL is metadata height minus SRTM terrain [11], rounded to metres; its datum is uncertain. Region 03 was used for localizer development. Region 07 is excluded from predictor analyses; G5 then contains region 10 only.</w:t>
      </w:r>
    </w:p>
    <w:p>
      <w:r>
        <w:t>To reduce geographic leakage, regions are connected when their map footprints overlap or their boundaries are within 5 km; the primary grouping also considers documented cross-map flight exposure. Connected components define seven groups. Regions 08 and 09 overlap by approximately 9.6% of the smaller map. The closest boundary distances for 01/02, 03/04 and 07/10 are approximately 3.6 km, 4.1 km and 157 m. The partition is unchanged for thresholds from 5 to 50 km. Spatial grouping reduces proximity and overlap leakage but does not prove statistical or visual independence.</w:t>
      </w:r>
    </w:p>
    <w:p>
      <w:r>
        <w:t>Region 07 has a narrow satellite strip, approximately 50 m by 900 m, which gives inadequate coverage for the intended query footprint. Its exclusion from predictor training, calibration and evaluation is deviation D2. The geometry concern predated the pilot, but the exclusion was confirmed after the pilot outcomes were inspected. Region 10, which also had no pilot successes, remains included because the same coverage concern does not apply. Region 03 was used for localizer development; its entire group G2 is therefore identified separately, with macro results also reported after removing G2 from the reporting average. This reporting exclusion does not remove G2 from the source training data of other outer folds.</w:t>
      </w:r>
    </w:p>
    <w:p>
      <w:pPr>
        <w:keepLines/>
      </w:pPr>
      <w:r>
        <w:rPr>
          <w:color w:val="C00000"/>
        </w:rPr>
        <w:t>[FIGURE 2 PLACEHOLDER — Insert the region map and flight tracks here, with a consistent colour for each group G1–G7. Show the 08/09 overlap, the region-07 coverage strip and the region-03 development designation. Use the audited raster footprints and metadata tracks; include a scale and coordinate reference. Caption: Spatial relationships underlying the seven evaluation groups.]</w:t>
      </w:r>
    </w:p>
    <w:p>
      <w:pPr>
        <w:pStyle w:val="Heading2"/>
      </w:pPr>
      <w:r>
        <w:t>4.2 Frozen visual localizer</w:t>
      </w:r>
    </w:p>
    <w:p>
      <w:r>
        <w:t>The localizer uses a frozen DINOv2 ViT-S/14 backbone [5]. Its weights are not trained on UAV-VisLoc, although configuration and acceptance choices are developed on region 03. Satellite tiles are 1,024 pixels square with a 512-pixel stride. Retrieval compares L2-normalized, 384-dimensional global descriptors using cosine similarity. Query descriptors are evaluated at rotations of 0, 90, 180 and 270 degrees, and the maximum similarity across rotations ranks each candidate. Up to twenty tiles within the search window proceed to verification. Recorded UAV heading is not used.</w:t>
      </w:r>
    </w:p>
    <w:p>
      <w:r>
        <w:t>Verification uses query patch descriptors with a 448-pixel long edge and rotations at 45-degree intervals. Satellite context crops span two or three tile widths and are resampled to 448 by 448 pixels. Mutual nearest-neighbour patch matches support a RANSAC similarity transform [12], with a 14-pixel reprojection threshold and at least six matches for fitting. The configured transform-scale range is 0.25 to 4, patch tokens require at least 90% valid coverage, and the mapped query centre must lie inside the context crop. The best verification result is selected by inlier support. Acceptance requires a valid patch fit with at least twenty inliers, the frozen patch_20 rule.</w:t>
      </w:r>
    </w:p>
    <w:p>
      <w:r>
        <w:t>This patch verifier replaced an AKAZE-based verifier [13] after the original zero-offset check failed on all five checked frames. Deviation D1 records the switch and the criteria established before the replacement was evaluated. Selection used 24 tuning frames from region 03, followed by a separate full-map validation on 30 region-03 frames. These are development and validation checks for the localizer, not geographic transfer tests.</w:t>
      </w:r>
    </w:p>
    <w:p>
      <w:r>
        <w:rPr>
          <w:color w:val="C00000"/>
        </w:rPr>
        <w:t>PILOT LOCALIZER CHECK: On 216 tuning attempts, the selected patch verifier produced 188 AC and no AI outcomes, compared with seven AC outcomes for the earlier accepted AKAZE configuration. On thirty validation frames, the patch verifier produced seventeen AC, one AI and twelve REJ outcomes; accepted-fix precision was 17/18 = 94.4%. The recorded visual review confirmed corresponding scenes for all seventeen AC validation fixes. These development checks may remain in a methods supplement if the final paper clearly distinguishes them from full-test results.</w:t>
      </w:r>
    </w:p>
    <w:p>
      <w:r>
        <w:t>The context crops can cover substantially more ground than the nominal search radius. A development-only reach test used a 100 m radius and eastward prior displacements. It informs interpretation of the window geometry without establishing a universal reach bound for other regions or directions.</w:t>
      </w:r>
    </w:p>
    <w:p>
      <w:r>
        <w:rPr>
          <w:color w:val="C00000"/>
        </w:rPr>
        <w:t>PILOT REACH CHECK: Across twenty-four development frames, AC occurred in 24/24 attempts at zero displacement, 4/24 at 250 m, and 0/24 at each tested displacement of 500, 750, 1,000, 1,500 and 2,000 m. Do not convert these discrete, direction-specific observations into a guaranteed reach of R plus a fixed distance.</w:t>
      </w:r>
    </w:p>
    <w:p>
      <w:pPr>
        <w:pStyle w:val="Heading2"/>
      </w:pPr>
      <w:r>
        <w:t>4.3 Label generation and evaluation populations</w:t>
      </w:r>
    </w:p>
    <w:p>
      <w:r>
        <w:t>Each frame yields nine attempts: three radii, 100, 300 and 1,000 m, with three sampled prior offsets per radius. The seed is 20260927; per-attempt seeds are derived from the seed, region, filename, radius and offset index, making the sampling independent of processing order. The planned complete label set outside region 07 has 6,744 frames and 60,696 attempts.</w:t>
      </w:r>
    </w:p>
    <w:p>
      <w:r>
        <w:t>Predictor protocol v5 retains the D5 rule excluding pilot frames from headline test metrics. Of the 110 pilot frames across all eleven regions, 100 remain after excluding region 07. Thus, if all planned frames are validated and retained, the headline population contains 6,644 frames and 59,796 attempts. Pilot frames from source groups remain available for model fitting, inner cross-fitting and calibration; no frame from the outer test group enters these fitting steps. All-test-frame metrics are a separately labelled sensitivity analysis.</w:t>
      </w:r>
    </w:p>
    <w:p>
      <w:r>
        <w:t>A label-free quality audit flags six of the 6,774 frames, all for estimated AGL below 150 m. Protocol v5 treats removal of flagged frames as an additional sensitivity analysis. These flags do not automatically reduce the planned primary label count or headline population. They also cannot identify every smooth track offset.</w:t>
      </w:r>
    </w:p>
    <w:p>
      <w:r>
        <w:rPr>
          <w:color w:val="C00000"/>
        </w:rPr>
        <w:t>[FULL-TEST COUNTS PENDING: Replace planned counts with validated counts from the accepted full-run manifest. Report labelled frames and attempts, excluded region-07 frames, pilot frames excluded from headline scoring, each fold’s scored count and class prevalence, and the separate quality-filtered count. No accepted full-scale outcome table is used in this revision.]</w:t>
      </w:r>
    </w:p>
    <w:p>
      <w:r>
        <w:rPr>
          <w:color w:val="C00000"/>
        </w:rPr>
        <w:t>BENCHMARK CHECK: In the saved T4-versus-workstation benchmark, all 180 outcomes agreed; the 105 jointly accepted fixes had a maximum recorded coordinate discrepancy of 0.0 m. This is evidence for those benchmark attempts and settings, not proof of correctness for arbitrary full, resumed or transferred runs.</w:t>
      </w:r>
    </w:p>
    <w:p>
      <w:pPr>
        <w:pStyle w:val="Heading2"/>
      </w:pPr>
      <w:r>
        <w:t>4.4 Map features and predictor models</w:t>
      </w:r>
    </w:p>
    <w:p>
      <w:r>
        <w:t>The features use the same tile grid and centre-based window membership as the localizer. The nearest tile is the tile whose centre is closest to the prior centre. Window means average over selected tiles; an empty window uses the nearest tile as a feature fallback while the localizer outcome remains REJ. Tile images can extend outside the nominal circle, and the nearest tile can lie outside it.</w:t>
      </w:r>
    </w:p>
    <w:p>
      <w:r>
        <w:t>M0 predicts the empirical AC frequency among source training attempts. It has no map features. M1 uses five texture statistics: grayscale entropy, Canny edge density, mean Sobel gradient magnitude, Laplacian variance and valid-pixel fraction. Each is computed for the nearest tile and averaged across window tiles, giving ten texture inputs; log radius and window tile count give twelve inputs in total. Texture computation uses 256 by 256 images and treats all-zero RGB pixels as invalid.</w:t>
      </w:r>
    </w:p>
    <w:p>
      <w:r>
        <w:t>M2 uses two 384-dimensional DINOv2 vectors: the nearest-tile embedding and the mean embedding of window tiles. Each vector type is standardized and reduced to sixteen PCA components using source training rows only. The resulting thirty-two components are combined with log radius and window tile count. The combined feature matrix is standardized before logistic regression.</w:t>
      </w:r>
    </w:p>
    <w:p>
      <w:r>
        <w:t>M3 adds three distinctiveness features to M2. Competitor tile centres must be within radius plus 450 m of the prior and more than 400 m from the nearest-tile centre. The first two features are one minus the maximum competitor cosine similarity and one minus the mean of the five largest similarities, using all competitors if fewer than five exist. The third indicates that no competitor exists; in that case both margins equal one. The competitor count is recorded for diagnostics but is not an M3 input. The 400 m exclusion is a fixed geometric heuristic, not a proof that remaining tiles depict different acceptable locations.</w:t>
      </w:r>
    </w:p>
    <w:p>
      <w:r>
        <w:t>M1–M3 use L2-regularized logistic regression with C = 1 and a maximum of 2,000 iterations. Hyperparameters are fixed in the protocol. Every scaler, PCA transformation and regression is fitted on the training rows of its current fold. The frozen visual backbone is shared by the localizer and the embedding predictors, so any predictive advantage is conditional on this representation and localizer pairing.</w:t>
      </w:r>
    </w:p>
    <w:p>
      <w:pPr>
        <w:pStyle w:val="Heading2"/>
      </w:pPr>
      <w:r>
        <w:t>4.5 Source fitted calibration</w:t>
      </w:r>
    </w:p>
    <w:p>
      <w:r>
        <w:t>For each outer held-out group, inner group folds generate out-of-fold (OOF) probabilities for the source rows. The calibrator sees these source OOF probabilities and labels. A final predictor fitted on all source rows supplies the raw test probabilities. Neither the outer test labels nor test rows enter the fitting of a scaler, PCA, regression or calibrator.</w:t>
      </w:r>
    </w:p>
    <w:p>
      <w:r>
        <w:t>The original calibration comparison chooses pooled Platt scaling [9] or isotonic regression by source-group validation log loss and retains the result as cal_v1_registered. In the pilot, between-group prevalence differences could dominate pooled OOF calibration. We therefore added cal_v2_fe as the primary calibrator through deviation D3, preserving the original comparison.</w:t>
      </w:r>
    </w:p>
    <w:p>
      <w:r>
        <w:t>The revised calibrator fits logistic regression to the logit of the source OOF probability and one indicator intercept per source group. Only source groups containing both classes enter this slope fit. The implementation uses C = 10, no additional intercept and a maximum of 5,000 iterations, so the group coefficients as well as the slope are regularized. The fitted slope is then clipped below at zero. With that slope fixed, a single intercept is fitted by maximum likelihood over all source OOF rows using a bounded search from −20 to 20. This common intercept, rather than an unknown test-group intercept, is used at inference.</w:t>
      </w:r>
    </w:p>
    <w:p>
      <w:pPr>
        <w:jc w:val="center"/>
      </w:pPr>
      <m:oMath>
        <m:sSub>
          <m:e>
            <m:r>
              <m:t>p</m:t>
            </m:r>
          </m:e>
          <m:sub>
            <m:r>
              <m:t>cal</m:t>
            </m:r>
          </m:sub>
        </m:sSub>
        <m:r>
          <m:t> = sigmoid(β logit(</m:t>
        </m:r>
        <m:sSub>
          <m:e>
            <m:r>
              <m:t>p</m:t>
            </m:r>
          </m:e>
          <m:sub>
            <m:r>
              <m:t>raw</m:t>
            </m:r>
          </m:sub>
        </m:sSub>
        <m:r>
          <m:t>) + b)</m:t>
        </m:r>
      </m:oMath>
    </w:p>
    <w:p>
      <w:r>
        <w:t>In this expression, p_raw is the raw test probability, beta is the non-negative source-fitted slope, b is the common source-fitted intercept and sigmoid is the logistic function. Logit inputs are clipped to the interval from 0.000001 to 0.999999. A strictly positive slope preserves ranking before numerical ties; a zero slope produces a constant prediction and need not preserve the raw AUROC. Including group intercepts reduces the influence of between-group prevalence on slope estimation, but regularization and the shared test-time intercept do not guarantee calibration in a new group.</w:t>
      </w:r>
    </w:p>
    <w:p>
      <w:pPr>
        <w:pStyle w:val="Heading2"/>
      </w:pPr>
      <w:r>
        <w:t>4.6 Metrics and statistical interpretation</w:t>
      </w:r>
    </w:p>
    <w:p>
      <w:r>
        <w:t>Ranking is measured within each outer test group using AUROC and average precision. The saved outputs call the latter pr_auc, but the evaluator computes scikit-learn average_precision_score rather than a trapezoidal precision–recall integral. Ranking metrics are macro-averaged over groups containing both outcome classes, with the number of contributing groups stated. Single-class groups retain defined Brier score, log loss and ECE and remain in the probability-quality macro averages.</w:t>
      </w:r>
    </w:p>
    <w:p>
      <w:r>
        <w:t>Probability quality is assessed with Brier score, clipped log loss and expected calibration error (ECE) using ten equal-width bins, alongside reliability diagrams [10]. Brier score and log loss are primary for comparing raw and calibrated predictions. ECE depends on binning and sample size and is interpreted with bin counts. Macro metrics weight groups equally; pooled metrics weight attempts equally. Both are reported with their aggregation explicitly stated. Pooled AUROC is secondary because cross-fold score shifts can obscure within-group discrimination.</w:t>
      </w:r>
    </w:p>
    <w:p>
      <w:r>
        <w:t>The registered bootstrap resamples region groups with replacement for 1,000 replicates using seed 20260928. The existing evaluator provides intervals for pooled absolute metrics, while headline comparisons use macro metrics. Those intervals do not directly quantify uncertainty in a paired macro difference. Repeated attempts on a frame and nearby frames must not be treated as independent geographic replicates.</w:t>
      </w:r>
    </w:p>
    <w:p>
      <w:r>
        <w:rPr>
          <w:color w:val="C00000"/>
        </w:rPr>
        <w:t>[STATISTICAL COMPLETION REQUIRED: Implement and verify paired group resampling for the intended macro contrasts before making uncertainty-based comparative claims. Use the same resampled groups for both methods, state how undefined ranking folds are handled, and report the effective fold count. Record any new inferential decision rule before inspecting full-test contrasts; do not present it as part of the original registration. Existing pointwise reductions alone do not establish a robust improvement.]</w:t>
      </w:r>
    </w:p>
    <w:p>
      <w:r>
        <w:t>The global permutation control refits M1 after shuffling source labels across groups, for twenty permutations. Its registered criterion is a mean macro AUROC from 0.45 to 0.55. A separate within-group shuffle preserves source-group prevalence and is a confounding diagnostic without a pass/fail threshold. Passing either check does not prove that all forms of leakage or data-integrity failure are absent.</w:t>
      </w:r>
    </w:p>
    <w:p>
      <w:pPr>
        <w:pStyle w:val="Heading2"/>
      </w:pPr>
      <w:r>
        <w:t>4.7 Diagnostics and protocol changes</w:t>
      </w:r>
    </w:p>
    <w:p>
      <w:r>
        <w:t>Protocol v5 adds M4, which uses log estimated AGL, log radius and window tile count, and M5, which adds log estimated AGL to M2. Estimated AGL is clipped below at 10 m before taking its logarithm. These models use flight metadata and are reported separately from the map-only comparisons. They diagnose omitted flight context; they are not part of the registered M0–M3 headline comparison.</w:t>
      </w:r>
    </w:p>
    <w:p>
      <w:r>
        <w:t>The label-noise sensitivity reruns evaluation with every accepted fix counted as a positive, including AI outcomes. This tests the extreme assumption that all accepted-incorrect labels arose from ground-truth error. It provides an upper bound on success prevalence under that assumption, not a mathematical upper bound on AUROC, calibration quality or arbitrary annotation error. The original AC labels remain the primary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3888"/>
        <w:gridCol w:w="3686"/>
      </w:tblGrid>
      <w:tr>
        <w:trPr>
          <w:cantSplit/>
          <w:tblHeader/>
        </w:trPr>
        <w:tc>
          <w:tcPr>
            <w:tcW w:type="dxa" w:w="648"/>
            <w:vAlign w:val="center"/>
            <w:tcMar>
              <w:top w:w="75" w:type="dxa"/>
              <w:bottom w:w="75" w:type="dxa"/>
              <w:left w:w="75" w:type="dxa"/>
              <w:right w:w="75" w:type="dxa"/>
            </w:tcMar>
            <w:shd w:fill="E8E8E8"/>
          </w:tcPr>
          <w:p>
            <w:pPr>
              <w:keepNext/>
              <w:spacing w:after="0" w:before="0" w:line="240" w:lineRule="auto"/>
              <w:jc w:val="left"/>
            </w:pPr>
            <w:r>
              <w:rPr>
                <w:b/>
                <w:color w:val="000000"/>
                <w:sz w:val="18"/>
              </w:rPr>
              <w:t>ID</w:t>
            </w:r>
          </w:p>
        </w:tc>
        <w:tc>
          <w:tcPr>
            <w:tcW w:type="dxa" w:w="3888"/>
            <w:vAlign w:val="center"/>
            <w:tcMar>
              <w:top w:w="75" w:type="dxa"/>
              <w:bottom w:w="75" w:type="dxa"/>
              <w:left w:w="75" w:type="dxa"/>
              <w:right w:w="75" w:type="dxa"/>
            </w:tcMar>
            <w:shd w:fill="E8E8E8"/>
          </w:tcPr>
          <w:p>
            <w:pPr>
              <w:keepNext/>
              <w:spacing w:after="0" w:before="0" w:line="240" w:lineRule="auto"/>
              <w:jc w:val="left"/>
            </w:pPr>
            <w:r>
              <w:rPr>
                <w:b/>
                <w:color w:val="000000"/>
                <w:sz w:val="18"/>
              </w:rPr>
              <w:t>Change</w:t>
            </w:r>
          </w:p>
        </w:tc>
        <w:tc>
          <w:tcPr>
            <w:tcW w:type="dxa" w:w="3686"/>
            <w:vAlign w:val="center"/>
            <w:tcMar>
              <w:top w:w="75" w:type="dxa"/>
              <w:bottom w:w="75" w:type="dxa"/>
              <w:left w:w="75" w:type="dxa"/>
              <w:right w:w="75" w:type="dxa"/>
            </w:tcMar>
            <w:shd w:fill="E8E8E8"/>
          </w:tcPr>
          <w:p>
            <w:pPr>
              <w:keepNext/>
              <w:spacing w:after="0" w:before="0" w:line="240" w:lineRule="auto"/>
              <w:jc w:val="left"/>
            </w:pPr>
            <w:r>
              <w:rPr>
                <w:b/>
                <w:color w:val="000000"/>
                <w:sz w:val="18"/>
              </w:rPr>
              <w:t>Timing and evidence</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D1</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Patch verifier and acceptance rule replace AKAZE.</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Region-03 tuning; switch criteria recorded before replacement evaluation.</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D2</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Exclude region 07 from predictor analyses.</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Earlier map-geometry concern; confirmed after pilot outcomes were seen.</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D3</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FE calibration and macro ranking become primary.</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Pilot labels and predictor results from all retained regions.</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D4</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Add global label-permutation control.</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Pilot control results; within-group shuffle retained as diagnostic.</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D5</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Exclude pilot frames from headline test scoring.</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Acknowledged reuse of development observations; source training unchanged.</w:t>
            </w:r>
          </w:p>
        </w:tc>
      </w:tr>
      <w:tr>
        <w:trPr>
          <w:cantSplit/>
        </w:trPr>
        <w:tc>
          <w:tcPr>
            <w:tcW w:type="dxa" w:w="648"/>
            <w:vAlign w:val="center"/>
            <w:tcMar>
              <w:top w:w="75" w:type="dxa"/>
              <w:bottom w:w="75" w:type="dxa"/>
              <w:left w:w="75" w:type="dxa"/>
              <w:right w:w="75" w:type="dxa"/>
            </w:tcMar>
          </w:tcPr>
          <w:p>
            <w:pPr>
              <w:keepNext/>
              <w:spacing w:after="0" w:before="0" w:line="240" w:lineRule="auto"/>
              <w:jc w:val="left"/>
            </w:pPr>
            <w:r>
              <w:rPr>
                <w:b w:val="0"/>
                <w:color w:val="000000"/>
                <w:sz w:val="18"/>
              </w:rPr>
              <w:t>D6</w:t>
            </w:r>
          </w:p>
        </w:tc>
        <w:tc>
          <w:tcPr>
            <w:tcW w:type="dxa" w:w="3888"/>
            <w:vAlign w:val="center"/>
            <w:tcMar>
              <w:top w:w="75" w:type="dxa"/>
              <w:bottom w:w="75" w:type="dxa"/>
              <w:left w:w="75" w:type="dxa"/>
              <w:right w:w="75" w:type="dxa"/>
            </w:tcMar>
          </w:tcPr>
          <w:p>
            <w:pPr>
              <w:keepNext/>
              <w:spacing w:after="0" w:before="0" w:line="240" w:lineRule="auto"/>
              <w:jc w:val="left"/>
            </w:pPr>
            <w:r>
              <w:rPr>
                <w:b w:val="0"/>
                <w:color w:val="000000"/>
                <w:sz w:val="18"/>
              </w:rPr>
              <w:t>Add flight-context and quality/label sensitivities.</w:t>
            </w:r>
          </w:p>
        </w:tc>
        <w:tc>
          <w:tcPr>
            <w:tcW w:type="dxa" w:w="3686"/>
            <w:vAlign w:val="center"/>
            <w:tcMar>
              <w:top w:w="75" w:type="dxa"/>
              <w:bottom w:w="75" w:type="dxa"/>
              <w:left w:w="75" w:type="dxa"/>
              <w:right w:w="75" w:type="dxa"/>
            </w:tcMar>
          </w:tcPr>
          <w:p>
            <w:pPr>
              <w:keepNext/>
              <w:spacing w:after="0" w:before="0" w:line="240" w:lineRule="auto"/>
              <w:jc w:val="left"/>
            </w:pPr>
            <w:r>
              <w:rPr>
                <w:b w:val="0"/>
                <w:color w:val="000000"/>
                <w:sz w:val="18"/>
              </w:rPr>
              <w:t>Exploratory pilot analysis and label-free metadata audits; v5 frozen before full labels.</w:t>
            </w:r>
          </w:p>
        </w:tc>
      </w:tr>
    </w:tbl>
    <w:p>
      <w:pPr>
        <w:pStyle w:val="Caption"/>
      </w:pPr>
      <w:r>
        <w:t>Table 2. Recorded protocol changes and the evidence available when they were made. Changes after the pilot are disclosed rather than described as fully specified before any outcome was observed.</w:t>
      </w:r>
    </w:p>
    <w:p>
      <w:r>
        <w:t>The full-scale design is fixed before full-scale labels under the recorded protocol, but pilot outcomes from the same geographic regions informed several decisions. Removing pilot frames from scoring reduces direct reuse of development observations; it does not make the remaining flights or regions wholly unexamined. The resulting study tests held-out-group model fitting within a development-informed dataset. Stronger evidence of geographic transfer would require additional regions untouched by study development.</w:t>
      </w:r>
    </w:p>
    <w:p>
      <w:pPr>
        <w:pStyle w:val="Heading1"/>
      </w:pPr>
      <w:r>
        <w:t>5 Results</w:t>
      </w:r>
    </w:p>
    <w:p>
      <w:r>
        <w:rPr>
          <w:color w:val="C00000"/>
        </w:rPr>
        <w:t>RESULT STATUS: The following measurements are temporary development evidence. The localizer pilot has 110 frames and 990 attempts across eleven regions. The predictor pilot v3 excludes region 07 and has 100 frames and 900 attempts across seven groups. It predates D5 headline exclusions and the v5 diagnostics. It must not be described as the final v5 test set. All pilot result paragraphs and result-table values are red for replacement.</w:t>
      </w:r>
    </w:p>
    <w:p>
      <w:pPr>
        <w:pStyle w:val="Heading2"/>
      </w:pPr>
      <w:r>
        <w:t>5.1 Localization outcomes</w:t>
      </w:r>
    </w:p>
    <w:p>
      <w:r>
        <w:rPr>
          <w:color w:val="C00000"/>
        </w:rPr>
        <w:t>PILOT ONLY: The localizer produced 442 AC, 539 REJ and nine AI outcomes from 990 attempts: 44.65%, 54.44% and 0.91%, respectively. Precision among accepted fixes was 442/451 = 98.00%. At 25 m and 50 m, the accepted-correct fractions were 202/990 = 20.40% and 387/990 = 39.09%. After excluding region 07, the predictor population contains 442 AC, 449 REJ and nine AI outcomes from 900 attempts, for an AC prevalence of 49.11%.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584"/>
        <w:gridCol w:w="864"/>
        <w:gridCol w:w="792"/>
        <w:gridCol w:w="864"/>
        <w:gridCol w:w="720"/>
        <w:gridCol w:w="1152"/>
        <w:gridCol w:w="1382"/>
      </w:tblGrid>
      <w:tr>
        <w:trPr>
          <w:cantSplit/>
          <w:tblHeader/>
        </w:trPr>
        <w:tc>
          <w:tcPr>
            <w:tcW w:type="dxa" w:w="864"/>
            <w:vAlign w:val="center"/>
            <w:tcMar>
              <w:top w:w="75" w:type="dxa"/>
              <w:bottom w:w="75" w:type="dxa"/>
              <w:left w:w="75" w:type="dxa"/>
              <w:right w:w="75" w:type="dxa"/>
            </w:tcMar>
            <w:shd w:fill="E8E8E8"/>
          </w:tcPr>
          <w:p>
            <w:pPr>
              <w:keepNext/>
              <w:spacing w:after="0" w:before="0" w:line="240" w:lineRule="auto"/>
              <w:jc w:val="left"/>
            </w:pPr>
            <w:r>
              <w:rPr>
                <w:b/>
                <w:color w:val="C00000"/>
                <w:sz w:val="18"/>
              </w:rPr>
              <w:t>Group</w:t>
            </w:r>
          </w:p>
        </w:tc>
        <w:tc>
          <w:tcPr>
            <w:tcW w:type="dxa" w:w="1584"/>
            <w:vAlign w:val="center"/>
            <w:tcMar>
              <w:top w:w="75" w:type="dxa"/>
              <w:bottom w:w="75" w:type="dxa"/>
              <w:left w:w="75" w:type="dxa"/>
              <w:right w:w="75" w:type="dxa"/>
            </w:tcMar>
            <w:shd w:fill="E8E8E8"/>
          </w:tcPr>
          <w:p>
            <w:pPr>
              <w:keepNext/>
              <w:spacing w:after="0" w:before="0" w:line="240" w:lineRule="auto"/>
              <w:jc w:val="center"/>
            </w:pPr>
            <w:r>
              <w:rPr>
                <w:b/>
                <w:color w:val="C00000"/>
                <w:sz w:val="18"/>
              </w:rPr>
              <w:t>Regions</w:t>
            </w:r>
          </w:p>
        </w:tc>
        <w:tc>
          <w:tcPr>
            <w:tcW w:type="dxa" w:w="864"/>
            <w:vAlign w:val="center"/>
            <w:tcMar>
              <w:top w:w="75" w:type="dxa"/>
              <w:bottom w:w="75" w:type="dxa"/>
              <w:left w:w="75" w:type="dxa"/>
              <w:right w:w="75" w:type="dxa"/>
            </w:tcMar>
            <w:shd w:fill="E8E8E8"/>
          </w:tcPr>
          <w:p>
            <w:pPr>
              <w:keepNext/>
              <w:spacing w:after="0" w:before="0" w:line="240" w:lineRule="auto"/>
              <w:jc w:val="center"/>
            </w:pPr>
            <w:r>
              <w:rPr>
                <w:b/>
                <w:color w:val="C00000"/>
                <w:sz w:val="18"/>
              </w:rPr>
              <w:t>N</w:t>
            </w:r>
          </w:p>
        </w:tc>
        <w:tc>
          <w:tcPr>
            <w:tcW w:type="dxa" w:w="792"/>
            <w:vAlign w:val="center"/>
            <w:tcMar>
              <w:top w:w="75" w:type="dxa"/>
              <w:bottom w:w="75" w:type="dxa"/>
              <w:left w:w="75" w:type="dxa"/>
              <w:right w:w="75" w:type="dxa"/>
            </w:tcMar>
            <w:shd w:fill="E8E8E8"/>
          </w:tcPr>
          <w:p>
            <w:pPr>
              <w:keepNext/>
              <w:spacing w:after="0" w:before="0" w:line="240" w:lineRule="auto"/>
              <w:jc w:val="center"/>
            </w:pPr>
            <w:r>
              <w:rPr>
                <w:b/>
                <w:color w:val="C00000"/>
                <w:sz w:val="18"/>
              </w:rPr>
              <w:t>AC</w:t>
            </w:r>
          </w:p>
        </w:tc>
        <w:tc>
          <w:tcPr>
            <w:tcW w:type="dxa" w:w="864"/>
            <w:vAlign w:val="center"/>
            <w:tcMar>
              <w:top w:w="75" w:type="dxa"/>
              <w:bottom w:w="75" w:type="dxa"/>
              <w:left w:w="75" w:type="dxa"/>
              <w:right w:w="75" w:type="dxa"/>
            </w:tcMar>
            <w:shd w:fill="E8E8E8"/>
          </w:tcPr>
          <w:p>
            <w:pPr>
              <w:keepNext/>
              <w:spacing w:after="0" w:before="0" w:line="240" w:lineRule="auto"/>
              <w:jc w:val="center"/>
            </w:pPr>
            <w:r>
              <w:rPr>
                <w:b/>
                <w:color w:val="C00000"/>
                <w:sz w:val="18"/>
              </w:rPr>
              <w:t>REJ</w:t>
            </w:r>
          </w:p>
        </w:tc>
        <w:tc>
          <w:tcPr>
            <w:tcW w:type="dxa" w:w="720"/>
            <w:vAlign w:val="center"/>
            <w:tcMar>
              <w:top w:w="75" w:type="dxa"/>
              <w:bottom w:w="75" w:type="dxa"/>
              <w:left w:w="75" w:type="dxa"/>
              <w:right w:w="75" w:type="dxa"/>
            </w:tcMar>
            <w:shd w:fill="E8E8E8"/>
          </w:tcPr>
          <w:p>
            <w:pPr>
              <w:keepNext/>
              <w:spacing w:after="0" w:before="0" w:line="240" w:lineRule="auto"/>
              <w:jc w:val="center"/>
            </w:pPr>
            <w:r>
              <w:rPr>
                <w:b/>
                <w:color w:val="C00000"/>
                <w:sz w:val="18"/>
              </w:rPr>
              <w:t>AI</w:t>
            </w:r>
          </w:p>
        </w:tc>
        <w:tc>
          <w:tcPr>
            <w:tcW w:type="dxa" w:w="1152"/>
            <w:vAlign w:val="center"/>
            <w:tcMar>
              <w:top w:w="75" w:type="dxa"/>
              <w:bottom w:w="75" w:type="dxa"/>
              <w:left w:w="75" w:type="dxa"/>
              <w:right w:w="75" w:type="dxa"/>
            </w:tcMar>
            <w:shd w:fill="E8E8E8"/>
          </w:tcPr>
          <w:p>
            <w:pPr>
              <w:keepNext/>
              <w:spacing w:after="0" w:before="0" w:line="240" w:lineRule="auto"/>
              <w:jc w:val="center"/>
            </w:pPr>
            <w:r>
              <w:rPr>
                <w:b/>
                <w:color w:val="C00000"/>
                <w:sz w:val="18"/>
              </w:rPr>
              <w:t>AC rate</w:t>
            </w:r>
          </w:p>
        </w:tc>
        <w:tc>
          <w:tcPr>
            <w:tcW w:type="dxa" w:w="1382"/>
            <w:vAlign w:val="center"/>
            <w:tcMar>
              <w:top w:w="75" w:type="dxa"/>
              <w:bottom w:w="75" w:type="dxa"/>
              <w:left w:w="75" w:type="dxa"/>
              <w:right w:w="75" w:type="dxa"/>
            </w:tcMar>
            <w:shd w:fill="E8E8E8"/>
          </w:tcPr>
          <w:p>
            <w:pPr>
              <w:keepNext/>
              <w:spacing w:after="0" w:before="0" w:line="240" w:lineRule="auto"/>
              <w:jc w:val="center"/>
            </w:pPr>
            <w:r>
              <w:rPr>
                <w:b/>
                <w:color w:val="C00000"/>
                <w:sz w:val="18"/>
              </w:rPr>
              <w:t>Precision</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G1</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01,02</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180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68</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112</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0.378</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1.000</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G2</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03,04</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180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159</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21</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0.883</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1.000</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G3</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05</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24</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63</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3</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0.267</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0.889</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G4</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06</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5</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79</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6</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0.056</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0.455</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G5</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10</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0.000</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G6</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08,09</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180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106</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74</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0.589</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1.000</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G7</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11</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80</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10</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0</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0.889</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1.000</w:t>
            </w:r>
          </w:p>
        </w:tc>
      </w:tr>
      <w:tr>
        <w:trPr>
          <w:cantSplit/>
        </w:trPr>
        <w:tc>
          <w:tcPr>
            <w:tcW w:type="dxa" w:w="864"/>
            <w:vAlign w:val="center"/>
            <w:tcMar>
              <w:top w:w="75" w:type="dxa"/>
              <w:bottom w:w="75" w:type="dxa"/>
              <w:left w:w="75" w:type="dxa"/>
              <w:right w:w="75" w:type="dxa"/>
            </w:tcMar>
          </w:tcPr>
          <w:p>
            <w:pPr>
              <w:keepNext/>
              <w:spacing w:after="0" w:before="0" w:line="240" w:lineRule="auto"/>
              <w:jc w:val="left"/>
            </w:pPr>
            <w:r>
              <w:rPr>
                <w:b w:val="0"/>
                <w:color w:val="C00000"/>
                <w:sz w:val="18"/>
              </w:rPr>
              <w:t>All</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07 excluded</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900</w:t>
            </w:r>
          </w:p>
        </w:tc>
        <w:tc>
          <w:tcPr>
            <w:tcW w:type="dxa" w:w="792"/>
            <w:vAlign w:val="center"/>
            <w:tcMar>
              <w:top w:w="75" w:type="dxa"/>
              <w:bottom w:w="75" w:type="dxa"/>
              <w:left w:w="75" w:type="dxa"/>
              <w:right w:w="75" w:type="dxa"/>
            </w:tcMar>
          </w:tcPr>
          <w:p>
            <w:pPr>
              <w:keepNext/>
              <w:spacing w:after="0" w:before="0" w:line="240" w:lineRule="auto"/>
              <w:jc w:val="center"/>
            </w:pPr>
            <w:r>
              <w:rPr>
                <w:b w:val="0"/>
                <w:color w:val="C00000"/>
                <w:sz w:val="18"/>
              </w:rPr>
              <w:t>442</w:t>
            </w:r>
          </w:p>
        </w:tc>
        <w:tc>
          <w:tcPr>
            <w:tcW w:type="dxa" w:w="864"/>
            <w:vAlign w:val="center"/>
            <w:tcMar>
              <w:top w:w="75" w:type="dxa"/>
              <w:bottom w:w="75" w:type="dxa"/>
              <w:left w:w="75" w:type="dxa"/>
              <w:right w:w="75" w:type="dxa"/>
            </w:tcMar>
          </w:tcPr>
          <w:p>
            <w:pPr>
              <w:keepNext/>
              <w:spacing w:after="0" w:before="0" w:line="240" w:lineRule="auto"/>
              <w:jc w:val="center"/>
            </w:pPr>
            <w:r>
              <w:rPr>
                <w:b w:val="0"/>
                <w:color w:val="C00000"/>
                <w:sz w:val="18"/>
              </w:rPr>
              <w:t>449</w:t>
            </w:r>
          </w:p>
        </w:tc>
        <w:tc>
          <w:tcPr>
            <w:tcW w:type="dxa" w:w="720"/>
            <w:vAlign w:val="center"/>
            <w:tcMar>
              <w:top w:w="75" w:type="dxa"/>
              <w:bottom w:w="75" w:type="dxa"/>
              <w:left w:w="75" w:type="dxa"/>
              <w:right w:w="75" w:type="dxa"/>
            </w:tcMar>
          </w:tcPr>
          <w:p>
            <w:pPr>
              <w:keepNext/>
              <w:spacing w:after="0" w:before="0" w:line="240" w:lineRule="auto"/>
              <w:jc w:val="center"/>
            </w:pPr>
            <w:r>
              <w:rPr>
                <w:b w:val="0"/>
                <w:color w:val="C00000"/>
                <w:sz w:val="18"/>
              </w:rPr>
              <w:t>9</w:t>
            </w:r>
          </w:p>
        </w:tc>
        <w:tc>
          <w:tcPr>
            <w:tcW w:type="dxa" w:w="1152"/>
            <w:vAlign w:val="center"/>
            <w:tcMar>
              <w:top w:w="75" w:type="dxa"/>
              <w:bottom w:w="75" w:type="dxa"/>
              <w:left w:w="75" w:type="dxa"/>
              <w:right w:w="75" w:type="dxa"/>
            </w:tcMar>
          </w:tcPr>
          <w:p>
            <w:pPr>
              <w:keepNext/>
              <w:spacing w:after="0" w:before="0" w:line="240" w:lineRule="auto"/>
              <w:jc w:val="center"/>
            </w:pPr>
            <w:r>
              <w:rPr>
                <w:b w:val="0"/>
                <w:color w:val="C00000"/>
                <w:sz w:val="18"/>
              </w:rPr>
              <w:t>0.491</w:t>
            </w:r>
          </w:p>
        </w:tc>
        <w:tc>
          <w:tcPr>
            <w:tcW w:type="dxa" w:w="1382"/>
            <w:vAlign w:val="center"/>
            <w:tcMar>
              <w:top w:w="75" w:type="dxa"/>
              <w:bottom w:w="75" w:type="dxa"/>
              <w:left w:w="75" w:type="dxa"/>
              <w:right w:w="75" w:type="dxa"/>
            </w:tcMar>
          </w:tcPr>
          <w:p>
            <w:pPr>
              <w:keepNext/>
              <w:spacing w:after="0" w:before="0" w:line="240" w:lineRule="auto"/>
              <w:jc w:val="center"/>
            </w:pPr>
            <w:r>
              <w:rPr>
                <w:b w:val="0"/>
                <w:color w:val="C00000"/>
                <w:sz w:val="18"/>
              </w:rPr>
              <w:t>0.980</w:t>
            </w:r>
          </w:p>
        </w:tc>
      </w:tr>
    </w:tbl>
    <w:p>
      <w:pPr>
        <w:pStyle w:val="Caption"/>
      </w:pPr>
      <w:r>
        <w:rPr>
          <w:color w:val="C00000"/>
        </w:rPr>
        <w:t>Table 3. PILOT ONLY. Localizer outcomes for the predictor population at the 100 m tolerance. AC and AI are defined relative to the recorded ground truth. Precision is AC/(AC + AI); it is undefined when no fix is accepted. Replace with validated full-test counts and identify the scoring population.</w:t>
      </w:r>
    </w:p>
    <w:p>
      <w:r>
        <w:rPr>
          <w:color w:val="C00000"/>
        </w:rPr>
        <w:t>PILOT ONLY: At radii of 100, 300 and 1,000 m, the all-region AC counts were 150/330, 161/330 and 131/330. The observed radius pattern is not monotonic. AC fractions declined across the four reported prior-offset/radius bins from 193/369 to 209/476, 39/139 and 1/6. The final bin has only six attempts, so its rate is especially imprecise. These observations are consistent with prior offsets scaling with radius and context crops extending beyond selected tile centres; they do not isolate a causal effect of radius.</w:t>
      </w:r>
    </w:p>
    <w:p>
      <w:r>
        <w:rPr>
          <w:color w:val="C00000"/>
        </w:rPr>
        <w:t>PILOT ONLY: All nine AI outcomes come from two frames, with twenty inliers in each accepted fit. The saved visual review identifies a wrong match on repetitive terrain for the region-05 frame and a scene correspondence inconsistent with the recorded coordinate for the region-06 frame. The latter suggests possible metadata error but does not justify relabelling from the matcher’s own output. AI outcomes therefore remain counted under the registered definition.</w:t>
      </w:r>
    </w:p>
    <w:p>
      <w:pPr>
        <w:keepLines/>
      </w:pPr>
      <w:r>
        <w:rPr>
          <w:color w:val="C00000"/>
        </w:rPr>
        <w:t>[FIGURE 3 PLACEHOLDER — Insert full-test outcome plots here. Panel A: stacked AC, AI and REJ proportions by group, with attempts and frames. Panel B: AC and AI fractions versus prior displacement divided by radius, showing bin counts. Panel C: outcomes by radius. Clearly identify pilot exclusions and G2; do not use independent-attempt confidence intervals. Caption: Localization outcomes under controlled search priors.]</w:t>
      </w:r>
    </w:p>
    <w:p>
      <w:r>
        <w:rPr>
          <w:color w:val="C00000"/>
        </w:rPr>
        <w:t>[FULL-TEST RESULT PENDING: Replace Table 3 and the pilot paragraphs with validated overall and groupwise counts, AC rates at 25/50/100 m, accepted-fix precision, offset trends and radius trends. Report both AI frequency among all attempts and its share among accepted fixes.]</w:t>
      </w:r>
    </w:p>
    <w:p>
      <w:pPr>
        <w:pStyle w:val="Heading2"/>
      </w:pPr>
      <w:r>
        <w:t>5.2 RQ1 Map based discrimination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512"/>
        <w:gridCol w:w="1584"/>
        <w:gridCol w:w="1886"/>
      </w:tblGrid>
      <w:tr>
        <w:trPr>
          <w:cantSplit/>
          <w:tblHeader/>
        </w:trPr>
        <w:tc>
          <w:tcPr>
            <w:tcW w:type="dxa" w:w="3240"/>
            <w:vAlign w:val="center"/>
            <w:tcMar>
              <w:top w:w="75" w:type="dxa"/>
              <w:bottom w:w="75" w:type="dxa"/>
              <w:left w:w="75" w:type="dxa"/>
              <w:right w:w="75" w:type="dxa"/>
            </w:tcMar>
            <w:shd w:fill="E8E8E8"/>
          </w:tcPr>
          <w:p>
            <w:pPr>
              <w:keepNext/>
              <w:spacing w:after="0" w:before="0" w:line="240" w:lineRule="auto"/>
              <w:jc w:val="left"/>
            </w:pPr>
            <w:r>
              <w:rPr>
                <w:b/>
                <w:color w:val="C00000"/>
                <w:sz w:val="18"/>
              </w:rPr>
              <w:t>Model</w:t>
            </w:r>
          </w:p>
        </w:tc>
        <w:tc>
          <w:tcPr>
            <w:tcW w:type="dxa" w:w="1512"/>
            <w:vAlign w:val="center"/>
            <w:tcMar>
              <w:top w:w="75" w:type="dxa"/>
              <w:bottom w:w="75" w:type="dxa"/>
              <w:left w:w="75" w:type="dxa"/>
              <w:right w:w="75" w:type="dxa"/>
            </w:tcMar>
            <w:shd w:fill="E8E8E8"/>
          </w:tcPr>
          <w:p>
            <w:pPr>
              <w:keepNext/>
              <w:spacing w:after="0" w:before="0" w:line="240" w:lineRule="auto"/>
              <w:jc w:val="center"/>
            </w:pPr>
            <w:r>
              <w:rPr>
                <w:b/>
                <w:color w:val="C00000"/>
                <w:sz w:val="18"/>
              </w:rPr>
              <w:t>Macro AUROC</w:t>
            </w:r>
          </w:p>
        </w:tc>
        <w:tc>
          <w:tcPr>
            <w:tcW w:type="dxa" w:w="1584"/>
            <w:vAlign w:val="center"/>
            <w:tcMar>
              <w:top w:w="75" w:type="dxa"/>
              <w:bottom w:w="75" w:type="dxa"/>
              <w:left w:w="75" w:type="dxa"/>
              <w:right w:w="75" w:type="dxa"/>
            </w:tcMar>
            <w:shd w:fill="E8E8E8"/>
          </w:tcPr>
          <w:p>
            <w:pPr>
              <w:keepNext/>
              <w:spacing w:after="0" w:before="0" w:line="240" w:lineRule="auto"/>
              <w:jc w:val="center"/>
            </w:pPr>
            <w:r>
              <w:rPr>
                <w:b/>
                <w:color w:val="C00000"/>
                <w:sz w:val="18"/>
              </w:rPr>
              <w:t>AUROC excl G2</w:t>
            </w:r>
          </w:p>
        </w:tc>
        <w:tc>
          <w:tcPr>
            <w:tcW w:type="dxa" w:w="1886"/>
            <w:vAlign w:val="center"/>
            <w:tcMar>
              <w:top w:w="75" w:type="dxa"/>
              <w:bottom w:w="75" w:type="dxa"/>
              <w:left w:w="75" w:type="dxa"/>
              <w:right w:w="75" w:type="dxa"/>
            </w:tcMar>
            <w:shd w:fill="E8E8E8"/>
          </w:tcPr>
          <w:p>
            <w:pPr>
              <w:keepNext/>
              <w:spacing w:after="0" w:before="0" w:line="240" w:lineRule="auto"/>
              <w:jc w:val="center"/>
            </w:pPr>
            <w:r>
              <w:rPr>
                <w:b/>
                <w:color w:val="C00000"/>
                <w:sz w:val="18"/>
              </w:rPr>
              <w:t>Macro average precision</w:t>
            </w:r>
          </w:p>
        </w:tc>
      </w:tr>
      <w:tr>
        <w:trPr>
          <w:cantSplit/>
        </w:trPr>
        <w:tc>
          <w:tcPr>
            <w:tcW w:type="dxa" w:w="3240"/>
            <w:vAlign w:val="center"/>
            <w:tcMar>
              <w:top w:w="75" w:type="dxa"/>
              <w:bottom w:w="75" w:type="dxa"/>
              <w:left w:w="75" w:type="dxa"/>
              <w:right w:w="75" w:type="dxa"/>
            </w:tcMar>
          </w:tcPr>
          <w:p>
            <w:pPr>
              <w:keepNext/>
              <w:spacing w:after="0" w:before="0" w:line="240" w:lineRule="auto"/>
              <w:jc w:val="left"/>
            </w:pPr>
            <w:r>
              <w:rPr>
                <w:b w:val="0"/>
                <w:color w:val="C00000"/>
                <w:sz w:val="18"/>
              </w:rPr>
              <w:t>M0 constant</w:t>
            </w:r>
          </w:p>
        </w:tc>
        <w:tc>
          <w:tcPr>
            <w:tcW w:type="dxa" w:w="1512"/>
            <w:vAlign w:val="center"/>
            <w:tcMar>
              <w:top w:w="75" w:type="dxa"/>
              <w:bottom w:w="75" w:type="dxa"/>
              <w:left w:w="75" w:type="dxa"/>
              <w:right w:w="75" w:type="dxa"/>
            </w:tcMar>
          </w:tcPr>
          <w:p>
            <w:pPr>
              <w:keepNext/>
              <w:spacing w:after="0" w:before="0" w:line="240" w:lineRule="auto"/>
              <w:jc w:val="center"/>
            </w:pPr>
            <w:r>
              <w:rPr>
                <w:b w:val="0"/>
                <w:color w:val="C00000"/>
                <w:sz w:val="18"/>
              </w:rPr>
              <w:t>0.500</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0.500</w:t>
            </w:r>
          </w:p>
        </w:tc>
        <w:tc>
          <w:tcPr>
            <w:tcW w:type="dxa" w:w="1886"/>
            <w:vAlign w:val="center"/>
            <w:tcMar>
              <w:top w:w="75" w:type="dxa"/>
              <w:bottom w:w="75" w:type="dxa"/>
              <w:left w:w="75" w:type="dxa"/>
              <w:right w:w="75" w:type="dxa"/>
            </w:tcMar>
          </w:tcPr>
          <w:p>
            <w:pPr>
              <w:keepNext/>
              <w:spacing w:after="0" w:before="0" w:line="240" w:lineRule="auto"/>
              <w:jc w:val="center"/>
            </w:pPr>
            <w:r>
              <w:rPr>
                <w:b w:val="0"/>
                <w:color w:val="C00000"/>
                <w:sz w:val="18"/>
              </w:rPr>
              <w:t>0.510</w:t>
            </w:r>
          </w:p>
        </w:tc>
      </w:tr>
      <w:tr>
        <w:trPr>
          <w:cantSplit/>
        </w:trPr>
        <w:tc>
          <w:tcPr>
            <w:tcW w:type="dxa" w:w="3240"/>
            <w:vAlign w:val="center"/>
            <w:tcMar>
              <w:top w:w="75" w:type="dxa"/>
              <w:bottom w:w="75" w:type="dxa"/>
              <w:left w:w="75" w:type="dxa"/>
              <w:right w:w="75" w:type="dxa"/>
            </w:tcMar>
          </w:tcPr>
          <w:p>
            <w:pPr>
              <w:keepNext/>
              <w:spacing w:after="0" w:before="0" w:line="240" w:lineRule="auto"/>
              <w:jc w:val="left"/>
            </w:pPr>
            <w:r>
              <w:rPr>
                <w:b w:val="0"/>
                <w:color w:val="C00000"/>
                <w:sz w:val="18"/>
              </w:rPr>
              <w:t>M1 texture</w:t>
            </w:r>
          </w:p>
        </w:tc>
        <w:tc>
          <w:tcPr>
            <w:tcW w:type="dxa" w:w="1512"/>
            <w:vAlign w:val="center"/>
            <w:tcMar>
              <w:top w:w="75" w:type="dxa"/>
              <w:bottom w:w="75" w:type="dxa"/>
              <w:left w:w="75" w:type="dxa"/>
              <w:right w:w="75" w:type="dxa"/>
            </w:tcMar>
          </w:tcPr>
          <w:p>
            <w:pPr>
              <w:keepNext/>
              <w:spacing w:after="0" w:before="0" w:line="240" w:lineRule="auto"/>
              <w:jc w:val="center"/>
            </w:pPr>
            <w:r>
              <w:rPr>
                <w:b w:val="0"/>
                <w:color w:val="C00000"/>
                <w:sz w:val="18"/>
              </w:rPr>
              <w:t>0.552</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0.536</w:t>
            </w:r>
          </w:p>
        </w:tc>
        <w:tc>
          <w:tcPr>
            <w:tcW w:type="dxa" w:w="1886"/>
            <w:vAlign w:val="center"/>
            <w:tcMar>
              <w:top w:w="75" w:type="dxa"/>
              <w:bottom w:w="75" w:type="dxa"/>
              <w:left w:w="75" w:type="dxa"/>
              <w:right w:w="75" w:type="dxa"/>
            </w:tcMar>
          </w:tcPr>
          <w:p>
            <w:pPr>
              <w:keepNext/>
              <w:spacing w:after="0" w:before="0" w:line="240" w:lineRule="auto"/>
              <w:jc w:val="center"/>
            </w:pPr>
            <w:r>
              <w:rPr>
                <w:b w:val="0"/>
                <w:color w:val="C00000"/>
                <w:sz w:val="18"/>
              </w:rPr>
              <w:t>0.554</w:t>
            </w:r>
          </w:p>
        </w:tc>
      </w:tr>
      <w:tr>
        <w:trPr>
          <w:cantSplit/>
        </w:trPr>
        <w:tc>
          <w:tcPr>
            <w:tcW w:type="dxa" w:w="3240"/>
            <w:vAlign w:val="center"/>
            <w:tcMar>
              <w:top w:w="75" w:type="dxa"/>
              <w:bottom w:w="75" w:type="dxa"/>
              <w:left w:w="75" w:type="dxa"/>
              <w:right w:w="75" w:type="dxa"/>
            </w:tcMar>
          </w:tcPr>
          <w:p>
            <w:pPr>
              <w:keepNext/>
              <w:spacing w:after="0" w:before="0" w:line="240" w:lineRule="auto"/>
              <w:jc w:val="left"/>
            </w:pPr>
            <w:r>
              <w:rPr>
                <w:b w:val="0"/>
                <w:color w:val="C00000"/>
                <w:sz w:val="18"/>
              </w:rPr>
              <w:t>M2 DINOv2</w:t>
            </w:r>
          </w:p>
        </w:tc>
        <w:tc>
          <w:tcPr>
            <w:tcW w:type="dxa" w:w="1512"/>
            <w:vAlign w:val="center"/>
            <w:tcMar>
              <w:top w:w="75" w:type="dxa"/>
              <w:bottom w:w="75" w:type="dxa"/>
              <w:left w:w="75" w:type="dxa"/>
              <w:right w:w="75" w:type="dxa"/>
            </w:tcMar>
          </w:tcPr>
          <w:p>
            <w:pPr>
              <w:keepNext/>
              <w:spacing w:after="0" w:before="0" w:line="240" w:lineRule="auto"/>
              <w:jc w:val="center"/>
            </w:pPr>
            <w:r>
              <w:rPr>
                <w:b w:val="0"/>
                <w:color w:val="C00000"/>
                <w:sz w:val="18"/>
              </w:rPr>
              <w:t>0.651</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0.658</w:t>
            </w:r>
          </w:p>
        </w:tc>
        <w:tc>
          <w:tcPr>
            <w:tcW w:type="dxa" w:w="1886"/>
            <w:vAlign w:val="center"/>
            <w:tcMar>
              <w:top w:w="75" w:type="dxa"/>
              <w:bottom w:w="75" w:type="dxa"/>
              <w:left w:w="75" w:type="dxa"/>
              <w:right w:w="75" w:type="dxa"/>
            </w:tcMar>
          </w:tcPr>
          <w:p>
            <w:pPr>
              <w:keepNext/>
              <w:spacing w:after="0" w:before="0" w:line="240" w:lineRule="auto"/>
              <w:jc w:val="center"/>
            </w:pPr>
            <w:r>
              <w:rPr>
                <w:b w:val="0"/>
                <w:color w:val="C00000"/>
                <w:sz w:val="18"/>
              </w:rPr>
              <w:t>0.624</w:t>
            </w:r>
          </w:p>
        </w:tc>
      </w:tr>
      <w:tr>
        <w:trPr>
          <w:cantSplit/>
        </w:trPr>
        <w:tc>
          <w:tcPr>
            <w:tcW w:type="dxa" w:w="3240"/>
            <w:vAlign w:val="center"/>
            <w:tcMar>
              <w:top w:w="75" w:type="dxa"/>
              <w:bottom w:w="75" w:type="dxa"/>
              <w:left w:w="75" w:type="dxa"/>
              <w:right w:w="75" w:type="dxa"/>
            </w:tcMar>
          </w:tcPr>
          <w:p>
            <w:pPr>
              <w:keepNext/>
              <w:spacing w:after="0" w:before="0" w:line="240" w:lineRule="auto"/>
              <w:jc w:val="left"/>
            </w:pPr>
            <w:r>
              <w:rPr>
                <w:b w:val="0"/>
                <w:color w:val="C00000"/>
                <w:sz w:val="18"/>
              </w:rPr>
              <w:t>M3 DINOv2 + distinctiveness</w:t>
            </w:r>
          </w:p>
        </w:tc>
        <w:tc>
          <w:tcPr>
            <w:tcW w:type="dxa" w:w="1512"/>
            <w:vAlign w:val="center"/>
            <w:tcMar>
              <w:top w:w="75" w:type="dxa"/>
              <w:bottom w:w="75" w:type="dxa"/>
              <w:left w:w="75" w:type="dxa"/>
              <w:right w:w="75" w:type="dxa"/>
            </w:tcMar>
          </w:tcPr>
          <w:p>
            <w:pPr>
              <w:keepNext/>
              <w:spacing w:after="0" w:before="0" w:line="240" w:lineRule="auto"/>
              <w:jc w:val="center"/>
            </w:pPr>
            <w:r>
              <w:rPr>
                <w:b w:val="0"/>
                <w:color w:val="C00000"/>
                <w:sz w:val="18"/>
              </w:rPr>
              <w:t>0.639</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0.643</w:t>
            </w:r>
          </w:p>
        </w:tc>
        <w:tc>
          <w:tcPr>
            <w:tcW w:type="dxa" w:w="1886"/>
            <w:vAlign w:val="center"/>
            <w:tcMar>
              <w:top w:w="75" w:type="dxa"/>
              <w:bottom w:w="75" w:type="dxa"/>
              <w:left w:w="75" w:type="dxa"/>
              <w:right w:w="75" w:type="dxa"/>
            </w:tcMar>
          </w:tcPr>
          <w:p>
            <w:pPr>
              <w:keepNext/>
              <w:spacing w:after="0" w:before="0" w:line="240" w:lineRule="auto"/>
              <w:jc w:val="center"/>
            </w:pPr>
            <w:r>
              <w:rPr>
                <w:b w:val="0"/>
                <w:color w:val="C00000"/>
                <w:sz w:val="18"/>
              </w:rPr>
              <w:t>0.601</w:t>
            </w:r>
          </w:p>
        </w:tc>
      </w:tr>
    </w:tbl>
    <w:p>
      <w:pPr>
        <w:pStyle w:val="Caption"/>
      </w:pPr>
      <w:r>
        <w:rPr>
          <w:color w:val="C00000"/>
        </w:rPr>
        <w:t>Table 4. PILOT ONLY. Raw predictor ranking from pilot v3. Average precision is the metric stored as pr_auc. The all-group ranking macro contains six two-class groups; excluding G2 leaves five. G5 is single-class and has undefined ranking metrics. Excluding G2 here changes the reporting average, not the training composition of other folds.</w:t>
      </w:r>
    </w:p>
    <w:p>
      <w:r>
        <w:rPr>
          <w:color w:val="C00000"/>
        </w:rPr>
        <w:t>PILOT ONLY: M2 achieved macro AUROC 0.651 compared with 0.552 for M1. M3 achieved 0.639, so distinctiveness did not improve the pilot aggregate over M2. M2’s per-group AUROC ranged from 0.506 to 0.824 among groups where it was defined. These are descriptive comparisons from a small pilot that informed development; they do not establish full-test superiority. The global permutation control returned mean macro AUROC 0.506 over twenty permutations, meeting its registered numerical criterion.</w:t>
      </w:r>
    </w:p>
    <w:p>
      <w:pPr>
        <w:keepLines/>
      </w:pPr>
      <w:r>
        <w:rPr>
          <w:color w:val="C00000"/>
        </w:rPr>
        <w:t>[FIGURE 4 PLACEHOLDER — Insert full-test groupwise AUROC and average-precision dot plots for M0–M3 here. Mark single-class groups as undefined and show group prevalence for interpreting average precision. Add a separate macro-contrast panel with paired group-bootstrap intervals after verification. A bootstrap over groups does not provide a within-group interval for an individual group; do not draw such intervals without a separately justified method. Caption: Discrimination within held-out spatial groups and macro model contrasts.]</w:t>
      </w:r>
    </w:p>
    <w:p>
      <w:r>
        <w:rPr>
          <w:color w:val="C00000"/>
        </w:rPr>
        <w:t>[RQ1 ANSWER PENDING: State the full-test macro and per-group results, the M2–M1 and M3–M2 differences, uncertainty where justified, and the results excluding G2. Describe a null or negative comparison directly; do not select the conclusion from pilot performance.]</w:t>
      </w:r>
    </w:p>
    <w:p>
      <w:pPr>
        <w:pStyle w:val="Heading2"/>
      </w:pPr>
      <w:r>
        <w:t>5.3 RQ2 Probability quality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304"/>
        <w:gridCol w:w="1584"/>
        <w:gridCol w:w="1742"/>
        <w:gridCol w:w="1584"/>
      </w:tblGrid>
      <w:tr>
        <w:trPr>
          <w:cantSplit/>
          <w:tblHeader/>
        </w:trPr>
        <w:tc>
          <w:tcPr>
            <w:tcW w:type="dxa" w:w="1008"/>
            <w:vAlign w:val="center"/>
            <w:tcMar>
              <w:top w:w="75" w:type="dxa"/>
              <w:bottom w:w="75" w:type="dxa"/>
              <w:left w:w="75" w:type="dxa"/>
              <w:right w:w="75" w:type="dxa"/>
            </w:tcMar>
            <w:shd w:fill="E8E8E8"/>
          </w:tcPr>
          <w:p>
            <w:pPr>
              <w:keepNext/>
              <w:spacing w:after="0" w:before="0" w:line="240" w:lineRule="auto"/>
              <w:jc w:val="left"/>
            </w:pPr>
            <w:r>
              <w:rPr>
                <w:b/>
                <w:color w:val="C00000"/>
                <w:sz w:val="18"/>
              </w:rPr>
              <w:t>Model</w:t>
            </w:r>
          </w:p>
        </w:tc>
        <w:tc>
          <w:tcPr>
            <w:tcW w:type="dxa" w:w="2304"/>
            <w:vAlign w:val="center"/>
            <w:tcMar>
              <w:top w:w="75" w:type="dxa"/>
              <w:bottom w:w="75" w:type="dxa"/>
              <w:left w:w="75" w:type="dxa"/>
              <w:right w:w="75" w:type="dxa"/>
            </w:tcMar>
            <w:shd w:fill="E8E8E8"/>
          </w:tcPr>
          <w:p>
            <w:pPr>
              <w:keepNext/>
              <w:spacing w:after="0" w:before="0" w:line="240" w:lineRule="auto"/>
              <w:jc w:val="center"/>
            </w:pPr>
            <w:r>
              <w:rPr>
                <w:b/>
                <w:color w:val="C00000"/>
                <w:sz w:val="18"/>
              </w:rPr>
              <w:t>Variant</w:t>
            </w:r>
          </w:p>
        </w:tc>
        <w:tc>
          <w:tcPr>
            <w:tcW w:type="dxa" w:w="1584"/>
            <w:vAlign w:val="center"/>
            <w:tcMar>
              <w:top w:w="75" w:type="dxa"/>
              <w:bottom w:w="75" w:type="dxa"/>
              <w:left w:w="75" w:type="dxa"/>
              <w:right w:w="75" w:type="dxa"/>
            </w:tcMar>
            <w:shd w:fill="E8E8E8"/>
          </w:tcPr>
          <w:p>
            <w:pPr>
              <w:keepNext/>
              <w:spacing w:after="0" w:before="0" w:line="240" w:lineRule="auto"/>
              <w:jc w:val="center"/>
            </w:pPr>
            <w:r>
              <w:rPr>
                <w:b/>
                <w:color w:val="C00000"/>
                <w:sz w:val="18"/>
              </w:rPr>
              <w:t>Macro Brier</w:t>
            </w:r>
          </w:p>
        </w:tc>
        <w:tc>
          <w:tcPr>
            <w:tcW w:type="dxa" w:w="1742"/>
            <w:vAlign w:val="center"/>
            <w:tcMar>
              <w:top w:w="75" w:type="dxa"/>
              <w:bottom w:w="75" w:type="dxa"/>
              <w:left w:w="75" w:type="dxa"/>
              <w:right w:w="75" w:type="dxa"/>
            </w:tcMar>
            <w:shd w:fill="E8E8E8"/>
          </w:tcPr>
          <w:p>
            <w:pPr>
              <w:keepNext/>
              <w:spacing w:after="0" w:before="0" w:line="240" w:lineRule="auto"/>
              <w:jc w:val="center"/>
            </w:pPr>
            <w:r>
              <w:rPr>
                <w:b/>
                <w:color w:val="C00000"/>
                <w:sz w:val="18"/>
              </w:rPr>
              <w:t>Macro log loss</w:t>
            </w:r>
          </w:p>
        </w:tc>
        <w:tc>
          <w:tcPr>
            <w:tcW w:type="dxa" w:w="1584"/>
            <w:vAlign w:val="center"/>
            <w:tcMar>
              <w:top w:w="75" w:type="dxa"/>
              <w:bottom w:w="75" w:type="dxa"/>
              <w:left w:w="75" w:type="dxa"/>
              <w:right w:w="75" w:type="dxa"/>
            </w:tcMar>
            <w:shd w:fill="E8E8E8"/>
          </w:tcPr>
          <w:p>
            <w:pPr>
              <w:keepNext/>
              <w:spacing w:after="0" w:before="0" w:line="240" w:lineRule="auto"/>
              <w:jc w:val="center"/>
            </w:pPr>
            <w:r>
              <w:rPr>
                <w:b/>
                <w:color w:val="C00000"/>
                <w:sz w:val="18"/>
              </w:rPr>
              <w:t>Macro ECE</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M0</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Raw</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0.285</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0.763</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0.354</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M1</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Raw</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0.320</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0.875</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0.388</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M1</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FE</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0.291</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0.777</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0.359</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M1</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Registered</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0.301</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0.802</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0.370</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M2</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Raw</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0.287</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0.940</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0.331</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M2</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FE</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0.283</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0.779</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0.357</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M2</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Registered</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0.328</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0.877</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0.396</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M3</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Raw</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0.293</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0.961</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0.343</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M3</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FE</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0.285</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0.779</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0.357</w:t>
            </w:r>
          </w:p>
        </w:tc>
      </w:tr>
      <w:tr>
        <w:trPr>
          <w:cantSplit/>
        </w:trPr>
        <w:tc>
          <w:tcPr>
            <w:tcW w:type="dxa" w:w="1008"/>
            <w:vAlign w:val="center"/>
            <w:tcMar>
              <w:top w:w="75" w:type="dxa"/>
              <w:bottom w:w="75" w:type="dxa"/>
              <w:left w:w="75" w:type="dxa"/>
              <w:right w:w="75" w:type="dxa"/>
            </w:tcMar>
          </w:tcPr>
          <w:p>
            <w:pPr>
              <w:keepNext/>
              <w:spacing w:after="0" w:before="0" w:line="240" w:lineRule="auto"/>
              <w:jc w:val="left"/>
            </w:pPr>
            <w:r>
              <w:rPr>
                <w:b w:val="0"/>
                <w:color w:val="C00000"/>
                <w:sz w:val="18"/>
              </w:rPr>
              <w:t>M3</w:t>
            </w:r>
          </w:p>
        </w:tc>
        <w:tc>
          <w:tcPr>
            <w:tcW w:type="dxa" w:w="2304"/>
            <w:vAlign w:val="center"/>
            <w:tcMar>
              <w:top w:w="75" w:type="dxa"/>
              <w:bottom w:w="75" w:type="dxa"/>
              <w:left w:w="75" w:type="dxa"/>
              <w:right w:w="75" w:type="dxa"/>
            </w:tcMar>
          </w:tcPr>
          <w:p>
            <w:pPr>
              <w:keepNext/>
              <w:spacing w:after="0" w:before="0" w:line="240" w:lineRule="auto"/>
              <w:jc w:val="center"/>
            </w:pPr>
            <w:r>
              <w:rPr>
                <w:b w:val="0"/>
                <w:color w:val="C00000"/>
                <w:sz w:val="18"/>
              </w:rPr>
              <w:t>Registered</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0.329</w:t>
            </w:r>
          </w:p>
        </w:tc>
        <w:tc>
          <w:tcPr>
            <w:tcW w:type="dxa" w:w="1742"/>
            <w:vAlign w:val="center"/>
            <w:tcMar>
              <w:top w:w="75" w:type="dxa"/>
              <w:bottom w:w="75" w:type="dxa"/>
              <w:left w:w="75" w:type="dxa"/>
              <w:right w:w="75" w:type="dxa"/>
            </w:tcMar>
          </w:tcPr>
          <w:p>
            <w:pPr>
              <w:keepNext/>
              <w:spacing w:after="0" w:before="0" w:line="240" w:lineRule="auto"/>
              <w:jc w:val="center"/>
            </w:pPr>
            <w:r>
              <w:rPr>
                <w:b w:val="0"/>
                <w:color w:val="C00000"/>
                <w:sz w:val="18"/>
              </w:rPr>
              <w:t>0.878</w:t>
            </w:r>
          </w:p>
        </w:tc>
        <w:tc>
          <w:tcPr>
            <w:tcW w:type="dxa" w:w="1584"/>
            <w:vAlign w:val="center"/>
            <w:tcMar>
              <w:top w:w="75" w:type="dxa"/>
              <w:bottom w:w="75" w:type="dxa"/>
              <w:left w:w="75" w:type="dxa"/>
              <w:right w:w="75" w:type="dxa"/>
            </w:tcMar>
          </w:tcPr>
          <w:p>
            <w:pPr>
              <w:keepNext/>
              <w:spacing w:after="0" w:before="0" w:line="240" w:lineRule="auto"/>
              <w:jc w:val="center"/>
            </w:pPr>
            <w:r>
              <w:rPr>
                <w:b w:val="0"/>
                <w:color w:val="C00000"/>
                <w:sz w:val="18"/>
              </w:rPr>
              <w:t>0.396</w:t>
            </w:r>
          </w:p>
        </w:tc>
      </w:tr>
    </w:tbl>
    <w:p>
      <w:pPr>
        <w:pStyle w:val="Caption"/>
      </w:pPr>
      <w:r>
        <w:rPr>
          <w:color w:val="C00000"/>
        </w:rPr>
        <w:t>Table 5. PILOT ONLY. Macro probability metrics over all seven held-out groups, including single-class G5. Lower values are better. FE denotes cal_v2_fe; registered denotes cal_v1_registered. All entries are macro values, avoiding a mixture of macro and pooled ECE in the same comparison.</w:t>
      </w:r>
    </w:p>
    <w:p>
      <w:r>
        <w:rPr>
          <w:color w:val="C00000"/>
        </w:rPr>
        <w:t>PILOT ONLY: FE calibration reduced M2 macro Brier score from 0.287 to 0.283 and log loss from 0.940 to 0.779. The constant baseline had Brier score 0.285 and log loss 0.763. Thus M2’s calibrated Brier score was only slightly lower than the constant baseline, while its log loss remained higher. M2’s Brier score improved in three groups and worsened in four. Its macro ECE increased from 0.331 to 0.357, although pooled ECE decreased from 0.174 to 0.118. These different aggregations support different summaries and must be labelled explicitly.</w:t>
      </w:r>
    </w:p>
    <w:p>
      <w:r>
        <w:rPr>
          <w:color w:val="C00000"/>
        </w:rPr>
        <w:t>PILOT ONLY: FE slopes across learned models and folds ranged from approximately 0.076 to 0.411, and the recorded AUROC values matched the raw values in this pilot. The registered pooled calibration comparison had lower macro ranking scores than the raw models. The FE results support a diagnosis of the pilot calibration procedure; they do not establish that calibration transfers to a previously unexamined geographic distribution.</w:t>
      </w:r>
    </w:p>
    <w:p>
      <w:pPr>
        <w:keepLines/>
      </w:pPr>
      <w:r>
        <w:rPr>
          <w:color w:val="C00000"/>
        </w:rPr>
        <w:t>[FIGURE 5 PLACEHOLDER — Insert full-test reliability diagrams here. Show raw, FE and registered-comparison predictions, with the ideal diagonal, ten fixed bins and counts or a probability histogram. Include per-group panels and a separately labelled pooled panel; show M0 for context. Caption: Reliability of source-fitted probabilities on held-out groups.]</w:t>
      </w:r>
    </w:p>
    <w:p>
      <w:pPr>
        <w:keepLines/>
      </w:pPr>
      <w:r>
        <w:rPr>
          <w:color w:val="C00000"/>
        </w:rPr>
        <w:t>[FIGURE 6 PLACEHOLDER — Insert groupwise changes in Brier score and log loss here, calibrated minus raw, so negative values favour calibration. Add separate macro contrasts and paired intervals, and compare calibrated models with M0. Keep diagnostics separate. Caption: Probability-quality changes after source-fitted calibration.]</w:t>
      </w:r>
    </w:p>
    <w:p>
      <w:r>
        <w:rPr>
          <w:color w:val="C00000"/>
        </w:rPr>
        <w:t>[RQ2 ANSWER PENDING: Report full-test macro Brier score, log loss and ECE, corresponding pooled metrics, groupwise changes, comparisons with M0 and justified uncertainty. An improvement in one metric or in pooled reliability alone is not evidence of uniform calibration across regions.]</w:t>
      </w:r>
    </w:p>
    <w:p>
      <w:pPr>
        <w:pStyle w:val="Heading2"/>
      </w:pPr>
      <w:r>
        <w:t>5.4 Flight context and ground truth sensitivity</w:t>
      </w:r>
    </w:p>
    <w:p>
      <w:r>
        <w:rPr>
          <w:color w:val="C00000"/>
        </w:rPr>
        <w:t>EXPLORATORY PILOT ONLY: Two AGL relationships were examined after the outcomes were known. Across ten retained regions, success versus negative absolute log AGL ratio to region 03 had Spearman correlation 0.54 (p = 0.108); success versus AGL had correlation 0.83 (p = 0.00294). Reporting both avoids selecting only the stronger form. These descriptive p-values are not multiplicity-adjusted, the regions belong to seven spatial groups, and altitude is confounded with terrain and imaging conditions. The analysis motivates M4/M5 but does not establish an altitude effect or explain all regional variation.</w:t>
      </w:r>
    </w:p>
    <w:p>
      <w:r>
        <w:rPr>
          <w:color w:val="C00000"/>
        </w:rPr>
        <w:t>EXPLORATORY PILOT ONLY: A separate audit selected each frame’s best patch fit with at least sixteen inliers, whether accepted or rejected. Six of sixteen offsets exceeding 100 m were within thirty degrees of the flight-track axis; four of five such offsets in region 06 were on-axis. Under a uniform-direction reference, the on-axis fraction is one third, so 6/16 overall is not strong evidence of a general timing lag. The region-06 pattern is a hypothesis requiring independent metadata or geometry validation. No coordinates or labels are corrected from these matches.</w:t>
      </w:r>
    </w:p>
    <w:p>
      <w:pPr>
        <w:keepLines/>
      </w:pPr>
      <w:r>
        <w:rPr>
          <w:color w:val="C00000"/>
        </w:rPr>
        <w:t>[FIGURE 7 PLACEHOLDER — Insert a diagnostic figure here after the full test. Panel A: M2, M4 and M5 macro/per-group probability quality, clearly distinguishing map-only from flight-context models. Panel B: primary, all-frame and quality-filtered sensitivity metrics. Panel C: original AC labels versus the all-accepted-positive sensitivity. Caption: Sensitivity to omitted flight context, frame-quality flags and the ground-truth label assumption.]</w:t>
      </w:r>
    </w:p>
    <w:p>
      <w:r>
        <w:rPr>
          <w:color w:val="C00000"/>
        </w:rPr>
        <w:t>[DIAGNOSTIC RESULTS PENDING: Report M4/M5 as diagnostics, not extra winners in the registered M0–M3 comparison. State which conclusions change under the quality and label-noise sensitivities. Do not interpret the all-accepted-positive experiment as corrected ground truth.]</w:t>
      </w:r>
    </w:p>
    <w:p>
      <w:pPr>
        <w:pStyle w:val="Heading1"/>
      </w:pPr>
      <w:r>
        <w:t>6 Discussion and Limitations</w:t>
      </w:r>
    </w:p>
    <w:p>
      <w:r>
        <w:t>The intended inference is localizer-specific: whether map features predict this pipeline’s accepted-correct outcomes, and whether its probabilities transfer across the chosen group splits. A high success probability alone cannot distinguish the cost of rejection from that of an incorrect accepted fix. Using the predictor in a navigation policy therefore also requires an error model, treatment of AI outcomes and a specified correction budget.</w:t>
      </w:r>
    </w:p>
    <w:p>
      <w:r>
        <w:rPr>
          <w:color w:val="C00000"/>
        </w:rPr>
        <w:t>[FULL-TEST INTERPRETATION PENDING: Explain the measured RQ1 and RQ2 outcomes without choosing a preferred narrative in advance. Separate an observed ranking advantage from evidence of improved probabilities, and distinguish average improvement from consistent improvement across groups. Discuss comparisons with the constant baseline and changes after excluding G2.]</w:t>
      </w:r>
    </w:p>
    <w:p>
      <w:r>
        <w:t>The evaluation has seven spatial groups rather than thousands of independent geographic observations. Adjacent frames and repeated offsets are correlated. One group contains the localizer-development region, and the pilot exposed outcomes from all groups during study development. Holding groups out of model fitting and excluding pilot frames from scoring address specific reuse pathways, but do not supply a completely untouched regional test. Uncertainty intervals based on so few groups also have limited precision.</w:t>
      </w:r>
    </w:p>
    <w:p>
      <w:r>
        <w:t>The estimated AGL values rely on an undocumented metadata height datum and SRTM terrain [11]. Camera intrinsics, attitude conventions and some metadata timing remain unresolved. An AGL estimate is not a measured camera footprint. Position-label errors can alter the AC/AI distinction, especially at strict tolerances; the registered sensitivities cannot identify the true cause of every disagreement.</w:t>
      </w:r>
    </w:p>
    <w:p>
      <w:r>
        <w:t>The predictor and localizer share a frozen DINOv2 representation. Results may favour features aligned with that localizer and do not automatically extend to another backbone, verifier or acceptance threshold. DINOv2 pretraining exposure to these locations is unknown. The study tests task-level fitting across groups rather than guaranteeing that the backbone never encountered similar or overlapping imagery.</w:t>
      </w:r>
    </w:p>
    <w:p>
      <w:r>
        <w:t>The controlled Gaussian prior errors and the selected radii define the experimental distribution. Real drift may be biased, temporally correlated and dependent on manoeuvres. Independent sampled attempts do not validate route-level failure probabilities, and the development reach check is not a general geometric guarantee. The present study also does not demonstrate real-time onboard operation, closed-loop navigation safety or arrival success.</w:t>
      </w:r>
    </w:p>
    <w:p>
      <w:pPr>
        <w:pStyle w:val="Heading1"/>
      </w:pPr>
      <w:r>
        <w:t>7 Conclusion and Future Work</w:t>
      </w:r>
    </w:p>
    <w:p>
      <w:r>
        <w:t>We formulate map-based prediction of accepted-correct UAV localization as a probabilistic evaluation problem with a fixed localizer, controlled prior errors and spatial group holdouts. The protocol distinguishes rejection from accepted-incorrect localization and separates ranking from probability quality. Source-only fitting, an explicit deviation record and sensitivity analyses make the intended comparisons reproducible and their limitations visible.</w:t>
      </w:r>
    </w:p>
    <w:p>
      <w:r>
        <w:rPr>
          <w:color w:val="C00000"/>
        </w:rPr>
        <w:t>[FINAL CONCLUSION PENDING: Insert the validated answer to RQ1, the validated answer to RQ2 and the principal limitation that remains after the full test. The pilot motivates the design but does not establish the paper’s final empirical conclusion.]</w:t>
      </w:r>
    </w:p>
    <w:p>
      <w:r>
        <w:t>Two further experiments are proposed. A matched comparison of real and synthetic supervision would evaluate both on real held-out outcomes (H1). A recorded-route replay would test correction scheduling at matched actual attempt budgets, including drift and propagation of accepted-incorrect updates (H4). The saved protocols remain proposed rather than frozen completed experiments. Navigation benefit requires these experiments and, ultimately, appropriate closed-loop validation.</w:t>
      </w:r>
    </w:p>
    <w:p>
      <w:pPr>
        <w:pStyle w:val="Heading1"/>
      </w:pPr>
      <w:r>
        <w:t>Reproducibility and Data Availability</w:t>
      </w:r>
    </w:p>
    <w:p>
      <w:r>
        <w:t>The saved label rows record the localizer-configuration and preregistration hashes. The split identity is recorded in run-level provenance rather than in every label row. Predictor outputs also record protocol identity and input provenance. The saved verification report documents reproduction checks for the pilot and selected localizer outputs. A configuration hash identifies configuration content; it does not alone pin the upstream model code, weight files, map rasters or every consumed cache.</w:t>
      </w:r>
    </w:p>
    <w:p>
      <w:r>
        <w:rPr>
          <w:color w:val="C00000"/>
        </w:rPr>
        <w:t>[RELEASE DETAILS PENDING: Insert the actual repository URL, immutable release tag or commit, model-code revision and weight checksum, environment, validated data/cache identities and commands for the full experiment. Verify permitted redistribution of labels and derived artifacts against the applicable dataset terms before adding a data-availability claim. Do not cite a personal GitHub profile as the code release.]</w:t>
      </w:r>
    </w:p>
    <w:p>
      <w:r>
        <w:rPr>
          <w:color w:val="C00000"/>
        </w:rPr>
        <w:t>[INTEGRITY CHECK PENDING: The 30 September technical review identifies unresolved risks in attempt-grid acceptance, resume provenance, incomplete records, outcome validation and cache/feature identity. Resolve or document their disposition and revalidate the exact full-run artifacts before inserting final results. Passing the existing pilot reproduction checks does not by itself close these findings.]</w:t>
      </w:r>
    </w:p>
    <w:p>
      <w:pPr>
        <w:pStyle w:val="Heading1"/>
      </w:pPr>
      <w:r>
        <w:t>Acknowledgments</w:t>
      </w:r>
    </w:p>
    <w:p>
      <w:r>
        <w:rPr>
          <w:color w:val="C00000"/>
        </w:rPr>
        <w:t>[PENDING: Confirm author contributions, supervisor acknowledgments, funding and compute acknowledgments before submission.]</w:t>
      </w:r>
    </w:p>
    <w:p>
      <w:pPr>
        <w:pStyle w:val="Heading1"/>
        <w:pageBreakBefore/>
      </w:pPr>
      <w:r>
        <w:t>References</w:t>
      </w:r>
    </w:p>
    <w:p>
      <w:pPr>
        <w:keepLines/>
        <w:spacing w:after="140"/>
      </w:pPr>
      <w:r>
        <w:rPr>
          <w:sz w:val="20"/>
        </w:rPr>
        <w:t>[1] X. Li, G. Zhang, H. Cui, J. Ma and W. Wang, “Analysis of the matchability of reference imagery for aircraft based on regional scene perception,” Remote Sensing, vol. 15, no. 17, article 4353, 2023. https://doi.org/10.3390/rs15174353</w:t>
      </w:r>
    </w:p>
    <w:p>
      <w:pPr>
        <w:keepLines/>
        <w:spacing w:after="140"/>
      </w:pPr>
      <w:r>
        <w:rPr>
          <w:sz w:val="20"/>
        </w:rPr>
        <w:t>[2] S. Jiang, H. Luo and Y. Liu, “Suitable-matching areas’ selection method based on multi-level saliency,” Remote Sensing, vol. 16, no. 1, article 161, 2024. https://doi.org/10.3390/rs16010161</w:t>
      </w:r>
    </w:p>
    <w:p>
      <w:pPr>
        <w:keepLines/>
        <w:spacing w:after="140"/>
      </w:pPr>
      <w:r>
        <w:rPr>
          <w:sz w:val="20"/>
        </w:rPr>
        <w:t>[3] C. Yang, Y. Ye, R. Liu, C. Fan, L. Zhou and J. Deng, “Suitable area selection method based on scene matching level segmentation,” Chinese Journal of Aeronautics, vol. 39, no. 2, article 103719, 2026. https://doi.org/10.1016/j.cja.2025.103719</w:t>
      </w:r>
    </w:p>
    <w:p>
      <w:pPr>
        <w:keepLines/>
        <w:spacing w:after="140"/>
      </w:pPr>
      <w:r>
        <w:rPr>
          <w:sz w:val="20"/>
        </w:rPr>
        <w:t>[4] W. Xu, Y. Yao, J. Cao, Z. Wei, C. Liu, J. Wang and M. Peng, “UAV-VisLoc: A large-scale dataset for UAV visual localization,” arXiv:2405.11936, 2024. https://arxiv.org/abs/2405.11936</w:t>
      </w:r>
    </w:p>
    <w:p>
      <w:pPr>
        <w:keepLines/>
        <w:spacing w:after="140"/>
      </w:pPr>
      <w:r>
        <w:rPr>
          <w:sz w:val="20"/>
        </w:rPr>
        <w:t>[5] M. Oquab et al., “DINOv2: Learning robust visual features without supervision,” Transactions on Machine Learning Research, 2024. https://arxiv.org/abs/2304.07193</w:t>
      </w:r>
    </w:p>
    <w:p>
      <w:pPr>
        <w:keepLines/>
        <w:spacing w:after="140"/>
      </w:pPr>
      <w:r>
        <w:rPr>
          <w:sz w:val="20"/>
        </w:rPr>
        <w:t>[6] H. Sier, J. Zhang, Z. Zou, X. Yu and T. Westerlund, “SAFEVPR: Patch-based conformal verification for safe cross-condition sequence visual place recognition,” arXiv:2605.28048, 2026. https://arxiv.org/abs/2605.28048</w:t>
      </w:r>
    </w:p>
    <w:p>
      <w:pPr>
        <w:keepLines/>
        <w:spacing w:after="140"/>
      </w:pPr>
      <w:r>
        <w:rPr>
          <w:sz w:val="20"/>
        </w:rPr>
        <w:t>[7] O. Claxton, C. Malone, H. Carson, J. Ford, G. Bolton, I. Shames and M. Milford, “Improving visual place recognition based robot navigation by verifying localization estimates,” IEEE Robotics and Automation Letters, 2024. https://doi.org/10.1109/LRA.2024.3483045</w:t>
      </w:r>
    </w:p>
    <w:p>
      <w:pPr>
        <w:keepLines/>
        <w:spacing w:after="140"/>
      </w:pPr>
      <w:r>
        <w:rPr>
          <w:sz w:val="20"/>
        </w:rPr>
        <w:t>[8] S. D. Bopardikar, B. J. Englot and A. Speranzon, “Robust belief roadmap: Planning under intermittent sensing,” arXiv:1304.7256, 2013. https://arxiv.org/abs/1304.7256</w:t>
      </w:r>
    </w:p>
    <w:p>
      <w:pPr>
        <w:keepLines/>
        <w:spacing w:after="140"/>
      </w:pPr>
      <w:r>
        <w:rPr>
          <w:sz w:val="20"/>
        </w:rPr>
        <w:t>[9] J. C. Platt, “Probabilistic outputs for support vector machines and comparisons to regularized likelihood methods,” in Advances in Large Margin Classifiers, MIT Press, 1999, pp. 61–74.</w:t>
      </w:r>
    </w:p>
    <w:p>
      <w:pPr>
        <w:keepLines/>
        <w:spacing w:after="140"/>
      </w:pPr>
      <w:r>
        <w:rPr>
          <w:sz w:val="20"/>
        </w:rPr>
        <w:t>[10] C. Guo, G. Pleiss, Y. Sun and K. Q. Weinberger, “On calibration of modern neural networks,” Proceedings of Machine Learning Research, vol. 70, pp. 1321–1330, 2017. https://proceedings.mlr.press/v70/guo17a.html</w:t>
      </w:r>
    </w:p>
    <w:p>
      <w:pPr>
        <w:keepLines/>
        <w:spacing w:after="140"/>
      </w:pPr>
      <w:r>
        <w:rPr>
          <w:sz w:val="20"/>
        </w:rPr>
        <w:t>[11] T. G. Farr et al., “The Shuttle Radar Topography Mission,” Reviews of Geophysics, vol. 45, article RG2004, 2007. https://doi.org/10.1029/2005RG000183</w:t>
      </w:r>
    </w:p>
    <w:p>
      <w:pPr>
        <w:keepLines/>
        <w:spacing w:after="140"/>
      </w:pPr>
      <w:r>
        <w:rPr>
          <w:sz w:val="20"/>
        </w:rPr>
        <w:t>[12] M. A. Fischler and R. C. Bolles, “Random sample consensus: A paradigm for model fitting with applications to image analysis and automated cartography,” Communications of the ACM, vol. 24, no. 6, pp. 381–395, 1981. https://doi.org/10.1145/358669.358692</w:t>
      </w:r>
    </w:p>
    <w:p>
      <w:pPr>
        <w:keepLines/>
        <w:spacing w:after="140"/>
      </w:pPr>
      <w:r>
        <w:rPr>
          <w:sz w:val="20"/>
        </w:rPr>
        <w:t>[13] P. F. Alcantarilla, J. Nuevo and A. Bartoli, “Fast explicit diffusion for accelerated features in nonlinear scale spaces,” in Proceedings of the British Machine Vision Conference, 2013. https://www.bmva.org/bmvc/2013/Papers/paper0013/index.html</w:t>
      </w:r>
    </w:p>
    <w:p>
      <w:pPr>
        <w:pStyle w:val="Heading1"/>
        <w:pageBreakBefore/>
      </w:pPr>
      <w:r>
        <w:t>Appendix A Final Replacement Checklist</w:t>
      </w:r>
    </w:p>
    <w:p>
      <w:r>
        <w:rPr>
          <w:color w:val="C00000"/>
        </w:rPr>
        <w:t>This appendix is an editing aid. Remove it and resolve all red items before submission. Figure placeholders specify location and content; they do not represent completed plots or experiments.</w:t>
      </w:r>
    </w:p>
    <w:p>
      <w:r>
        <w:rPr>
          <w:color w:val="C00000"/>
        </w:rPr>
        <w:t>Abstract and conclusion: insert actual test counts and empirical RQ1/RQ2 conclusions. Ensure every headline number refers to the same validated population and protocol.</w:t>
      </w:r>
    </w:p>
    <w:p>
      <w:r>
        <w:rPr>
          <w:color w:val="C00000"/>
        </w:rPr>
        <w:t>Section 4 and Table 1: retain verified dataset and method facts; replace planned counts with actual label and headline counts. Confirm authorship and affiliation separately. Preserve the chronology of D1–D6 and the distinction between group-held-out fitting and previously unseen study regions.</w:t>
      </w:r>
    </w:p>
    <w:p>
      <w:r>
        <w:rPr>
          <w:color w:val="C00000"/>
        </w:rPr>
        <w:t>Figure 1: information-flow diagram from the frozen pipeline. Figure 2: audited maps, tracks and group assignments. These figures do not depend on full-test success values.</w:t>
      </w:r>
    </w:p>
    <w:p>
      <w:r>
        <w:rPr>
          <w:color w:val="C00000"/>
        </w:rPr>
        <w:t>Section 5.1, Table 3 and Figure 3: use validated full-run outcomes; show exact denominators, all three outcomes and tolerances. Present any retained localizer-development checks as such.</w:t>
      </w:r>
    </w:p>
    <w:p>
      <w:r>
        <w:rPr>
          <w:color w:val="C00000"/>
        </w:rPr>
        <w:t>Section 5.2, Table 4 and Figure 4: use v5 headline predictions with pilot frames excluded; distinguish AUROC from average precision. Report defined fold counts, G2 reporting exclusion and paired macro differences where implemented and verified.</w:t>
      </w:r>
    </w:p>
    <w:p>
      <w:r>
        <w:rPr>
          <w:color w:val="C00000"/>
        </w:rPr>
        <w:t>Section 5.3, Table 5 and Figures 5–6: include raw, FE and original calibration comparisons plus M0. State macro versus pooled aggregation for every metric. Verify bin counts and paired uncertainty before interpreting calibration transfer.</w:t>
      </w:r>
    </w:p>
    <w:p>
      <w:r>
        <w:rPr>
          <w:color w:val="C00000"/>
        </w:rPr>
        <w:t>Section 5.4 and Figure 7: insert M4/M5 and sensitivity results separately from the registered map-only comparison. Replace exploratory pilot text or retain it explicitly as development motivation with both AGL functional forms disclosed.</w:t>
      </w:r>
    </w:p>
    <w:p>
      <w:r>
        <w:rPr>
          <w:color w:val="C00000"/>
        </w:rPr>
        <w:t>Full-run provenance: validate expected attempt keys, row completeness, outcome domains, resumed-run compatibility, tile/embedding order and feature alignment. Link each final table and plot to the validated run and immutable source artifacts. Do not retune the scientific method to improve test outcomes.</w:t>
      </w:r>
    </w:p>
    <w:p>
      <w:r>
        <w:rPr>
          <w:color w:val="C00000"/>
        </w:rPr>
        <w:t>References and release: resolve MLSNet full-text access before expanding comparative claims; verify release permissions, the final code/data statement and venue formatting. H1 and H4 remain future work until their protocols and experiments are completed.</w:t>
      </w:r>
    </w:p>
    <w:sectPr w:rsidR="00FC693F" w:rsidRPr="0006063C" w:rsidSect="00034616">
      <w:footerReference w:type="default" r:id="rId9"/>
      <w:pgSz w:w="11909" w:h="16834"/>
      <w:pgMar w:top="1037" w:right="1123" w:bottom="1037"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80" w:after="160"/>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Based Prediction and Calibration of UAV Visual Localization Success Across Regions</dc:title>
  <dc:subject>Revised manuscript with pilot evidence and full-test placeholders</dc:subject>
  <dc:creator>Tonmoy Sarker</dc:creator>
  <cp:keywords/>
  <dc:description/>
  <cp:lastModifiedBy/>
  <cp:revision>1</cp:revision>
  <dcterms:created xsi:type="dcterms:W3CDTF">2013-12-23T23:15:00Z</dcterms:created>
  <dcterms:modified xsi:type="dcterms:W3CDTF">2013-12-23T23:15:00Z</dcterms:modified>
  <cp:category/>
</cp:coreProperties>
</file>