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93"/>
        <w:tblBorders>
          <w:top w:val="none" w:color="FFFFFF" w:sz="0"/>
          <w:left w:val="none" w:color="FFFFFF" w:sz="0"/>
          <w:bottom w:val="none" w:color="FFFFFF" w:sz="0"/>
          <w:right w:val="none" w:color="FFFFFF" w:sz="0"/>
          <w:insideH w:val="none" w:color="FFFFFF" w:sz="0"/>
          <w:insideV w:val="none" w:color="FFFFFF" w:sz="0"/>
        </w:tblBorders>
      </w:tblPr>
      <w:tblGrid>
        <w:gridCol w:w="10093"/>
      </w:tblGrid>
      <w:tr>
        <w:tc>
          <w:tcPr>
            <w:tcW w:type="dxa" w:w="10093"/>
            <w:shd w:fill="0A3626" w:color="auto" w:val="clear"/>
            <w:tcMar>
              <w:top w:type="dxa" w:w="624"/>
              <w:left w:type="dxa" w:w="680"/>
              <w:bottom w:type="dxa" w:w="624"/>
              <w:right w:type="dxa" w:w="680"/>
            </w:tcMar>
          </w:tcPr>
          <w:p>
            <w:pPr>
              <w:spacing w:after="360"/>
            </w:pPr>
            <w:r>
              <w:rPr>
                <w:rFonts w:ascii="Calibri" w:cs="Calibri" w:eastAsia="Calibri" w:hAnsi="Calibri"/>
                <w:b/>
                <w:bCs/>
                <w:color w:val="FFFFFF"/>
                <w:sz w:val="26"/>
                <w:szCs w:val="26"/>
              </w:rPr>
              <w:t xml:space="preserve">EduCam</w:t>
            </w:r>
            <w:r>
              <w:rPr>
                <w:rFonts w:ascii="Calibri" w:cs="Calibri" w:eastAsia="Calibri" w:hAnsi="Calibri"/>
                <w:color w:val="A9CFBD"/>
                <w:sz w:val="17"/>
                <w:szCs w:val="17"/>
              </w:rPr>
              <w:t xml:space="preserve">   une solution Mansa Musa Academy</w:t>
            </w:r>
          </w:p>
          <w:p>
            <w:pPr>
              <w:spacing w:after="120"/>
            </w:pPr>
            <w:r>
              <w:rPr>
                <w:rFonts w:ascii="Calibri" w:cs="Calibri" w:eastAsia="Calibri" w:hAnsi="Calibri"/>
                <w:color w:val="FCD116"/>
                <w:sz w:val="22"/>
                <w:szCs w:val="22"/>
              </w:rPr>
              <w:t xml:space="preserve">━━━</w:t>
            </w:r>
          </w:p>
          <w:p>
            <w:pPr>
              <w:spacing w:after="90" w:line="280"/>
              <w:jc w:val="left"/>
            </w:pPr>
            <w:r>
              <w:rPr>
                <w:rFonts w:ascii="Calibri" w:cs="Calibri" w:eastAsia="Calibri" w:hAnsi="Calibri"/>
                <w:b/>
                <w:bCs/>
                <w:color w:val="FCD116"/>
                <w:spacing w:val="34"/>
                <w:sz w:val="16"/>
                <w:szCs w:val="16"/>
              </w:rPr>
              <w:t xml:space="preserve">FICHE DE POSTE</w:t>
            </w:r>
          </w:p>
          <w:p>
            <w:pPr>
              <w:spacing w:after="90" w:line="280"/>
              <w:jc w:val="left"/>
            </w:pPr>
            <w:r>
              <w:rPr>
                <w:rFonts w:ascii="Calibri" w:cs="Calibri" w:eastAsia="Calibri" w:hAnsi="Calibri"/>
                <w:b/>
                <w:bCs/>
                <w:color w:val="FFFFFF"/>
                <w:sz w:val="44"/>
                <w:szCs w:val="44"/>
              </w:rPr>
              <w:t xml:space="preserve">Référent pédagogique de terrain</w:t>
            </w:r>
          </w:p>
          <w:p>
            <w:pPr>
              <w:spacing w:after="220" w:line="280"/>
              <w:jc w:val="left"/>
            </w:pPr>
            <w:r>
              <w:rPr>
                <w:rFonts w:ascii="Calibri" w:cs="Calibri" w:eastAsia="Calibri" w:hAnsi="Calibri"/>
                <w:color w:val="DCEDE5"/>
                <w:sz w:val="23"/>
                <w:szCs w:val="23"/>
              </w:rPr>
              <w:t xml:space="preserve">Le « Référent EduCam » du protocole pilote — Région du Littoral</w:t>
            </w:r>
          </w:p>
          <w:p>
            <w:pPr>
              <w:pBdr>
                <w:top w:val="single" w:color="3A6B57" w:sz="4" w:space="8"/>
              </w:pBdr>
              <w:spacing w:after="0"/>
            </w:pPr>
            <w:r>
              <w:rPr>
                <w:rFonts w:ascii="Calibri" w:cs="Calibri" w:eastAsia="Calibri" w:hAnsi="Calibri"/>
                <w:b/>
                <w:bCs/>
                <w:color w:val="FFFFFF"/>
                <w:sz w:val="19"/>
                <w:szCs w:val="19"/>
              </w:rPr>
              <w:t xml:space="preserve">Temps plein      ·      Sur site, en école      ·      Rattaché à MMA      ·      Rentrée 2026</w:t>
            </w:r>
          </w:p>
        </w:tc>
      </w:tr>
    </w:tbl>
    <w:p>
      <w:pPr>
        <w:spacing w:after="200"/>
      </w:pPr>
    </w:p>
    <w:p>
      <w:pPr>
        <w:spacing w:after="130" w:line="268"/>
        <w:jc w:val="both"/>
      </w:pPr>
      <w:r>
        <w:rPr>
          <w:rFonts w:ascii="Calibri" w:cs="Calibri" w:eastAsia="Calibri" w:hAnsi="Calibri"/>
          <w:color w:val="2E3843"/>
          <w:sz w:val="21"/>
          <w:szCs w:val="21"/>
        </w:rPr>
        <w:t xml:space="preserve">Cette fiche définit la raison d'être, les responsabilités détaillées, les objectifs, le profil et les conditions du poste de </w:t>
      </w:r>
      <w:r>
        <w:rPr>
          <w:rFonts w:ascii="Calibri" w:cs="Calibri" w:eastAsia="Calibri" w:hAnsi="Calibri"/>
          <w:b/>
          <w:bCs/>
          <w:color w:val="0D1219"/>
          <w:sz w:val="21"/>
          <w:szCs w:val="21"/>
        </w:rPr>
        <w:t xml:space="preserve">Référent pédagogique de terrain</w:t>
      </w:r>
      <w:r>
        <w:rPr>
          <w:rFonts w:ascii="Calibri" w:cs="Calibri" w:eastAsia="Calibri" w:hAnsi="Calibri"/>
          <w:color w:val="2E3843"/>
          <w:sz w:val="21"/>
          <w:szCs w:val="21"/>
        </w:rPr>
        <w:t xml:space="preserve"> — désigné dans le protocole d'accord pilote comme le </w:t>
      </w:r>
      <w:r>
        <w:rPr>
          <w:rFonts w:ascii="Calibri" w:cs="Calibri" w:eastAsia="Calibri" w:hAnsi="Calibri"/>
          <w:b/>
          <w:bCs/>
          <w:color w:val="0D1219"/>
          <w:sz w:val="21"/>
          <w:szCs w:val="21"/>
        </w:rPr>
        <w:t xml:space="preserve">« Référent EduCam »</w:t>
      </w:r>
      <w:r>
        <w:rPr>
          <w:rFonts w:ascii="Calibri" w:cs="Calibri" w:eastAsia="Calibri" w:hAnsi="Calibri"/>
          <w:color w:val="2E3843"/>
          <w:sz w:val="21"/>
          <w:szCs w:val="21"/>
        </w:rPr>
        <w:t xml:space="preserve"> (Art. 2). Elle sert de référence pour le recrutement, la prise de poste et l'évaluation. Elle est cohérente avec les engagements pris par Mansa Musa Academy dans le protocole pilote (Articles 5, 7, 9, 10 et 12).</w:t>
      </w:r>
    </w:p>
    <w:tbl>
      <w:tblPr>
        <w:tblW w:type="dxa" w:w="10093"/>
        <w:tblBorders>
          <w:top w:val="none" w:color="FFFFFF" w:sz="0"/>
          <w:left w:val="none" w:color="FFFFFF" w:sz="0"/>
          <w:bottom w:val="none" w:color="FFFFFF" w:sz="0"/>
          <w:right w:val="none" w:color="FFFFFF" w:sz="0"/>
          <w:insideH w:val="none" w:color="FFFFFF" w:sz="0"/>
          <w:insideV w:val="none" w:color="FFFFFF" w:sz="0"/>
        </w:tblBorders>
      </w:tblPr>
      <w:tblGrid>
        <w:gridCol w:w="10093"/>
      </w:tblGrid>
      <w:tr>
        <w:tc>
          <w:tcPr>
            <w:tcW w:type="dxa" w:w="10093"/>
            <w:shd w:fill="0F4C35" w:color="auto" w:val="clear"/>
            <w:tcMar>
              <w:top w:type="dxa" w:w="193"/>
              <w:left w:type="dxa" w:w="261"/>
              <w:bottom w:type="dxa" w:w="193"/>
              <w:right w:type="dxa" w:w="261"/>
            </w:tcMar>
          </w:tcPr>
          <w:p>
            <w:pPr>
              <w:spacing w:after="0" w:line="268"/>
              <w:jc w:val="left"/>
            </w:pPr>
            <w:r>
              <w:rPr>
                <w:rFonts w:ascii="Calibri" w:cs="Calibri" w:eastAsia="Calibri" w:hAnsi="Calibri"/>
                <w:color w:val="FFFFFF"/>
                <w:sz w:val="22"/>
                <w:szCs w:val="22"/>
              </w:rPr>
              <w:t xml:space="preserve">Ce poste est celui d'une personne qui </w:t>
            </w:r>
            <w:r>
              <w:rPr>
                <w:rFonts w:ascii="Calibri" w:cs="Calibri" w:eastAsia="Calibri" w:hAnsi="Calibri"/>
                <w:b/>
                <w:bCs/>
                <w:color w:val="FFFFFF"/>
                <w:sz w:val="22"/>
                <w:szCs w:val="22"/>
              </w:rPr>
              <w:t xml:space="preserve">fait réellement adopter EduCam dans une école</w:t>
            </w:r>
            <w:r>
              <w:rPr>
                <w:rFonts w:ascii="Calibri" w:cs="Calibri" w:eastAsia="Calibri" w:hAnsi="Calibri"/>
                <w:color w:val="FFFFFF"/>
                <w:sz w:val="22"/>
                <w:szCs w:val="22"/>
              </w:rPr>
              <w:t xml:space="preserve"> : elle accompagne l'enseignant chaque jour, forme, convainc, rassure les familles et garantit la qualité pédagogique de ce qui est livré aux élèves.</w:t>
            </w:r>
          </w:p>
        </w:tc>
      </w:tr>
    </w:tbl>
    <w:p>
      <w:pPr>
        <w:spacing w:after="160"/>
      </w:pP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1. </w:t>
      </w:r>
      <w:r>
        <w:rPr>
          <w:rFonts w:ascii="Calibri" w:cs="Calibri" w:eastAsia="Calibri" w:hAnsi="Calibri"/>
          <w:b/>
          <w:bCs/>
          <w:color w:val="0A3626"/>
          <w:sz w:val="28"/>
          <w:szCs w:val="28"/>
        </w:rPr>
        <w:t xml:space="preserve">Identification du poste</w:t>
      </w:r>
    </w:p>
    <w:tbl>
      <w:tblPr>
        <w:tblW w:type="dxa" w:w="10093"/>
        <w:tblBorders>
          <w:top w:val="none" w:color="FFFFFF" w:sz="0"/>
          <w:left w:val="none" w:color="FFFFFF" w:sz="0"/>
          <w:bottom w:val="none" w:color="FFFFFF" w:sz="0"/>
          <w:right w:val="none" w:color="FFFFFF" w:sz="0"/>
          <w:insideH w:val="single" w:color="E3E8ED" w:sz="3"/>
          <w:insideV w:val="none" w:color="FFFFFF" w:sz="0"/>
        </w:tblBorders>
      </w:tblPr>
      <w:tblGrid>
        <w:gridCol w:w="2624"/>
        <w:gridCol w:w="7469"/>
      </w:tblGrid>
      <w:tr>
        <w:trPr>
          <w:tblHeader/>
        </w:trPr>
        <w:tc>
          <w:tcPr>
            <w:tcW w:type="dxa" w:w="2624"/>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RUBRIQUE</w:t>
            </w:r>
          </w:p>
        </w:tc>
        <w:tc>
          <w:tcPr>
            <w:tcW w:type="dxa" w:w="7469"/>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DÉTAIL</w:t>
            </w:r>
          </w:p>
        </w:tc>
      </w:tr>
      <w:tr>
        <w:tc>
          <w:tcPr>
            <w:tcW w:type="dxa" w:w="262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Intitulé</w:t>
            </w:r>
          </w:p>
        </w:tc>
        <w:tc>
          <w:tcPr>
            <w:tcW w:type="dxa" w:w="746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Référent pédagogique de terrain — « Référent EduCam »</w:t>
            </w:r>
          </w:p>
        </w:tc>
      </w:tr>
      <w:tr>
        <w:tc>
          <w:tcPr>
            <w:tcW w:type="dxa" w:w="262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Employeur</w:t>
            </w:r>
          </w:p>
        </w:tc>
        <w:tc>
          <w:tcPr>
            <w:tcW w:type="dxa" w:w="746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Mansa Musa Academy (éditeur de la plateforme EduCam)</w:t>
            </w:r>
          </w:p>
        </w:tc>
      </w:tr>
      <w:tr>
        <w:tc>
          <w:tcPr>
            <w:tcW w:type="dxa" w:w="262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Rattachement</w:t>
            </w:r>
          </w:p>
        </w:tc>
        <w:tc>
          <w:tcPr>
            <w:tcW w:type="dxa" w:w="746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Direction / coordination de Mansa Musa Academy</w:t>
            </w:r>
          </w:p>
        </w:tc>
      </w:tr>
      <w:tr>
        <w:tc>
          <w:tcPr>
            <w:tcW w:type="dxa" w:w="262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Lieu d'exercice</w:t>
            </w:r>
          </w:p>
        </w:tc>
        <w:tc>
          <w:tcPr>
            <w:tcW w:type="dxa" w:w="746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Sur site, dans l'école partenaire — Région du Littoral</w:t>
            </w:r>
          </w:p>
        </w:tc>
      </w:tr>
      <w:tr>
        <w:tc>
          <w:tcPr>
            <w:tcW w:type="dxa" w:w="262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Type de contrat</w:t>
            </w:r>
          </w:p>
        </w:tc>
        <w:tc>
          <w:tcPr>
            <w:tcW w:type="dxa" w:w="746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Emploi à temps plein</w:t>
            </w:r>
          </w:p>
        </w:tc>
      </w:tr>
      <w:tr>
        <w:tc>
          <w:tcPr>
            <w:tcW w:type="dxa" w:w="262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Prise de poste</w:t>
            </w:r>
          </w:p>
        </w:tc>
        <w:tc>
          <w:tcPr>
            <w:tcW w:type="dxa" w:w="746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Rentrée 2026 — phase préparatoire dès septembre 2026</w:t>
            </w:r>
          </w:p>
        </w:tc>
      </w:tr>
      <w:tr>
        <w:tc>
          <w:tcPr>
            <w:tcW w:type="dxa" w:w="2624"/>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Horizon</w:t>
            </w:r>
          </w:p>
        </w:tc>
        <w:tc>
          <w:tcPr>
            <w:tcW w:type="dxa" w:w="7469"/>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Pilote CM1 (oct.–déc. 2026), avec vocation à se poursuivre (extension CE2, déploiement)</w:t>
            </w:r>
          </w:p>
        </w:tc>
      </w:tr>
      <w:tr>
        <w:tc>
          <w:tcPr>
            <w:tcW w:type="dxa" w:w="2624"/>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Interlocuteurs</w:t>
            </w:r>
          </w:p>
        </w:tc>
        <w:tc>
          <w:tcPr>
            <w:tcW w:type="dxa" w:w="7469"/>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Enseignant titulaire, direction de l'école, parents, équipe MMA</w:t>
            </w:r>
          </w:p>
        </w:tc>
      </w:tr>
    </w:tbl>
    <w:p>
      <w:pPr>
        <w:spacing w:after="160"/>
      </w:pP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2. </w:t>
      </w:r>
      <w:r>
        <w:rPr>
          <w:rFonts w:ascii="Calibri" w:cs="Calibri" w:eastAsia="Calibri" w:hAnsi="Calibri"/>
          <w:b/>
          <w:bCs/>
          <w:color w:val="0A3626"/>
          <w:sz w:val="28"/>
          <w:szCs w:val="28"/>
        </w:rPr>
        <w:t xml:space="preserve">Raison d'être du poste</w:t>
      </w:r>
    </w:p>
    <w:p>
      <w:pPr>
        <w:spacing w:after="130" w:line="268"/>
        <w:jc w:val="both"/>
      </w:pPr>
      <w:r>
        <w:rPr>
          <w:rFonts w:ascii="Calibri" w:cs="Calibri" w:eastAsia="Calibri" w:hAnsi="Calibri"/>
          <w:color w:val="2E3843"/>
          <w:sz w:val="21"/>
          <w:szCs w:val="21"/>
        </w:rPr>
        <w:t xml:space="preserve">Le Référent EduCam est la présence dédiée que Mansa Musa Academy affecte à l'école pour toute la durée du pilote (protocole, Art. 5.4). Il est le </w:t>
      </w:r>
      <w:r>
        <w:rPr>
          <w:rFonts w:ascii="Calibri" w:cs="Calibri" w:eastAsia="Calibri" w:hAnsi="Calibri"/>
          <w:b/>
          <w:bCs/>
          <w:color w:val="0D1219"/>
          <w:sz w:val="21"/>
          <w:szCs w:val="21"/>
        </w:rPr>
        <w:t xml:space="preserve">visage de MMA sur le terrain</w:t>
      </w:r>
      <w:r>
        <w:rPr>
          <w:rFonts w:ascii="Calibri" w:cs="Calibri" w:eastAsia="Calibri" w:hAnsi="Calibri"/>
          <w:color w:val="2E3843"/>
          <w:sz w:val="21"/>
          <w:szCs w:val="21"/>
        </w:rPr>
        <w:t xml:space="preserve"> et le garant que la plateforme est réellement utilisée comme outil pédagogique principal des six matières couvertes, et non « à moitié ».</w:t>
      </w:r>
    </w:p>
    <w:p>
      <w:pPr>
        <w:spacing w:after="130" w:line="268"/>
        <w:jc w:val="both"/>
      </w:pPr>
      <w:r>
        <w:rPr>
          <w:rFonts w:ascii="Calibri" w:cs="Calibri" w:eastAsia="Calibri" w:hAnsi="Calibri"/>
          <w:color w:val="2E3843"/>
          <w:sz w:val="21"/>
          <w:szCs w:val="21"/>
        </w:rPr>
        <w:t xml:space="preserve">Le principal risque d'un tel projet est qu'un enseignant, laissé seul face à une difficulté, se détourne de l'outil. La mission du référent est de transformer chaque obstacle — technique comme méthodologique — en simple étape franchie, et de faire vivre la boucle quotidienne du premier au dernier jour. Sa réussite se mesure à l'adoption réelle et à la qualité de ce qui parvient aux élèves, bien plus qu'à la maîtrise technique.</w:t>
      </w: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3. </w:t>
      </w:r>
      <w:r>
        <w:rPr>
          <w:rFonts w:ascii="Calibri" w:cs="Calibri" w:eastAsia="Calibri" w:hAnsi="Calibri"/>
          <w:b/>
          <w:bCs/>
          <w:color w:val="0A3626"/>
          <w:sz w:val="28"/>
          <w:szCs w:val="28"/>
        </w:rPr>
        <w:t xml:space="preserve">Domaines de responsabilité</w:t>
      </w:r>
    </w:p>
    <w:p>
      <w:pPr>
        <w:spacing w:after="130" w:line="268"/>
        <w:jc w:val="both"/>
      </w:pPr>
      <w:r>
        <w:rPr>
          <w:rFonts w:ascii="Calibri" w:cs="Calibri" w:eastAsia="Calibri" w:hAnsi="Calibri"/>
          <w:color w:val="2E3843"/>
          <w:sz w:val="21"/>
          <w:szCs w:val="21"/>
        </w:rPr>
        <w:t xml:space="preserve">Le poste réunit plusieurs terrains à la fois. Les responsabilités ci-dessous sont toutes attendues du titulaire pendant le pilote.</w:t>
      </w:r>
    </w:p>
    <w:p>
      <w:pPr>
        <w:pStyle w:val="Heading2"/>
        <w:keepNext/>
        <w:spacing w:after="80" w:before="200"/>
      </w:pPr>
      <w:r>
        <w:rPr>
          <w:rFonts w:ascii="Calibri" w:cs="Calibri" w:eastAsia="Calibri" w:hAnsi="Calibri"/>
          <w:b/>
          <w:bCs/>
          <w:color w:val="0F4C35"/>
          <w:sz w:val="22"/>
          <w:szCs w:val="22"/>
        </w:rPr>
        <w:t xml:space="preserve">3.1 Adoption et accompagnement du changement</w:t>
      </w:r>
    </w:p>
    <w:p>
      <w:pPr>
        <w:pStyle w:val="ListParagraph"/>
        <w:numPr>
          <w:ilvl w:val="0"/>
          <w:numId w:val="1"/>
        </w:numPr>
        <w:spacing w:after="74" w:line="268"/>
        <w:jc w:val="both"/>
      </w:pPr>
      <w:r>
        <w:rPr>
          <w:rFonts w:ascii="Calibri" w:cs="Calibri" w:eastAsia="Calibri" w:hAnsi="Calibri"/>
          <w:color w:val="2E3843"/>
          <w:sz w:val="21"/>
          <w:szCs w:val="21"/>
        </w:rPr>
        <w:t xml:space="preserve">représenter EduCam auprès de la direction, des enseignants et des parents — être le point de contact et le visage de MMA dans l'école ;</w:t>
      </w:r>
    </w:p>
    <w:p>
      <w:pPr>
        <w:pStyle w:val="ListParagraph"/>
        <w:numPr>
          <w:ilvl w:val="0"/>
          <w:numId w:val="1"/>
        </w:numPr>
        <w:spacing w:after="74" w:line="268"/>
        <w:jc w:val="both"/>
      </w:pPr>
      <w:r>
        <w:rPr>
          <w:rFonts w:ascii="Calibri" w:cs="Calibri" w:eastAsia="Calibri" w:hAnsi="Calibri"/>
          <w:color w:val="2E3843"/>
          <w:sz w:val="21"/>
          <w:szCs w:val="21"/>
        </w:rPr>
        <w:t xml:space="preserve">accompagner l'enseignant titulaire au quotidien et lever chaque obstacle avant qu'il ne décourage l'usage ;</w:t>
      </w:r>
    </w:p>
    <w:p>
      <w:pPr>
        <w:pStyle w:val="ListParagraph"/>
        <w:numPr>
          <w:ilvl w:val="0"/>
          <w:numId w:val="1"/>
        </w:numPr>
        <w:spacing w:after="74" w:line="268"/>
        <w:jc w:val="both"/>
      </w:pPr>
      <w:r>
        <w:rPr>
          <w:rFonts w:ascii="Calibri" w:cs="Calibri" w:eastAsia="Calibri" w:hAnsi="Calibri"/>
          <w:color w:val="2E3843"/>
          <w:sz w:val="21"/>
          <w:szCs w:val="21"/>
        </w:rPr>
        <w:t xml:space="preserve">convaincre et entraîner : installer la confiance et faire adopter la plateforme comme outil pédagogique principal des six matières (Art. 6.1) ;</w:t>
      </w:r>
    </w:p>
    <w:p>
      <w:pPr>
        <w:pStyle w:val="ListParagraph"/>
        <w:numPr>
          <w:ilvl w:val="0"/>
          <w:numId w:val="1"/>
        </w:numPr>
        <w:spacing w:after="74" w:line="268"/>
        <w:jc w:val="both"/>
      </w:pPr>
      <w:r>
        <w:rPr>
          <w:rFonts w:ascii="Calibri" w:cs="Calibri" w:eastAsia="Calibri" w:hAnsi="Calibri"/>
          <w:color w:val="2E3843"/>
          <w:sz w:val="21"/>
          <w:szCs w:val="21"/>
        </w:rPr>
        <w:t xml:space="preserve">présenter la démarche et rassurer les familles lors des rencontres et des sollicitations.</w:t>
      </w:r>
    </w:p>
    <w:p>
      <w:pPr>
        <w:pStyle w:val="Heading2"/>
        <w:keepNext/>
        <w:spacing w:after="80" w:before="200"/>
      </w:pPr>
      <w:r>
        <w:rPr>
          <w:rFonts w:ascii="Calibri" w:cs="Calibri" w:eastAsia="Calibri" w:hAnsi="Calibri"/>
          <w:b/>
          <w:bCs/>
          <w:color w:val="0F4C35"/>
          <w:sz w:val="22"/>
          <w:szCs w:val="22"/>
        </w:rPr>
        <w:t xml:space="preserve">3.2 Intégration de l'école et formation</w:t>
      </w:r>
    </w:p>
    <w:p>
      <w:pPr>
        <w:pStyle w:val="ListParagraph"/>
        <w:numPr>
          <w:ilvl w:val="0"/>
          <w:numId w:val="1"/>
        </w:numPr>
        <w:spacing w:after="74" w:line="268"/>
        <w:jc w:val="both"/>
      </w:pPr>
      <w:r>
        <w:rPr>
          <w:rFonts w:ascii="Calibri" w:cs="Calibri" w:eastAsia="Calibri" w:hAnsi="Calibri"/>
          <w:color w:val="2E3843"/>
          <w:sz w:val="21"/>
          <w:szCs w:val="21"/>
        </w:rPr>
        <w:t xml:space="preserve">piloter la mise en route : création et vérification des comptes, inscription des élèves, émission et distribution des </w:t>
      </w:r>
      <w:r>
        <w:rPr>
          <w:rFonts w:ascii="Calibri" w:cs="Calibri" w:eastAsia="Calibri" w:hAnsi="Calibri"/>
          <w:b/>
          <w:bCs/>
          <w:color w:val="0D1219"/>
          <w:sz w:val="21"/>
          <w:szCs w:val="21"/>
        </w:rPr>
        <w:t xml:space="preserve">codes parents</w:t>
      </w:r>
      <w:r>
        <w:rPr>
          <w:rFonts w:ascii="Calibri" w:cs="Calibri" w:eastAsia="Calibri" w:hAnsi="Calibri"/>
          <w:color w:val="2E3843"/>
          <w:sz w:val="21"/>
          <w:szCs w:val="21"/>
        </w:rPr>
        <w:t xml:space="preserve"> (Art. 5.3) ;</w:t>
      </w:r>
    </w:p>
    <w:p>
      <w:pPr>
        <w:pStyle w:val="ListParagraph"/>
        <w:numPr>
          <w:ilvl w:val="0"/>
          <w:numId w:val="1"/>
        </w:numPr>
        <w:spacing w:after="74" w:line="268"/>
        <w:jc w:val="both"/>
      </w:pPr>
      <w:r>
        <w:rPr>
          <w:rFonts w:ascii="Calibri" w:cs="Calibri" w:eastAsia="Calibri" w:hAnsi="Calibri"/>
          <w:color w:val="2E3843"/>
          <w:sz w:val="21"/>
          <w:szCs w:val="21"/>
        </w:rPr>
        <w:t xml:space="preserve">animer la </w:t>
      </w:r>
      <w:r>
        <w:rPr>
          <w:rFonts w:ascii="Calibri" w:cs="Calibri" w:eastAsia="Calibri" w:hAnsi="Calibri"/>
          <w:b/>
          <w:bCs/>
          <w:color w:val="0D1219"/>
          <w:sz w:val="21"/>
          <w:szCs w:val="21"/>
        </w:rPr>
        <w:t xml:space="preserve">formation initiale de cinq jours</w:t>
      </w:r>
      <w:r>
        <w:rPr>
          <w:rFonts w:ascii="Calibri" w:cs="Calibri" w:eastAsia="Calibri" w:hAnsi="Calibri"/>
          <w:color w:val="2E3843"/>
          <w:sz w:val="21"/>
          <w:szCs w:val="21"/>
        </w:rPr>
        <w:t xml:space="preserve"> de l'enseignant et de la direction (plan de l'Annexe D), puis l'appui continu (Art. 5.5) ;</w:t>
      </w:r>
    </w:p>
    <w:p>
      <w:pPr>
        <w:pStyle w:val="ListParagraph"/>
        <w:numPr>
          <w:ilvl w:val="0"/>
          <w:numId w:val="1"/>
        </w:numPr>
        <w:spacing w:after="74" w:line="268"/>
        <w:jc w:val="both"/>
      </w:pPr>
      <w:r>
        <w:rPr>
          <w:rFonts w:ascii="Calibri" w:cs="Calibri" w:eastAsia="Calibri" w:hAnsi="Calibri"/>
          <w:color w:val="2E3843"/>
          <w:sz w:val="21"/>
          <w:szCs w:val="21"/>
        </w:rPr>
        <w:t xml:space="preserve">former aux bases l'</w:t>
      </w:r>
      <w:r>
        <w:rPr>
          <w:rFonts w:ascii="Calibri" w:cs="Calibri" w:eastAsia="Calibri" w:hAnsi="Calibri"/>
          <w:b/>
          <w:bCs/>
          <w:color w:val="0D1219"/>
          <w:sz w:val="21"/>
          <w:szCs w:val="21"/>
        </w:rPr>
        <w:t xml:space="preserve">enseignant remplaçant</w:t>
      </w:r>
      <w:r>
        <w:rPr>
          <w:rFonts w:ascii="Calibri" w:cs="Calibri" w:eastAsia="Calibri" w:hAnsi="Calibri"/>
          <w:color w:val="2E3843"/>
          <w:sz w:val="21"/>
          <w:szCs w:val="21"/>
        </w:rPr>
        <w:t xml:space="preserve">, pour qu'une absence n'interrompe pas le pilote (Art. 6.2) ;</w:t>
      </w:r>
    </w:p>
    <w:p>
      <w:pPr>
        <w:pStyle w:val="ListParagraph"/>
        <w:numPr>
          <w:ilvl w:val="0"/>
          <w:numId w:val="1"/>
        </w:numPr>
        <w:spacing w:after="74" w:line="268"/>
        <w:jc w:val="both"/>
      </w:pPr>
      <w:r>
        <w:rPr>
          <w:rFonts w:ascii="Calibri" w:cs="Calibri" w:eastAsia="Calibri" w:hAnsi="Calibri"/>
          <w:color w:val="2E3843"/>
          <w:sz w:val="21"/>
          <w:szCs w:val="21"/>
        </w:rPr>
        <w:t xml:space="preserve">arrêter l'</w:t>
      </w:r>
      <w:r>
        <w:rPr>
          <w:rFonts w:ascii="Calibri" w:cs="Calibri" w:eastAsia="Calibri" w:hAnsi="Calibri"/>
          <w:b/>
          <w:bCs/>
          <w:color w:val="0D1219"/>
          <w:sz w:val="21"/>
          <w:szCs w:val="21"/>
        </w:rPr>
        <w:t xml:space="preserve">emploi du temps</w:t>
      </w:r>
      <w:r>
        <w:rPr>
          <w:rFonts w:ascii="Calibri" w:cs="Calibri" w:eastAsia="Calibri" w:hAnsi="Calibri"/>
          <w:color w:val="2E3843"/>
          <w:sz w:val="21"/>
          <w:szCs w:val="21"/>
        </w:rPr>
        <w:t xml:space="preserve"> avec l'enseignant et le configurer dans la plateforme (Art. 8.2) ;</w:t>
      </w:r>
    </w:p>
    <w:p>
      <w:pPr>
        <w:pStyle w:val="ListParagraph"/>
        <w:numPr>
          <w:ilvl w:val="0"/>
          <w:numId w:val="1"/>
        </w:numPr>
        <w:spacing w:after="74" w:line="268"/>
        <w:jc w:val="both"/>
      </w:pPr>
      <w:r>
        <w:rPr>
          <w:rFonts w:ascii="Calibri" w:cs="Calibri" w:eastAsia="Calibri" w:hAnsi="Calibri"/>
          <w:color w:val="2E3843"/>
          <w:sz w:val="21"/>
          <w:szCs w:val="21"/>
        </w:rPr>
        <w:t xml:space="preserve">participer à l'installation et à la mise en service de l'équipement — projection lisible, hors-ligne, énergie (Art. 5.1 et 5.2).</w:t>
      </w:r>
    </w:p>
    <w:p>
      <w:pPr>
        <w:pStyle w:val="Heading2"/>
        <w:keepNext/>
        <w:spacing w:after="80" w:before="200"/>
      </w:pPr>
      <w:r>
        <w:rPr>
          <w:rFonts w:ascii="Calibri" w:cs="Calibri" w:eastAsia="Calibri" w:hAnsi="Calibri"/>
          <w:b/>
          <w:bCs/>
          <w:color w:val="0F4C35"/>
          <w:sz w:val="22"/>
          <w:szCs w:val="22"/>
        </w:rPr>
        <w:t xml:space="preserve">3.3 Opérations quotidiennes — la boucle</w:t>
      </w:r>
    </w:p>
    <w:p>
      <w:pPr>
        <w:pStyle w:val="ListParagraph"/>
        <w:numPr>
          <w:ilvl w:val="0"/>
          <w:numId w:val="1"/>
        </w:numPr>
        <w:spacing w:after="74" w:line="268"/>
        <w:jc w:val="both"/>
      </w:pPr>
      <w:r>
        <w:rPr>
          <w:rFonts w:ascii="Calibri" w:cs="Calibri" w:eastAsia="Calibri" w:hAnsi="Calibri"/>
          <w:color w:val="2E3843"/>
          <w:sz w:val="21"/>
          <w:szCs w:val="21"/>
        </w:rPr>
        <w:t xml:space="preserve">veiller au bon déroulement de la </w:t>
      </w:r>
      <w:r>
        <w:rPr>
          <w:rFonts w:ascii="Calibri" w:cs="Calibri" w:eastAsia="Calibri" w:hAnsi="Calibri"/>
          <w:b/>
          <w:bCs/>
          <w:color w:val="0D1219"/>
          <w:sz w:val="21"/>
          <w:szCs w:val="21"/>
        </w:rPr>
        <w:t xml:space="preserve">boucle quotidienne en six temps</w:t>
      </w:r>
      <w:r>
        <w:rPr>
          <w:rFonts w:ascii="Calibri" w:cs="Calibri" w:eastAsia="Calibri" w:hAnsi="Calibri"/>
          <w:color w:val="2E3843"/>
          <w:sz w:val="21"/>
          <w:szCs w:val="21"/>
        </w:rPr>
        <w:t xml:space="preserve"> (Art. 7) : leçon projetée, contrôle papier, correction en classe, saisie, tableau de bord, information des parents ;</w:t>
      </w:r>
    </w:p>
    <w:p>
      <w:pPr>
        <w:pStyle w:val="ListParagraph"/>
        <w:numPr>
          <w:ilvl w:val="0"/>
          <w:numId w:val="1"/>
        </w:numPr>
        <w:spacing w:after="74" w:line="268"/>
        <w:jc w:val="both"/>
      </w:pPr>
      <w:r>
        <w:rPr>
          <w:rFonts w:ascii="Calibri" w:cs="Calibri" w:eastAsia="Calibri" w:hAnsi="Calibri"/>
          <w:b/>
          <w:bCs/>
          <w:color w:val="0D1219"/>
          <w:sz w:val="21"/>
          <w:szCs w:val="21"/>
        </w:rPr>
        <w:t xml:space="preserve">imprimer chaque semaine, à l'avance</w:t>
      </w:r>
      <w:r>
        <w:rPr>
          <w:rFonts w:ascii="Calibri" w:cs="Calibri" w:eastAsia="Calibri" w:hAnsi="Calibri"/>
          <w:color w:val="2E3843"/>
          <w:sz w:val="21"/>
          <w:szCs w:val="21"/>
        </w:rPr>
        <w:t xml:space="preserve">, les évaluations de la semaine — le nom de chaque élève déjà porté sur sa feuille — et gérer l'impression et les consommables (Art. 5.6 et 7.1) ;</w:t>
      </w:r>
    </w:p>
    <w:p>
      <w:pPr>
        <w:pStyle w:val="ListParagraph"/>
        <w:numPr>
          <w:ilvl w:val="0"/>
          <w:numId w:val="1"/>
        </w:numPr>
        <w:spacing w:after="74" w:line="268"/>
        <w:jc w:val="both"/>
      </w:pPr>
      <w:r>
        <w:rPr>
          <w:rFonts w:ascii="Calibri" w:cs="Calibri" w:eastAsia="Calibri" w:hAnsi="Calibri"/>
          <w:color w:val="2E3843"/>
          <w:sz w:val="21"/>
          <w:szCs w:val="21"/>
        </w:rPr>
        <w:t xml:space="preserve">assurer ou superviser la </w:t>
      </w:r>
      <w:r>
        <w:rPr>
          <w:rFonts w:ascii="Calibri" w:cs="Calibri" w:eastAsia="Calibri" w:hAnsi="Calibri"/>
          <w:b/>
          <w:bCs/>
          <w:color w:val="0D1219"/>
          <w:sz w:val="21"/>
          <w:szCs w:val="21"/>
        </w:rPr>
        <w:t xml:space="preserve">saisie des résultats en fin de journée</w:t>
      </w:r>
      <w:r>
        <w:rPr>
          <w:rFonts w:ascii="Calibri" w:cs="Calibri" w:eastAsia="Calibri" w:hAnsi="Calibri"/>
          <w:color w:val="2E3843"/>
          <w:sz w:val="21"/>
          <w:szCs w:val="21"/>
        </w:rPr>
        <w:t xml:space="preserve"> et le marquage des leçons « enseignées » (Art. 7.1) ;</w:t>
      </w:r>
    </w:p>
    <w:p>
      <w:pPr>
        <w:pStyle w:val="ListParagraph"/>
        <w:numPr>
          <w:ilvl w:val="0"/>
          <w:numId w:val="1"/>
        </w:numPr>
        <w:spacing w:after="74" w:line="268"/>
        <w:jc w:val="both"/>
      </w:pPr>
      <w:r>
        <w:rPr>
          <w:rFonts w:ascii="Calibri" w:cs="Calibri" w:eastAsia="Calibri" w:hAnsi="Calibri"/>
          <w:color w:val="2E3843"/>
          <w:sz w:val="21"/>
          <w:szCs w:val="21"/>
        </w:rPr>
        <w:t xml:space="preserve">garantir la disponibilité </w:t>
      </w:r>
      <w:r>
        <w:rPr>
          <w:rFonts w:ascii="Calibri" w:cs="Calibri" w:eastAsia="Calibri" w:hAnsi="Calibri"/>
          <w:b/>
          <w:bCs/>
          <w:color w:val="0D1219"/>
          <w:sz w:val="21"/>
          <w:szCs w:val="21"/>
        </w:rPr>
        <w:t xml:space="preserve">hors-ligne</w:t>
      </w:r>
      <w:r>
        <w:rPr>
          <w:rFonts w:ascii="Calibri" w:cs="Calibri" w:eastAsia="Calibri" w:hAnsi="Calibri"/>
          <w:color w:val="2E3843"/>
          <w:sz w:val="21"/>
          <w:szCs w:val="21"/>
        </w:rPr>
        <w:t xml:space="preserve"> (téléchargement de la semaine à l'avance), gérer l'énergie (station solaire, batteries) et traiter les incidents matériel de premier niveau, en escaladant au support (Art. 5.1 et 5.7) ;</w:t>
      </w:r>
    </w:p>
    <w:p>
      <w:pPr>
        <w:pStyle w:val="ListParagraph"/>
        <w:numPr>
          <w:ilvl w:val="0"/>
          <w:numId w:val="1"/>
        </w:numPr>
        <w:spacing w:after="74" w:line="268"/>
        <w:jc w:val="both"/>
      </w:pPr>
      <w:r>
        <w:rPr>
          <w:rFonts w:ascii="Calibri" w:cs="Calibri" w:eastAsia="Calibri" w:hAnsi="Calibri"/>
          <w:color w:val="2E3843"/>
          <w:sz w:val="21"/>
          <w:szCs w:val="21"/>
        </w:rPr>
        <w:t xml:space="preserve">composer et envoyer les </w:t>
      </w:r>
      <w:r>
        <w:rPr>
          <w:rFonts w:ascii="Calibri" w:cs="Calibri" w:eastAsia="Calibri" w:hAnsi="Calibri"/>
          <w:b/>
          <w:bCs/>
          <w:color w:val="0D1219"/>
          <w:sz w:val="21"/>
          <w:szCs w:val="21"/>
        </w:rPr>
        <w:t xml:space="preserve">messages ciblés</w:t>
      </w:r>
      <w:r>
        <w:rPr>
          <w:rFonts w:ascii="Calibri" w:cs="Calibri" w:eastAsia="Calibri" w:hAnsi="Calibri"/>
          <w:color w:val="2E3843"/>
          <w:sz w:val="21"/>
          <w:szCs w:val="21"/>
        </w:rPr>
        <w:t xml:space="preserve"> (élève en difficulté → leçon à revoir ; réussite → encouragement) et l'information des parents.</w:t>
      </w:r>
    </w:p>
    <w:p>
      <w:pPr>
        <w:pStyle w:val="Heading2"/>
        <w:keepNext/>
        <w:spacing w:after="80" w:before="200"/>
      </w:pPr>
      <w:r>
        <w:rPr>
          <w:rFonts w:ascii="Calibri" w:cs="Calibri" w:eastAsia="Calibri" w:hAnsi="Calibri"/>
          <w:b/>
          <w:bCs/>
          <w:color w:val="0F4C35"/>
          <w:sz w:val="22"/>
          <w:szCs w:val="22"/>
        </w:rPr>
        <w:t xml:space="preserve">3.4 Qualité pédagogique et revue des contenus</w:t>
      </w:r>
    </w:p>
    <w:p>
      <w:pPr>
        <w:pStyle w:val="ListParagraph"/>
        <w:numPr>
          <w:ilvl w:val="0"/>
          <w:numId w:val="1"/>
        </w:numPr>
        <w:spacing w:after="74" w:line="268"/>
        <w:jc w:val="both"/>
      </w:pPr>
      <w:r>
        <w:rPr>
          <w:rFonts w:ascii="Calibri" w:cs="Calibri" w:eastAsia="Calibri" w:hAnsi="Calibri"/>
          <w:color w:val="2E3843"/>
          <w:sz w:val="21"/>
          <w:szCs w:val="21"/>
        </w:rPr>
        <w:t xml:space="preserve">revoir chaque leçon </w:t>
      </w:r>
      <w:r>
        <w:rPr>
          <w:rFonts w:ascii="Calibri" w:cs="Calibri" w:eastAsia="Calibri" w:hAnsi="Calibri"/>
          <w:b/>
          <w:bCs/>
          <w:color w:val="0D1219"/>
          <w:sz w:val="21"/>
          <w:szCs w:val="21"/>
        </w:rPr>
        <w:t xml:space="preserve">avant que la classe ne l'atteigne</w:t>
      </w:r>
      <w:r>
        <w:rPr>
          <w:rFonts w:ascii="Calibri" w:cs="Calibri" w:eastAsia="Calibri" w:hAnsi="Calibri"/>
          <w:color w:val="2E3843"/>
          <w:sz w:val="21"/>
          <w:szCs w:val="21"/>
        </w:rPr>
        <w:t xml:space="preserve"> et vérifier son alignement sur le programme officiel et le niveau CM1 (Art. 3.3) ;</w:t>
      </w:r>
    </w:p>
    <w:p>
      <w:pPr>
        <w:pStyle w:val="ListParagraph"/>
        <w:numPr>
          <w:ilvl w:val="0"/>
          <w:numId w:val="1"/>
        </w:numPr>
        <w:spacing w:after="74" w:line="268"/>
        <w:jc w:val="both"/>
      </w:pPr>
      <w:r>
        <w:rPr>
          <w:rFonts w:ascii="Calibri" w:cs="Calibri" w:eastAsia="Calibri" w:hAnsi="Calibri"/>
          <w:color w:val="2E3843"/>
          <w:sz w:val="21"/>
          <w:szCs w:val="21"/>
        </w:rPr>
        <w:t xml:space="preserve">évaluer les </w:t>
      </w:r>
      <w:r>
        <w:rPr>
          <w:rFonts w:ascii="Calibri" w:cs="Calibri" w:eastAsia="Calibri" w:hAnsi="Calibri"/>
          <w:b/>
          <w:bCs/>
          <w:color w:val="0D1219"/>
          <w:sz w:val="21"/>
          <w:szCs w:val="21"/>
        </w:rPr>
        <w:t xml:space="preserve">exercices, les questions et le Bilan</w:t>
      </w:r>
      <w:r>
        <w:rPr>
          <w:rFonts w:ascii="Calibri" w:cs="Calibri" w:eastAsia="Calibri" w:hAnsi="Calibri"/>
          <w:color w:val="2E3843"/>
          <w:sz w:val="21"/>
          <w:szCs w:val="21"/>
        </w:rPr>
        <w:t xml:space="preserve"> produits : exactitude, faisabilité en classe, contextualisation camerounaise, conformité à la liste de vérification de contenu ;</w:t>
      </w:r>
    </w:p>
    <w:p>
      <w:pPr>
        <w:pStyle w:val="ListParagraph"/>
        <w:numPr>
          <w:ilvl w:val="0"/>
          <w:numId w:val="1"/>
        </w:numPr>
        <w:spacing w:after="74" w:line="268"/>
        <w:jc w:val="both"/>
      </w:pPr>
      <w:r>
        <w:rPr>
          <w:rFonts w:ascii="Calibri" w:cs="Calibri" w:eastAsia="Calibri" w:hAnsi="Calibri"/>
          <w:color w:val="2E3843"/>
          <w:sz w:val="21"/>
          <w:szCs w:val="21"/>
        </w:rPr>
        <w:t xml:space="preserve">signaler les écarts, proposer les corrections, et router les demandes de modification (correction centrale ou couche propre à la classe) vers l'équipe ;</w:t>
      </w:r>
    </w:p>
    <w:p>
      <w:pPr>
        <w:pStyle w:val="ListParagraph"/>
        <w:numPr>
          <w:ilvl w:val="0"/>
          <w:numId w:val="1"/>
        </w:numPr>
        <w:spacing w:after="74" w:line="268"/>
        <w:jc w:val="both"/>
      </w:pPr>
      <w:r>
        <w:rPr>
          <w:rFonts w:ascii="Calibri" w:cs="Calibri" w:eastAsia="Calibri" w:hAnsi="Calibri"/>
          <w:color w:val="2E3843"/>
          <w:sz w:val="21"/>
          <w:szCs w:val="21"/>
        </w:rPr>
        <w:t xml:space="preserve">être le garant local que </w:t>
      </w:r>
      <w:r>
        <w:rPr>
          <w:rFonts w:ascii="Calibri" w:cs="Calibri" w:eastAsia="Calibri" w:hAnsi="Calibri"/>
          <w:b/>
          <w:bCs/>
          <w:color w:val="0D1219"/>
          <w:sz w:val="21"/>
          <w:szCs w:val="21"/>
        </w:rPr>
        <w:t xml:space="preserve">rien d'incorrect n'atteint un enfant</w:t>
      </w:r>
      <w:r>
        <w:rPr>
          <w:rFonts w:ascii="Calibri" w:cs="Calibri" w:eastAsia="Calibri" w:hAnsi="Calibri"/>
          <w:color w:val="2E3843"/>
          <w:sz w:val="21"/>
          <w:szCs w:val="21"/>
        </w:rPr>
        <w:t xml:space="preserve">.</w:t>
      </w:r>
    </w:p>
    <w:p>
      <w:pPr>
        <w:pStyle w:val="Heading2"/>
        <w:keepNext/>
        <w:spacing w:after="80" w:before="200"/>
      </w:pPr>
      <w:r>
        <w:rPr>
          <w:rFonts w:ascii="Calibri" w:cs="Calibri" w:eastAsia="Calibri" w:hAnsi="Calibri"/>
          <w:b/>
          <w:bCs/>
          <w:color w:val="0F4C35"/>
          <w:sz w:val="22"/>
          <w:szCs w:val="22"/>
        </w:rPr>
        <w:t xml:space="preserve">3.5 Relation avec les familles et données des élèves</w:t>
      </w:r>
    </w:p>
    <w:p>
      <w:pPr>
        <w:pStyle w:val="ListParagraph"/>
        <w:numPr>
          <w:ilvl w:val="0"/>
          <w:numId w:val="1"/>
        </w:numPr>
        <w:spacing w:after="74" w:line="268"/>
        <w:jc w:val="both"/>
      </w:pPr>
      <w:r>
        <w:rPr>
          <w:rFonts w:ascii="Calibri" w:cs="Calibri" w:eastAsia="Calibri" w:hAnsi="Calibri"/>
          <w:color w:val="2E3843"/>
          <w:sz w:val="21"/>
          <w:szCs w:val="21"/>
        </w:rPr>
        <w:t xml:space="preserve">piloter l'</w:t>
      </w:r>
      <w:r>
        <w:rPr>
          <w:rFonts w:ascii="Calibri" w:cs="Calibri" w:eastAsia="Calibri" w:hAnsi="Calibri"/>
          <w:b/>
          <w:bCs/>
          <w:color w:val="0D1219"/>
          <w:sz w:val="21"/>
          <w:szCs w:val="21"/>
        </w:rPr>
        <w:t xml:space="preserve">activation des comptes parents</w:t>
      </w:r>
      <w:r>
        <w:rPr>
          <w:rFonts w:ascii="Calibri" w:cs="Calibri" w:eastAsia="Calibri" w:hAnsi="Calibri"/>
          <w:color w:val="2E3843"/>
          <w:sz w:val="21"/>
          <w:szCs w:val="21"/>
        </w:rPr>
        <w:t xml:space="preserve"> : distribuer les codes, accompagner l'activation, relancer les familles qui ne suivent pas (indicateur de réussite, Art. 10) ;</w:t>
      </w:r>
    </w:p>
    <w:p>
      <w:pPr>
        <w:pStyle w:val="ListParagraph"/>
        <w:numPr>
          <w:ilvl w:val="0"/>
          <w:numId w:val="1"/>
        </w:numPr>
        <w:spacing w:after="74" w:line="268"/>
        <w:jc w:val="both"/>
      </w:pPr>
      <w:r>
        <w:rPr>
          <w:rFonts w:ascii="Calibri" w:cs="Calibri" w:eastAsia="Calibri" w:hAnsi="Calibri"/>
          <w:color w:val="2E3843"/>
          <w:sz w:val="21"/>
          <w:szCs w:val="21"/>
        </w:rPr>
        <w:t xml:space="preserve">faciliter la </w:t>
      </w:r>
      <w:r>
        <w:rPr>
          <w:rFonts w:ascii="Calibri" w:cs="Calibri" w:eastAsia="Calibri" w:hAnsi="Calibri"/>
          <w:b/>
          <w:bCs/>
          <w:color w:val="0D1219"/>
          <w:sz w:val="21"/>
          <w:szCs w:val="21"/>
        </w:rPr>
        <w:t xml:space="preserve">collecte des consentements</w:t>
      </w:r>
      <w:r>
        <w:rPr>
          <w:rFonts w:ascii="Calibri" w:cs="Calibri" w:eastAsia="Calibri" w:hAnsi="Calibri"/>
          <w:color w:val="2E3843"/>
          <w:sz w:val="21"/>
          <w:szCs w:val="21"/>
        </w:rPr>
        <w:t xml:space="preserve"> parentaux sur la base du formulaire fourni (Annexe F) ;</w:t>
      </w:r>
    </w:p>
    <w:p>
      <w:pPr>
        <w:pStyle w:val="ListParagraph"/>
        <w:numPr>
          <w:ilvl w:val="0"/>
          <w:numId w:val="1"/>
        </w:numPr>
        <w:spacing w:after="74" w:line="268"/>
        <w:jc w:val="both"/>
      </w:pPr>
      <w:r>
        <w:rPr>
          <w:rFonts w:ascii="Calibri" w:cs="Calibri" w:eastAsia="Calibri" w:hAnsi="Calibri"/>
          <w:color w:val="2E3843"/>
          <w:sz w:val="21"/>
          <w:szCs w:val="21"/>
        </w:rPr>
        <w:t xml:space="preserve">manipuler les </w:t>
      </w:r>
      <w:r>
        <w:rPr>
          <w:rFonts w:ascii="Calibri" w:cs="Calibri" w:eastAsia="Calibri" w:hAnsi="Calibri"/>
          <w:b/>
          <w:bCs/>
          <w:color w:val="0D1219"/>
          <w:sz w:val="21"/>
          <w:szCs w:val="21"/>
        </w:rPr>
        <w:t xml:space="preserve">données d'enfants</w:t>
      </w:r>
      <w:r>
        <w:rPr>
          <w:rFonts w:ascii="Calibri" w:cs="Calibri" w:eastAsia="Calibri" w:hAnsi="Calibri"/>
          <w:color w:val="2E3843"/>
          <w:sz w:val="21"/>
          <w:szCs w:val="21"/>
        </w:rPr>
        <w:t xml:space="preserve"> avec la plus grande rigueur : cloisonnement, confidentialité et respect strict de l'Article 12 ;</w:t>
      </w:r>
    </w:p>
    <w:p>
      <w:pPr>
        <w:pStyle w:val="ListParagraph"/>
        <w:numPr>
          <w:ilvl w:val="0"/>
          <w:numId w:val="1"/>
        </w:numPr>
        <w:spacing w:after="74" w:line="268"/>
        <w:jc w:val="both"/>
      </w:pPr>
      <w:r>
        <w:rPr>
          <w:rFonts w:ascii="Calibri" w:cs="Calibri" w:eastAsia="Calibri" w:hAnsi="Calibri"/>
          <w:color w:val="2E3843"/>
          <w:sz w:val="21"/>
          <w:szCs w:val="21"/>
        </w:rPr>
        <w:t xml:space="preserve">suivre l'engagement des familles (journal d'activité) et appeler les parents inactifs.</w:t>
      </w:r>
    </w:p>
    <w:p>
      <w:pPr>
        <w:pStyle w:val="Heading2"/>
        <w:keepNext/>
        <w:spacing w:after="80" w:before="200"/>
      </w:pPr>
      <w:r>
        <w:rPr>
          <w:rFonts w:ascii="Calibri" w:cs="Calibri" w:eastAsia="Calibri" w:hAnsi="Calibri"/>
          <w:b/>
          <w:bCs/>
          <w:color w:val="0F4C35"/>
          <w:sz w:val="22"/>
          <w:szCs w:val="22"/>
        </w:rPr>
        <w:t xml:space="preserve">3.6 Pilotage, remontée terrain et mesure</w:t>
      </w:r>
    </w:p>
    <w:p>
      <w:pPr>
        <w:pStyle w:val="ListParagraph"/>
        <w:numPr>
          <w:ilvl w:val="0"/>
          <w:numId w:val="1"/>
        </w:numPr>
        <w:spacing w:after="74" w:line="268"/>
        <w:jc w:val="both"/>
      </w:pPr>
      <w:r>
        <w:rPr>
          <w:rFonts w:ascii="Calibri" w:cs="Calibri" w:eastAsia="Calibri" w:hAnsi="Calibri"/>
          <w:color w:val="2E3843"/>
          <w:sz w:val="21"/>
          <w:szCs w:val="21"/>
        </w:rPr>
        <w:t xml:space="preserve">tenir le </w:t>
      </w:r>
      <w:r>
        <w:rPr>
          <w:rFonts w:ascii="Calibri" w:cs="Calibri" w:eastAsia="Calibri" w:hAnsi="Calibri"/>
          <w:b/>
          <w:bCs/>
          <w:color w:val="0D1219"/>
          <w:sz w:val="21"/>
          <w:szCs w:val="21"/>
        </w:rPr>
        <w:t xml:space="preserve">point d'avancement hebdomadaire</w:t>
      </w:r>
      <w:r>
        <w:rPr>
          <w:rFonts w:ascii="Calibri" w:cs="Calibri" w:eastAsia="Calibri" w:hAnsi="Calibri"/>
          <w:color w:val="2E3843"/>
          <w:sz w:val="21"/>
          <w:szCs w:val="21"/>
        </w:rPr>
        <w:t xml:space="preserve"> avec le référent École et participer au </w:t>
      </w:r>
      <w:r>
        <w:rPr>
          <w:rFonts w:ascii="Calibri" w:cs="Calibri" w:eastAsia="Calibri" w:hAnsi="Calibri"/>
          <w:b/>
          <w:bCs/>
          <w:color w:val="0D1219"/>
          <w:sz w:val="21"/>
          <w:szCs w:val="21"/>
        </w:rPr>
        <w:t xml:space="preserve">comité de pilotage mensuel</w:t>
      </w:r>
      <w:r>
        <w:rPr>
          <w:rFonts w:ascii="Calibri" w:cs="Calibri" w:eastAsia="Calibri" w:hAnsi="Calibri"/>
          <w:color w:val="2E3843"/>
          <w:sz w:val="21"/>
          <w:szCs w:val="21"/>
        </w:rPr>
        <w:t xml:space="preserve"> ainsi qu'à la revue de décembre (Art. 9) ;</w:t>
      </w:r>
    </w:p>
    <w:p>
      <w:pPr>
        <w:pStyle w:val="ListParagraph"/>
        <w:numPr>
          <w:ilvl w:val="0"/>
          <w:numId w:val="1"/>
        </w:numPr>
        <w:spacing w:after="74" w:line="268"/>
        <w:jc w:val="both"/>
      </w:pPr>
      <w:r>
        <w:rPr>
          <w:rFonts w:ascii="Calibri" w:cs="Calibri" w:eastAsia="Calibri" w:hAnsi="Calibri"/>
          <w:color w:val="2E3843"/>
          <w:sz w:val="21"/>
          <w:szCs w:val="21"/>
        </w:rPr>
        <w:t xml:space="preserve">être le </w:t>
      </w:r>
      <w:r>
        <w:rPr>
          <w:rFonts w:ascii="Calibri" w:cs="Calibri" w:eastAsia="Calibri" w:hAnsi="Calibri"/>
          <w:b/>
          <w:bCs/>
          <w:color w:val="0D1219"/>
          <w:sz w:val="21"/>
          <w:szCs w:val="21"/>
        </w:rPr>
        <w:t xml:space="preserve">canal d'incident unique</w:t>
      </w:r>
      <w:r>
        <w:rPr>
          <w:rFonts w:ascii="Calibri" w:cs="Calibri" w:eastAsia="Calibri" w:hAnsi="Calibri"/>
          <w:color w:val="2E3843"/>
          <w:sz w:val="21"/>
          <w:szCs w:val="21"/>
        </w:rPr>
        <w:t xml:space="preserve"> et remonter à l'équipe produit les anomalies, les retours et les besoins d'évolution (Art. 5.8 et 6.8) ;</w:t>
      </w:r>
    </w:p>
    <w:p>
      <w:pPr>
        <w:pStyle w:val="ListParagraph"/>
        <w:numPr>
          <w:ilvl w:val="0"/>
          <w:numId w:val="1"/>
        </w:numPr>
        <w:spacing w:after="74" w:line="268"/>
        <w:jc w:val="both"/>
      </w:pPr>
      <w:r>
        <w:rPr>
          <w:rFonts w:ascii="Calibri" w:cs="Calibri" w:eastAsia="Calibri" w:hAnsi="Calibri"/>
          <w:color w:val="2E3843"/>
          <w:sz w:val="21"/>
          <w:szCs w:val="21"/>
        </w:rPr>
        <w:t xml:space="preserve">suivre et porter les </w:t>
      </w:r>
      <w:r>
        <w:rPr>
          <w:rFonts w:ascii="Calibri" w:cs="Calibri" w:eastAsia="Calibri" w:hAnsi="Calibri"/>
          <w:b/>
          <w:bCs/>
          <w:color w:val="0D1219"/>
          <w:sz w:val="21"/>
          <w:szCs w:val="21"/>
        </w:rPr>
        <w:t xml:space="preserve">indicateurs de réussite</w:t>
      </w:r>
      <w:r>
        <w:rPr>
          <w:rFonts w:ascii="Calibri" w:cs="Calibri" w:eastAsia="Calibri" w:hAnsi="Calibri"/>
          <w:color w:val="2E3843"/>
          <w:sz w:val="21"/>
          <w:szCs w:val="21"/>
        </w:rPr>
        <w:t xml:space="preserve"> du pilote et préparer les éléments de la revue de décembre (Art. 10).</w:t>
      </w: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4. </w:t>
      </w:r>
      <w:r>
        <w:rPr>
          <w:rFonts w:ascii="Calibri" w:cs="Calibri" w:eastAsia="Calibri" w:hAnsi="Calibri"/>
          <w:b/>
          <w:bCs/>
          <w:color w:val="0A3626"/>
          <w:sz w:val="28"/>
          <w:szCs w:val="28"/>
        </w:rPr>
        <w:t xml:space="preserve">Objectifs et indicateurs de réussite</w:t>
      </w:r>
    </w:p>
    <w:p>
      <w:pPr>
        <w:spacing w:after="130" w:line="268"/>
        <w:jc w:val="both"/>
      </w:pPr>
      <w:r>
        <w:rPr>
          <w:rFonts w:ascii="Calibri" w:cs="Calibri" w:eastAsia="Calibri" w:hAnsi="Calibri"/>
          <w:color w:val="2E3843"/>
          <w:sz w:val="21"/>
          <w:szCs w:val="21"/>
        </w:rPr>
        <w:t xml:space="preserve">La réussite du titulaire s'apprécie, à la revue de décembre, au regard des indicateurs du pilote. Les cibles ci-dessous sont </w:t>
      </w:r>
      <w:r>
        <w:rPr>
          <w:rFonts w:ascii="Calibri" w:cs="Calibri" w:eastAsia="Calibri" w:hAnsi="Calibri"/>
          <w:b/>
          <w:bCs/>
          <w:color w:val="0D1219"/>
          <w:sz w:val="21"/>
          <w:szCs w:val="21"/>
        </w:rPr>
        <w:t xml:space="preserve">indicatives</w:t>
      </w:r>
      <w:r>
        <w:rPr>
          <w:rFonts w:ascii="Calibri" w:cs="Calibri" w:eastAsia="Calibri" w:hAnsi="Calibri"/>
          <w:color w:val="2E3843"/>
          <w:sz w:val="21"/>
          <w:szCs w:val="21"/>
        </w:rPr>
        <w:t xml:space="preserve"> ; elles sont confirmées avec l'école avant le lancement (protocole, Art. 10 et Annexe G).</w:t>
      </w:r>
    </w:p>
    <w:tbl>
      <w:tblPr>
        <w:tblW w:type="dxa" w:w="10093"/>
        <w:tblBorders>
          <w:top w:val="none" w:color="FFFFFF" w:sz="0"/>
          <w:left w:val="none" w:color="FFFFFF" w:sz="0"/>
          <w:bottom w:val="none" w:color="FFFFFF" w:sz="0"/>
          <w:right w:val="none" w:color="FFFFFF" w:sz="0"/>
          <w:insideH w:val="single" w:color="E3E8ED" w:sz="3"/>
          <w:insideV w:val="none" w:color="FFFFFF" w:sz="0"/>
        </w:tblBorders>
      </w:tblPr>
      <w:tblGrid>
        <w:gridCol w:w="3028"/>
        <w:gridCol w:w="4643"/>
        <w:gridCol w:w="2422"/>
      </w:tblGrid>
      <w:tr>
        <w:trPr>
          <w:tblHeader/>
        </w:trPr>
        <w:tc>
          <w:tcPr>
            <w:tcW w:type="dxa" w:w="3028"/>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INDICATEUR</w:t>
            </w:r>
          </w:p>
        </w:tc>
        <w:tc>
          <w:tcPr>
            <w:tcW w:type="dxa" w:w="4643"/>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CE QU'IL MESURE</w:t>
            </w:r>
          </w:p>
        </w:tc>
        <w:tc>
          <w:tcPr>
            <w:tcW w:type="dxa" w:w="2422"/>
            <w:shd w:fill="0F4C35" w:color="auto" w:val="clear"/>
            <w:tcMar>
              <w:top w:type="dxa" w:w="102"/>
              <w:left w:type="dxa" w:w="136"/>
              <w:bottom w:type="dxa" w:w="102"/>
              <w:right w:type="dxa" w:w="136"/>
            </w:tcMar>
          </w:tcPr>
          <w:p>
            <w:pPr>
              <w:spacing w:after="0" w:line="250"/>
              <w:jc w:val="left"/>
            </w:pPr>
            <w:r>
              <w:rPr>
                <w:rFonts w:ascii="Calibri" w:cs="Calibri" w:eastAsia="Calibri" w:hAnsi="Calibri"/>
                <w:b/>
                <w:bCs/>
                <w:color w:val="FFFFFF"/>
                <w:spacing w:val="24"/>
                <w:sz w:val="15"/>
                <w:szCs w:val="15"/>
              </w:rPr>
              <w:t xml:space="preserve">CIBLE INDICATIVE</w:t>
            </w:r>
          </w:p>
        </w:tc>
      </w:tr>
      <w:tr>
        <w:tc>
          <w:tcPr>
            <w:tcW w:type="dxa" w:w="3028"/>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Usage quotidien</w:t>
            </w:r>
          </w:p>
        </w:tc>
        <w:tc>
          <w:tcPr>
            <w:tcW w:type="dxa" w:w="464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Part des jours où la leçon est effectivement marquée « enseignée »</w:t>
            </w:r>
          </w:p>
        </w:tc>
        <w:tc>
          <w:tcPr>
            <w:tcW w:type="dxa" w:w="242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90 %</w:t>
            </w:r>
          </w:p>
        </w:tc>
      </w:tr>
      <w:tr>
        <w:tc>
          <w:tcPr>
            <w:tcW w:type="dxa" w:w="3028"/>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Couverture du programme</w:t>
            </w:r>
          </w:p>
        </w:tc>
        <w:tc>
          <w:tcPr>
            <w:tcW w:type="dxa" w:w="464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Leçons enseignées rapportées au plan prévu sur la période</w:t>
            </w:r>
          </w:p>
        </w:tc>
        <w:tc>
          <w:tcPr>
            <w:tcW w:type="dxa" w:w="242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90 %</w:t>
            </w:r>
          </w:p>
        </w:tc>
      </w:tr>
      <w:tr>
        <w:tc>
          <w:tcPr>
            <w:tcW w:type="dxa" w:w="3028"/>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Saisie des résultats</w:t>
            </w:r>
          </w:p>
        </w:tc>
        <w:tc>
          <w:tcPr>
            <w:tcW w:type="dxa" w:w="464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Évaluations saisies le jour même dans la plateforme</w:t>
            </w:r>
          </w:p>
        </w:tc>
        <w:tc>
          <w:tcPr>
            <w:tcW w:type="dxa" w:w="242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90 %</w:t>
            </w:r>
          </w:p>
        </w:tc>
      </w:tr>
      <w:tr>
        <w:tc>
          <w:tcPr>
            <w:tcW w:type="dxa" w:w="3028"/>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Activation des parents</w:t>
            </w:r>
          </w:p>
        </w:tc>
        <w:tc>
          <w:tcPr>
            <w:tcW w:type="dxa" w:w="464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Comptes parents activés à partir du code individuel</w:t>
            </w:r>
          </w:p>
        </w:tc>
        <w:tc>
          <w:tcPr>
            <w:tcW w:type="dxa" w:w="242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 70 %</w:t>
            </w:r>
          </w:p>
        </w:tc>
      </w:tr>
      <w:tr>
        <w:tc>
          <w:tcPr>
            <w:tcW w:type="dxa" w:w="3028"/>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Compréhension</w:t>
            </w:r>
          </w:p>
        </w:tc>
        <w:tc>
          <w:tcPr>
            <w:tcW w:type="dxa" w:w="4643"/>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Évolution de la compréhension moyenne de la classe</w:t>
            </w:r>
          </w:p>
        </w:tc>
        <w:tc>
          <w:tcPr>
            <w:tcW w:type="dxa" w:w="2422"/>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Maintenue ou en hausse</w:t>
            </w:r>
          </w:p>
        </w:tc>
      </w:tr>
      <w:tr>
        <w:tc>
          <w:tcPr>
            <w:tcW w:type="dxa" w:w="3028"/>
            <w:shd w:fill="FAFCFB" w:color="auto" w:val="clear"/>
            <w:tcMar>
              <w:top w:type="dxa" w:w="102"/>
              <w:left w:type="dxa" w:w="136"/>
              <w:bottom w:type="dxa" w:w="102"/>
              <w:right w:type="dxa" w:w="136"/>
            </w:tcMar>
          </w:tcPr>
          <w:p>
            <w:pPr>
              <w:spacing w:after="0" w:line="250"/>
              <w:jc w:val="left"/>
            </w:pPr>
            <w:r>
              <w:rPr>
                <w:rFonts w:ascii="Calibri" w:cs="Calibri" w:eastAsia="Calibri" w:hAnsi="Calibri"/>
                <w:b/>
                <w:bCs/>
                <w:color w:val="0D1219"/>
                <w:sz w:val="18"/>
                <w:szCs w:val="18"/>
              </w:rPr>
              <w:t xml:space="preserve">Satisfaction</w:t>
            </w:r>
          </w:p>
        </w:tc>
        <w:tc>
          <w:tcPr>
            <w:tcW w:type="dxa" w:w="4643"/>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Retour qualitatif de l'enseignant et de la direction</w:t>
            </w:r>
          </w:p>
        </w:tc>
        <w:tc>
          <w:tcPr>
            <w:tcW w:type="dxa" w:w="2422"/>
            <w:shd w:fill="FAFCFB" w:color="auto" w:val="clear"/>
            <w:tcMar>
              <w:top w:type="dxa" w:w="102"/>
              <w:left w:type="dxa" w:w="136"/>
              <w:bottom w:type="dxa" w:w="102"/>
              <w:right w:type="dxa" w:w="136"/>
            </w:tcMar>
          </w:tcPr>
          <w:p>
            <w:pPr>
              <w:spacing w:after="0" w:line="250"/>
              <w:jc w:val="left"/>
            </w:pPr>
            <w:r>
              <w:rPr>
                <w:rFonts w:ascii="Calibri" w:cs="Calibri" w:eastAsia="Calibri" w:hAnsi="Calibri"/>
                <w:color w:val="2E3843"/>
                <w:sz w:val="18"/>
                <w:szCs w:val="18"/>
              </w:rPr>
              <w:t xml:space="preserve">Positif</w:t>
            </w:r>
          </w:p>
        </w:tc>
      </w:tr>
    </w:tbl>
    <w:p>
      <w:pPr>
        <w:spacing w:after="160"/>
      </w:pP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5. </w:t>
      </w:r>
      <w:r>
        <w:rPr>
          <w:rFonts w:ascii="Calibri" w:cs="Calibri" w:eastAsia="Calibri" w:hAnsi="Calibri"/>
          <w:b/>
          <w:bCs/>
          <w:color w:val="0A3626"/>
          <w:sz w:val="28"/>
          <w:szCs w:val="28"/>
        </w:rPr>
        <w:t xml:space="preserve">Profil recherché</w:t>
      </w:r>
    </w:p>
    <w:p>
      <w:pPr>
        <w:spacing w:after="130" w:line="268"/>
        <w:jc w:val="both"/>
      </w:pPr>
      <w:r>
        <w:rPr>
          <w:rFonts w:ascii="Calibri" w:cs="Calibri" w:eastAsia="Calibri" w:hAnsi="Calibri"/>
          <w:color w:val="2E3843"/>
          <w:sz w:val="21"/>
          <w:szCs w:val="21"/>
        </w:rPr>
        <w:t xml:space="preserve">Le poste demande d'abord des qualités humaines. La réussite ne tient pas à la maîtrise technique — la plateforme est faite pour être simple — mais à la capacité d'entraîner des enseignants et d'inspirer confiance.</w:t>
      </w:r>
    </w:p>
    <w:p>
      <w:pPr>
        <w:pStyle w:val="Heading2"/>
        <w:keepNext/>
        <w:spacing w:after="80" w:before="200"/>
      </w:pPr>
      <w:r>
        <w:rPr>
          <w:rFonts w:ascii="Calibri" w:cs="Calibri" w:eastAsia="Calibri" w:hAnsi="Calibri"/>
          <w:b/>
          <w:bCs/>
          <w:color w:val="0F4C35"/>
          <w:sz w:val="22"/>
          <w:szCs w:val="22"/>
        </w:rPr>
        <w:t xml:space="preserve">Indispensable</w:t>
      </w:r>
    </w:p>
    <w:p>
      <w:pPr>
        <w:pStyle w:val="ListParagraph"/>
        <w:numPr>
          <w:ilvl w:val="0"/>
          <w:numId w:val="1"/>
        </w:numPr>
        <w:spacing w:after="74" w:line="268"/>
        <w:jc w:val="both"/>
      </w:pPr>
      <w:r>
        <w:rPr>
          <w:rFonts w:ascii="Calibri" w:cs="Calibri" w:eastAsia="Calibri" w:hAnsi="Calibri"/>
          <w:color w:val="2E3843"/>
          <w:sz w:val="21"/>
          <w:szCs w:val="21"/>
        </w:rPr>
        <w:t xml:space="preserve">expérience confirmée de l'enseignement à l'école primaire ;</w:t>
      </w:r>
    </w:p>
    <w:p>
      <w:pPr>
        <w:pStyle w:val="ListParagraph"/>
        <w:numPr>
          <w:ilvl w:val="0"/>
          <w:numId w:val="1"/>
        </w:numPr>
        <w:spacing w:after="74" w:line="268"/>
        <w:jc w:val="both"/>
      </w:pPr>
      <w:r>
        <w:rPr>
          <w:rFonts w:ascii="Calibri" w:cs="Calibri" w:eastAsia="Calibri" w:hAnsi="Calibri"/>
          <w:color w:val="2E3843"/>
          <w:sz w:val="21"/>
          <w:szCs w:val="21"/>
        </w:rPr>
        <w:t xml:space="preserve">aisance réelle avec l'outil informatique (ordinateur, projection, applications en ligne) ;</w:t>
      </w:r>
    </w:p>
    <w:p>
      <w:pPr>
        <w:pStyle w:val="ListParagraph"/>
        <w:numPr>
          <w:ilvl w:val="0"/>
          <w:numId w:val="1"/>
        </w:numPr>
        <w:spacing w:after="74" w:line="268"/>
        <w:jc w:val="both"/>
      </w:pPr>
      <w:r>
        <w:rPr>
          <w:rFonts w:ascii="Calibri" w:cs="Calibri" w:eastAsia="Calibri" w:hAnsi="Calibri"/>
          <w:color w:val="2E3843"/>
          <w:sz w:val="21"/>
          <w:szCs w:val="21"/>
        </w:rPr>
        <w:t xml:space="preserve">fortes qualités relationnelles et de conviction : entraîner un collègue enseignant, parler avec assurance devant une direction et des parents ;</w:t>
      </w:r>
    </w:p>
    <w:p>
      <w:pPr>
        <w:pStyle w:val="ListParagraph"/>
        <w:numPr>
          <w:ilvl w:val="0"/>
          <w:numId w:val="1"/>
        </w:numPr>
        <w:spacing w:after="74" w:line="268"/>
        <w:jc w:val="both"/>
      </w:pPr>
      <w:r>
        <w:rPr>
          <w:rFonts w:ascii="Calibri" w:cs="Calibri" w:eastAsia="Calibri" w:hAnsi="Calibri"/>
          <w:color w:val="2E3843"/>
          <w:sz w:val="21"/>
          <w:szCs w:val="21"/>
        </w:rPr>
        <w:t xml:space="preserve">connaissance du programme officiel du primaire camerounais et sens de l'évaluation ;</w:t>
      </w:r>
    </w:p>
    <w:p>
      <w:pPr>
        <w:pStyle w:val="ListParagraph"/>
        <w:numPr>
          <w:ilvl w:val="0"/>
          <w:numId w:val="1"/>
        </w:numPr>
        <w:spacing w:after="74" w:line="268"/>
        <w:jc w:val="both"/>
      </w:pPr>
      <w:r>
        <w:rPr>
          <w:rFonts w:ascii="Calibri" w:cs="Calibri" w:eastAsia="Calibri" w:hAnsi="Calibri"/>
          <w:color w:val="2E3843"/>
          <w:sz w:val="21"/>
          <w:szCs w:val="21"/>
        </w:rPr>
        <w:t xml:space="preserve">rigueur, autonomie et fiabilité — le poste manipule du matériel de valeur et des données d'enfants ;</w:t>
      </w:r>
    </w:p>
    <w:p>
      <w:pPr>
        <w:pStyle w:val="ListParagraph"/>
        <w:numPr>
          <w:ilvl w:val="0"/>
          <w:numId w:val="1"/>
        </w:numPr>
        <w:spacing w:after="74" w:line="268"/>
        <w:jc w:val="both"/>
      </w:pPr>
      <w:r>
        <w:rPr>
          <w:rFonts w:ascii="Calibri" w:cs="Calibri" w:eastAsia="Calibri" w:hAnsi="Calibri"/>
          <w:color w:val="2E3843"/>
          <w:sz w:val="21"/>
          <w:szCs w:val="21"/>
        </w:rPr>
        <w:t xml:space="preserve">disponibilité à temps plein, sur site, dans la région du Littoral.</w:t>
      </w:r>
    </w:p>
    <w:p>
      <w:pPr>
        <w:pStyle w:val="Heading2"/>
        <w:keepNext/>
        <w:spacing w:after="80" w:before="200"/>
      </w:pPr>
      <w:r>
        <w:rPr>
          <w:rFonts w:ascii="Calibri" w:cs="Calibri" w:eastAsia="Calibri" w:hAnsi="Calibri"/>
          <w:b/>
          <w:bCs/>
          <w:color w:val="0F4C35"/>
          <w:sz w:val="22"/>
          <w:szCs w:val="22"/>
        </w:rPr>
        <w:t xml:space="preserve">Atouts appréciés</w:t>
      </w:r>
    </w:p>
    <w:p>
      <w:pPr>
        <w:pStyle w:val="ListParagraph"/>
        <w:numPr>
          <w:ilvl w:val="0"/>
          <w:numId w:val="1"/>
        </w:numPr>
        <w:spacing w:after="74" w:line="268"/>
        <w:jc w:val="both"/>
      </w:pPr>
      <w:r>
        <w:rPr>
          <w:rFonts w:ascii="Calibri" w:cs="Calibri" w:eastAsia="Calibri" w:hAnsi="Calibri"/>
          <w:color w:val="2E3843"/>
          <w:sz w:val="21"/>
          <w:szCs w:val="21"/>
        </w:rPr>
        <w:t xml:space="preserve">expérience de formation ou d'accompagnement d'adultes ;</w:t>
      </w:r>
    </w:p>
    <w:p>
      <w:pPr>
        <w:pStyle w:val="ListParagraph"/>
        <w:numPr>
          <w:ilvl w:val="0"/>
          <w:numId w:val="1"/>
        </w:numPr>
        <w:spacing w:after="74" w:line="268"/>
        <w:jc w:val="both"/>
      </w:pPr>
      <w:r>
        <w:rPr>
          <w:rFonts w:ascii="Calibri" w:cs="Calibri" w:eastAsia="Calibri" w:hAnsi="Calibri"/>
          <w:color w:val="2E3843"/>
          <w:sz w:val="21"/>
          <w:szCs w:val="21"/>
        </w:rPr>
        <w:t xml:space="preserve">sens de l'organisation et de la logistique ;</w:t>
      </w:r>
    </w:p>
    <w:p>
      <w:pPr>
        <w:pStyle w:val="ListParagraph"/>
        <w:numPr>
          <w:ilvl w:val="0"/>
          <w:numId w:val="1"/>
        </w:numPr>
        <w:spacing w:after="74" w:line="268"/>
        <w:jc w:val="both"/>
      </w:pPr>
      <w:r>
        <w:rPr>
          <w:rFonts w:ascii="Calibri" w:cs="Calibri" w:eastAsia="Calibri" w:hAnsi="Calibri"/>
          <w:color w:val="2E3843"/>
          <w:sz w:val="21"/>
          <w:szCs w:val="21"/>
        </w:rPr>
        <w:t xml:space="preserve">maîtrise de l'anglais, en plus du français ;</w:t>
      </w:r>
    </w:p>
    <w:p>
      <w:pPr>
        <w:pStyle w:val="ListParagraph"/>
        <w:numPr>
          <w:ilvl w:val="0"/>
          <w:numId w:val="1"/>
        </w:numPr>
        <w:spacing w:after="74" w:line="268"/>
        <w:jc w:val="both"/>
      </w:pPr>
      <w:r>
        <w:rPr>
          <w:rFonts w:ascii="Calibri" w:cs="Calibri" w:eastAsia="Calibri" w:hAnsi="Calibri"/>
          <w:color w:val="2E3843"/>
          <w:sz w:val="21"/>
          <w:szCs w:val="21"/>
        </w:rPr>
        <w:t xml:space="preserve">mobilité (permis de conduire).</w:t>
      </w: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6. </w:t>
      </w:r>
      <w:r>
        <w:rPr>
          <w:rFonts w:ascii="Calibri" w:cs="Calibri" w:eastAsia="Calibri" w:hAnsi="Calibri"/>
          <w:b/>
          <w:bCs/>
          <w:color w:val="0A3626"/>
          <w:sz w:val="28"/>
          <w:szCs w:val="28"/>
        </w:rPr>
        <w:t xml:space="preserve">Compétences clés</w:t>
      </w:r>
    </w:p>
    <w:p>
      <w:pPr>
        <w:pStyle w:val="Heading2"/>
        <w:keepNext/>
        <w:spacing w:after="80" w:before="200"/>
      </w:pPr>
      <w:r>
        <w:rPr>
          <w:rFonts w:ascii="Calibri" w:cs="Calibri" w:eastAsia="Calibri" w:hAnsi="Calibri"/>
          <w:b/>
          <w:bCs/>
          <w:color w:val="0F4C35"/>
          <w:sz w:val="22"/>
          <w:szCs w:val="22"/>
        </w:rPr>
        <w:t xml:space="preserve">Savoirs</w:t>
      </w:r>
    </w:p>
    <w:p>
      <w:pPr>
        <w:pStyle w:val="ListParagraph"/>
        <w:numPr>
          <w:ilvl w:val="0"/>
          <w:numId w:val="1"/>
        </w:numPr>
        <w:spacing w:after="74" w:line="268"/>
        <w:jc w:val="both"/>
      </w:pPr>
      <w:r>
        <w:rPr>
          <w:rFonts w:ascii="Calibri" w:cs="Calibri" w:eastAsia="Calibri" w:hAnsi="Calibri"/>
          <w:color w:val="2E3843"/>
          <w:sz w:val="21"/>
          <w:szCs w:val="21"/>
        </w:rPr>
        <w:t xml:space="preserve">programme officiel du primaire (CM1) et progression des apprentissages ;</w:t>
      </w:r>
    </w:p>
    <w:p>
      <w:pPr>
        <w:pStyle w:val="ListParagraph"/>
        <w:numPr>
          <w:ilvl w:val="0"/>
          <w:numId w:val="1"/>
        </w:numPr>
        <w:spacing w:after="74" w:line="268"/>
        <w:jc w:val="both"/>
      </w:pPr>
      <w:r>
        <w:rPr>
          <w:rFonts w:ascii="Calibri" w:cs="Calibri" w:eastAsia="Calibri" w:hAnsi="Calibri"/>
          <w:color w:val="2E3843"/>
          <w:sz w:val="21"/>
          <w:szCs w:val="21"/>
        </w:rPr>
        <w:t xml:space="preserve">pédagogie de l'école primaire et principes de l'évaluation ;</w:t>
      </w:r>
    </w:p>
    <w:p>
      <w:pPr>
        <w:pStyle w:val="ListParagraph"/>
        <w:numPr>
          <w:ilvl w:val="0"/>
          <w:numId w:val="1"/>
        </w:numPr>
        <w:spacing w:after="74" w:line="268"/>
        <w:jc w:val="both"/>
      </w:pPr>
      <w:r>
        <w:rPr>
          <w:rFonts w:ascii="Calibri" w:cs="Calibri" w:eastAsia="Calibri" w:hAnsi="Calibri"/>
          <w:color w:val="2E3843"/>
          <w:sz w:val="21"/>
          <w:szCs w:val="21"/>
        </w:rPr>
        <w:t xml:space="preserve">notions de protection des données personnelles, en particulier celles des enfants.</w:t>
      </w:r>
    </w:p>
    <w:p>
      <w:pPr>
        <w:pStyle w:val="Heading2"/>
        <w:keepNext/>
        <w:spacing w:after="80" w:before="200"/>
      </w:pPr>
      <w:r>
        <w:rPr>
          <w:rFonts w:ascii="Calibri" w:cs="Calibri" w:eastAsia="Calibri" w:hAnsi="Calibri"/>
          <w:b/>
          <w:bCs/>
          <w:color w:val="0F4C35"/>
          <w:sz w:val="22"/>
          <w:szCs w:val="22"/>
        </w:rPr>
        <w:t xml:space="preserve">Savoir-faire</w:t>
      </w:r>
    </w:p>
    <w:p>
      <w:pPr>
        <w:pStyle w:val="ListParagraph"/>
        <w:numPr>
          <w:ilvl w:val="0"/>
          <w:numId w:val="1"/>
        </w:numPr>
        <w:spacing w:after="74" w:line="268"/>
        <w:jc w:val="both"/>
      </w:pPr>
      <w:r>
        <w:rPr>
          <w:rFonts w:ascii="Calibri" w:cs="Calibri" w:eastAsia="Calibri" w:hAnsi="Calibri"/>
          <w:color w:val="2E3843"/>
          <w:sz w:val="21"/>
          <w:szCs w:val="21"/>
        </w:rPr>
        <w:t xml:space="preserve">animer une formation et accompagner des adultes dans un changement de pratique ;</w:t>
      </w:r>
    </w:p>
    <w:p>
      <w:pPr>
        <w:pStyle w:val="ListParagraph"/>
        <w:numPr>
          <w:ilvl w:val="0"/>
          <w:numId w:val="1"/>
        </w:numPr>
        <w:spacing w:after="74" w:line="268"/>
        <w:jc w:val="both"/>
      </w:pPr>
      <w:r>
        <w:rPr>
          <w:rFonts w:ascii="Calibri" w:cs="Calibri" w:eastAsia="Calibri" w:hAnsi="Calibri"/>
          <w:color w:val="2E3843"/>
          <w:sz w:val="21"/>
          <w:szCs w:val="21"/>
        </w:rPr>
        <w:t xml:space="preserve">utiliser avec aisance ordinateur, vidéoprojecteur et applications web ; résoudre les incidents de premier niveau ;</w:t>
      </w:r>
    </w:p>
    <w:p>
      <w:pPr>
        <w:pStyle w:val="ListParagraph"/>
        <w:numPr>
          <w:ilvl w:val="0"/>
          <w:numId w:val="1"/>
        </w:numPr>
        <w:spacing w:after="74" w:line="268"/>
        <w:jc w:val="both"/>
      </w:pPr>
      <w:r>
        <w:rPr>
          <w:rFonts w:ascii="Calibri" w:cs="Calibri" w:eastAsia="Calibri" w:hAnsi="Calibri"/>
          <w:color w:val="2E3843"/>
          <w:sz w:val="21"/>
          <w:szCs w:val="21"/>
        </w:rPr>
        <w:t xml:space="preserve">organiser une logistique récurrente (impression, matériel, énergie, planning) sans faille ;</w:t>
      </w:r>
    </w:p>
    <w:p>
      <w:pPr>
        <w:pStyle w:val="ListParagraph"/>
        <w:numPr>
          <w:ilvl w:val="0"/>
          <w:numId w:val="1"/>
        </w:numPr>
        <w:spacing w:after="74" w:line="268"/>
        <w:jc w:val="both"/>
      </w:pPr>
      <w:r>
        <w:rPr>
          <w:rFonts w:ascii="Calibri" w:cs="Calibri" w:eastAsia="Calibri" w:hAnsi="Calibri"/>
          <w:color w:val="2E3843"/>
          <w:sz w:val="21"/>
          <w:szCs w:val="21"/>
        </w:rPr>
        <w:t xml:space="preserve">relire un contenu pédagogique et juger de sa justesse et de sa faisabilité.</w:t>
      </w:r>
    </w:p>
    <w:p>
      <w:pPr>
        <w:pStyle w:val="Heading2"/>
        <w:keepNext/>
        <w:spacing w:after="80" w:before="200"/>
      </w:pPr>
      <w:r>
        <w:rPr>
          <w:rFonts w:ascii="Calibri" w:cs="Calibri" w:eastAsia="Calibri" w:hAnsi="Calibri"/>
          <w:b/>
          <w:bCs/>
          <w:color w:val="0F4C35"/>
          <w:sz w:val="22"/>
          <w:szCs w:val="22"/>
        </w:rPr>
        <w:t xml:space="preserve">Savoir-être</w:t>
      </w:r>
    </w:p>
    <w:p>
      <w:pPr>
        <w:pStyle w:val="ListParagraph"/>
        <w:numPr>
          <w:ilvl w:val="0"/>
          <w:numId w:val="1"/>
        </w:numPr>
        <w:spacing w:after="74" w:line="268"/>
        <w:jc w:val="both"/>
      </w:pPr>
      <w:r>
        <w:rPr>
          <w:rFonts w:ascii="Calibri" w:cs="Calibri" w:eastAsia="Calibri" w:hAnsi="Calibri"/>
          <w:color w:val="2E3843"/>
          <w:sz w:val="21"/>
          <w:szCs w:val="21"/>
        </w:rPr>
        <w:t xml:space="preserve">force de conviction et sens du relationnel ;</w:t>
      </w:r>
    </w:p>
    <w:p>
      <w:pPr>
        <w:pStyle w:val="ListParagraph"/>
        <w:numPr>
          <w:ilvl w:val="0"/>
          <w:numId w:val="1"/>
        </w:numPr>
        <w:spacing w:after="74" w:line="268"/>
        <w:jc w:val="both"/>
      </w:pPr>
      <w:r>
        <w:rPr>
          <w:rFonts w:ascii="Calibri" w:cs="Calibri" w:eastAsia="Calibri" w:hAnsi="Calibri"/>
          <w:color w:val="2E3843"/>
          <w:sz w:val="21"/>
          <w:szCs w:val="21"/>
        </w:rPr>
        <w:t xml:space="preserve">rigueur, fiabilité et autonomie ;</w:t>
      </w:r>
    </w:p>
    <w:p>
      <w:pPr>
        <w:pStyle w:val="ListParagraph"/>
        <w:numPr>
          <w:ilvl w:val="0"/>
          <w:numId w:val="1"/>
        </w:numPr>
        <w:spacing w:after="74" w:line="268"/>
        <w:jc w:val="both"/>
      </w:pPr>
      <w:r>
        <w:rPr>
          <w:rFonts w:ascii="Calibri" w:cs="Calibri" w:eastAsia="Calibri" w:hAnsi="Calibri"/>
          <w:color w:val="2E3843"/>
          <w:sz w:val="21"/>
          <w:szCs w:val="21"/>
        </w:rPr>
        <w:t xml:space="preserve">discrétion et sens des responsabilités dans le traitement des données d'enfants ;</w:t>
      </w:r>
    </w:p>
    <w:p>
      <w:pPr>
        <w:pStyle w:val="ListParagraph"/>
        <w:numPr>
          <w:ilvl w:val="0"/>
          <w:numId w:val="1"/>
        </w:numPr>
        <w:spacing w:after="74" w:line="268"/>
        <w:jc w:val="both"/>
      </w:pPr>
      <w:r>
        <w:rPr>
          <w:rFonts w:ascii="Calibri" w:cs="Calibri" w:eastAsia="Calibri" w:hAnsi="Calibri"/>
          <w:color w:val="2E3843"/>
          <w:sz w:val="21"/>
          <w:szCs w:val="21"/>
        </w:rPr>
        <w:t xml:space="preserve">patience et pédagogie face à des utilisateurs qui découvrent l'outil.</w:t>
      </w: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7. </w:t>
      </w:r>
      <w:r>
        <w:rPr>
          <w:rFonts w:ascii="Calibri" w:cs="Calibri" w:eastAsia="Calibri" w:hAnsi="Calibri"/>
          <w:b/>
          <w:bCs/>
          <w:color w:val="0A3626"/>
          <w:sz w:val="28"/>
          <w:szCs w:val="28"/>
        </w:rPr>
        <w:t xml:space="preserve">Conditions d'exercice et rattachement</w:t>
      </w:r>
    </w:p>
    <w:p>
      <w:pPr>
        <w:pStyle w:val="ListParagraph"/>
        <w:numPr>
          <w:ilvl w:val="0"/>
          <w:numId w:val="1"/>
        </w:numPr>
        <w:spacing w:after="74" w:line="268"/>
        <w:jc w:val="both"/>
      </w:pPr>
      <w:r>
        <w:rPr>
          <w:rFonts w:ascii="Calibri" w:cs="Calibri" w:eastAsia="Calibri" w:hAnsi="Calibri"/>
          <w:b/>
          <w:bCs/>
          <w:color w:val="0D1219"/>
          <w:sz w:val="21"/>
          <w:szCs w:val="21"/>
        </w:rPr>
        <w:t xml:space="preserve">Contrat</w:t>
      </w:r>
      <w:r>
        <w:rPr>
          <w:rFonts w:ascii="Calibri" w:cs="Calibri" w:eastAsia="Calibri" w:hAnsi="Calibri"/>
          <w:color w:val="2E3843"/>
          <w:sz w:val="21"/>
          <w:szCs w:val="21"/>
        </w:rPr>
        <w:t xml:space="preserve"> : emploi à temps plein.</w:t>
      </w:r>
    </w:p>
    <w:p>
      <w:pPr>
        <w:pStyle w:val="ListParagraph"/>
        <w:numPr>
          <w:ilvl w:val="0"/>
          <w:numId w:val="1"/>
        </w:numPr>
        <w:spacing w:after="74" w:line="268"/>
        <w:jc w:val="both"/>
      </w:pPr>
      <w:r>
        <w:rPr>
          <w:rFonts w:ascii="Calibri" w:cs="Calibri" w:eastAsia="Calibri" w:hAnsi="Calibri"/>
          <w:b/>
          <w:bCs/>
          <w:color w:val="0D1219"/>
          <w:sz w:val="21"/>
          <w:szCs w:val="21"/>
        </w:rPr>
        <w:t xml:space="preserve">Lieu et rythme</w:t>
      </w:r>
      <w:r>
        <w:rPr>
          <w:rFonts w:ascii="Calibri" w:cs="Calibri" w:eastAsia="Calibri" w:hAnsi="Calibri"/>
          <w:color w:val="2E3843"/>
          <w:sz w:val="21"/>
          <w:szCs w:val="21"/>
        </w:rPr>
        <w:t xml:space="preserve"> : présence sur site, en semaine, dans l'école partenaire (Région du Littoral) ; mobilité selon les besoins du déploiement.</w:t>
      </w:r>
    </w:p>
    <w:p>
      <w:pPr>
        <w:pStyle w:val="ListParagraph"/>
        <w:numPr>
          <w:ilvl w:val="0"/>
          <w:numId w:val="1"/>
        </w:numPr>
        <w:spacing w:after="74" w:line="268"/>
        <w:jc w:val="both"/>
      </w:pPr>
      <w:r>
        <w:rPr>
          <w:rFonts w:ascii="Calibri" w:cs="Calibri" w:eastAsia="Calibri" w:hAnsi="Calibri"/>
          <w:b/>
          <w:bCs/>
          <w:color w:val="0D1219"/>
          <w:sz w:val="21"/>
          <w:szCs w:val="21"/>
        </w:rPr>
        <w:t xml:space="preserve">Rattachement</w:t>
      </w:r>
      <w:r>
        <w:rPr>
          <w:rFonts w:ascii="Calibri" w:cs="Calibri" w:eastAsia="Calibri" w:hAnsi="Calibri"/>
          <w:color w:val="2E3843"/>
          <w:sz w:val="21"/>
          <w:szCs w:val="21"/>
        </w:rPr>
        <w:t xml:space="preserve"> : direction / coordination de Mansa Musa Academy ; interlocuteur unique de l'école pour le pilote.</w:t>
      </w:r>
    </w:p>
    <w:p>
      <w:pPr>
        <w:pStyle w:val="ListParagraph"/>
        <w:numPr>
          <w:ilvl w:val="0"/>
          <w:numId w:val="1"/>
        </w:numPr>
        <w:spacing w:after="74" w:line="268"/>
        <w:jc w:val="both"/>
      </w:pPr>
      <w:r>
        <w:rPr>
          <w:rFonts w:ascii="Calibri" w:cs="Calibri" w:eastAsia="Calibri" w:hAnsi="Calibri"/>
          <w:b/>
          <w:bCs/>
          <w:color w:val="0D1219"/>
          <w:sz w:val="21"/>
          <w:szCs w:val="21"/>
        </w:rPr>
        <w:t xml:space="preserve">Responsabilités particulières</w:t>
      </w:r>
      <w:r>
        <w:rPr>
          <w:rFonts w:ascii="Calibri" w:cs="Calibri" w:eastAsia="Calibri" w:hAnsi="Calibri"/>
          <w:color w:val="2E3843"/>
          <w:sz w:val="21"/>
          <w:szCs w:val="21"/>
        </w:rPr>
        <w:t xml:space="preserve"> : garde et bon usage d'un équipement de valeur ; traitement confidentiel de données d'enfants.</w:t>
      </w:r>
    </w:p>
    <w:p>
      <w:pPr>
        <w:pStyle w:val="ListParagraph"/>
        <w:numPr>
          <w:ilvl w:val="0"/>
          <w:numId w:val="1"/>
        </w:numPr>
        <w:spacing w:after="74" w:line="268"/>
        <w:jc w:val="both"/>
      </w:pPr>
      <w:r>
        <w:rPr>
          <w:rFonts w:ascii="Calibri" w:cs="Calibri" w:eastAsia="Calibri" w:hAnsi="Calibri"/>
          <w:b/>
          <w:bCs/>
          <w:color w:val="0D1219"/>
          <w:sz w:val="21"/>
          <w:szCs w:val="21"/>
        </w:rPr>
        <w:t xml:space="preserve">Calendrier</w:t>
      </w:r>
      <w:r>
        <w:rPr>
          <w:rFonts w:ascii="Calibri" w:cs="Calibri" w:eastAsia="Calibri" w:hAnsi="Calibri"/>
          <w:color w:val="2E3843"/>
          <w:sz w:val="21"/>
          <w:szCs w:val="21"/>
        </w:rPr>
        <w:t xml:space="preserve"> : phase préparatoire dès septembre 2026 ; pilote CM1 d'octobre à décembre 2026 ; poursuite selon l'issue de la revue.</w:t>
      </w:r>
    </w:p>
    <w:p>
      <w:pPr>
        <w:pStyle w:val="ListParagraph"/>
        <w:numPr>
          <w:ilvl w:val="0"/>
          <w:numId w:val="1"/>
        </w:numPr>
        <w:spacing w:after="74" w:line="268"/>
        <w:jc w:val="both"/>
      </w:pPr>
      <w:r>
        <w:rPr>
          <w:rFonts w:ascii="Calibri" w:cs="Calibri" w:eastAsia="Calibri" w:hAnsi="Calibri"/>
          <w:b/>
          <w:bCs/>
          <w:color w:val="0D1219"/>
          <w:sz w:val="21"/>
          <w:szCs w:val="21"/>
        </w:rPr>
        <w:t xml:space="preserve">Évolution</w:t>
      </w:r>
      <w:r>
        <w:rPr>
          <w:rFonts w:ascii="Calibri" w:cs="Calibri" w:eastAsia="Calibri" w:hAnsi="Calibri"/>
          <w:color w:val="2E3843"/>
          <w:sz w:val="21"/>
          <w:szCs w:val="21"/>
        </w:rPr>
        <w:t xml:space="preserve"> : le poste a vocation à se poursuivre au-delà du pilote (extension CE2, déploiement à d'autres classes et écoles) ; certaines fonctions, notamment la revue des contenus, pourront se spécialiser à mesure que le réseau s'étend.</w:t>
      </w:r>
    </w:p>
    <w:p>
      <w:pPr>
        <w:pStyle w:val="Heading1"/>
        <w:keepNext/>
        <w:pBdr>
          <w:bottom w:val="single" w:color="0F4C35" w:sz="12" w:space="6"/>
        </w:pBdr>
        <w:spacing w:after="150" w:before="340"/>
      </w:pPr>
      <w:r>
        <w:rPr>
          <w:rFonts w:ascii="Calibri" w:cs="Calibri" w:eastAsia="Calibri" w:hAnsi="Calibri"/>
          <w:b/>
          <w:bCs/>
          <w:color w:val="007A5E"/>
          <w:sz w:val="28"/>
          <w:szCs w:val="28"/>
        </w:rPr>
        <w:t xml:space="preserve">8. </w:t>
      </w:r>
      <w:r>
        <w:rPr>
          <w:rFonts w:ascii="Calibri" w:cs="Calibri" w:eastAsia="Calibri" w:hAnsi="Calibri"/>
          <w:b/>
          <w:bCs/>
          <w:color w:val="0A3626"/>
          <w:sz w:val="28"/>
          <w:szCs w:val="28"/>
        </w:rPr>
        <w:t xml:space="preserve">Cadre et points de vigilance</w:t>
      </w:r>
    </w:p>
    <w:tbl>
      <w:tblPr>
        <w:tblW w:type="dxa" w:w="10093"/>
        <w:tblBorders>
          <w:top w:val="single" w:color="CFE7DC" w:sz="4"/>
          <w:left w:val="single" w:color="007A5E" w:sz="18"/>
          <w:bottom w:val="single" w:color="CFE7DC" w:sz="4"/>
          <w:right w:val="single" w:color="CFE7DC" w:sz="4"/>
          <w:insideH w:val="none" w:color="FFFFFF" w:sz="0"/>
          <w:insideV w:val="none" w:color="FFFFFF" w:sz="0"/>
        </w:tblBorders>
      </w:tblPr>
      <w:tblGrid>
        <w:gridCol w:w="10093"/>
      </w:tblGrid>
      <w:tr>
        <w:tc>
          <w:tcPr>
            <w:tcW w:type="dxa" w:w="10093"/>
            <w:shd w:fill="EDF6F1" w:color="auto" w:val="clear"/>
            <w:tcMar>
              <w:top w:type="dxa" w:w="142"/>
              <w:left w:type="dxa" w:w="198"/>
              <w:bottom w:type="dxa" w:w="142"/>
              <w:right w:type="dxa" w:w="198"/>
            </w:tcMar>
          </w:tcPr>
          <w:p>
            <w:pPr>
              <w:spacing w:after="60"/>
            </w:pPr>
            <w:r>
              <w:rPr>
                <w:rFonts w:ascii="Calibri" w:cs="Calibri" w:eastAsia="Calibri" w:hAnsi="Calibri"/>
                <w:b/>
                <w:bCs/>
                <w:color w:val="007A5E"/>
                <w:spacing w:val="30"/>
                <w:sz w:val="15"/>
                <w:szCs w:val="15"/>
              </w:rPr>
              <w:t xml:space="preserve">CE QUI FAIT LA RÉUSSITE DU POSTE</w:t>
            </w:r>
          </w:p>
          <w:p>
            <w:pPr>
              <w:spacing w:after="0" w:line="260"/>
              <w:jc w:val="left"/>
            </w:pPr>
            <w:r>
              <w:rPr>
                <w:rFonts w:ascii="Calibri" w:cs="Calibri" w:eastAsia="Calibri" w:hAnsi="Calibri"/>
                <w:color w:val="0E3325"/>
                <w:sz w:val="21"/>
                <w:szCs w:val="21"/>
              </w:rPr>
              <w:t xml:space="preserve">Le plus difficile n'est pas de résoudre un problème technique, mais de convaincre. Un enseignant qui adopte vraiment l'outil, une direction rassurée, des parents qui suivent : c'est là que se joue le pilote. Le référent parle d'abord aux enseignants, pas seulement aux ordinateurs.</w:t>
            </w:r>
          </w:p>
        </w:tc>
      </w:tr>
    </w:tbl>
    <w:p>
      <w:pPr>
        <w:spacing w:after="140"/>
      </w:pPr>
    </w:p>
    <w:p>
      <w:pPr>
        <w:pStyle w:val="ListParagraph"/>
        <w:numPr>
          <w:ilvl w:val="0"/>
          <w:numId w:val="1"/>
        </w:numPr>
        <w:spacing w:after="74" w:line="268"/>
        <w:jc w:val="both"/>
      </w:pPr>
      <w:r>
        <w:rPr>
          <w:rFonts w:ascii="Calibri" w:cs="Calibri" w:eastAsia="Calibri" w:hAnsi="Calibri"/>
          <w:b/>
          <w:bCs/>
          <w:color w:val="0D1219"/>
          <w:sz w:val="21"/>
          <w:szCs w:val="21"/>
        </w:rPr>
        <w:t xml:space="preserve">Fidélité de la parole</w:t>
      </w:r>
      <w:r>
        <w:rPr>
          <w:rFonts w:ascii="Calibri" w:cs="Calibri" w:eastAsia="Calibri" w:hAnsi="Calibri"/>
          <w:color w:val="2E3843"/>
          <w:sz w:val="21"/>
          <w:szCs w:val="21"/>
        </w:rPr>
        <w:t xml:space="preserve"> : en tant que visage de MMA, le référent connaît l'état réel du produit et ne survend rien ; ce qui est en cours de construction est présenté comme tel.</w:t>
      </w:r>
    </w:p>
    <w:p>
      <w:pPr>
        <w:pStyle w:val="ListParagraph"/>
        <w:numPr>
          <w:ilvl w:val="0"/>
          <w:numId w:val="1"/>
        </w:numPr>
        <w:spacing w:after="74" w:line="268"/>
        <w:jc w:val="both"/>
      </w:pPr>
      <w:r>
        <w:rPr>
          <w:rFonts w:ascii="Calibri" w:cs="Calibri" w:eastAsia="Calibri" w:hAnsi="Calibri"/>
          <w:b/>
          <w:bCs/>
          <w:color w:val="0D1219"/>
          <w:sz w:val="21"/>
          <w:szCs w:val="21"/>
        </w:rPr>
        <w:t xml:space="preserve">Données des enfants</w:t>
      </w:r>
      <w:r>
        <w:rPr>
          <w:rFonts w:ascii="Calibri" w:cs="Calibri" w:eastAsia="Calibri" w:hAnsi="Calibri"/>
          <w:color w:val="2E3843"/>
          <w:sz w:val="21"/>
          <w:szCs w:val="21"/>
        </w:rPr>
        <w:t xml:space="preserve"> : consentement préalable des familles, cloisonnement strict, confidentialité — conformément à l'Article 12 du protocole.</w:t>
      </w:r>
    </w:p>
    <w:p>
      <w:pPr>
        <w:pStyle w:val="ListParagraph"/>
        <w:numPr>
          <w:ilvl w:val="0"/>
          <w:numId w:val="1"/>
        </w:numPr>
        <w:spacing w:after="74" w:line="268"/>
        <w:jc w:val="both"/>
      </w:pPr>
      <w:r>
        <w:rPr>
          <w:rFonts w:ascii="Calibri" w:cs="Calibri" w:eastAsia="Calibri" w:hAnsi="Calibri"/>
          <w:b/>
          <w:bCs/>
          <w:color w:val="0D1219"/>
          <w:sz w:val="21"/>
          <w:szCs w:val="21"/>
        </w:rPr>
        <w:t xml:space="preserve">Représentation</w:t>
      </w:r>
      <w:r>
        <w:rPr>
          <w:rFonts w:ascii="Calibri" w:cs="Calibri" w:eastAsia="Calibri" w:hAnsi="Calibri"/>
          <w:color w:val="2E3843"/>
          <w:sz w:val="21"/>
          <w:szCs w:val="21"/>
        </w:rPr>
        <w:t xml:space="preserve"> : le référent engage l'image de MMA dans chacun de ses échanges avec l'école et les familles.</w:t>
      </w:r>
    </w:p>
    <w:tbl>
      <w:tblPr>
        <w:tblW w:type="dxa" w:w="10093"/>
        <w:tblBorders>
          <w:top w:val="single" w:color="E3CDA0" w:sz="4"/>
          <w:left w:val="single" w:color="E3CDA0" w:sz="4"/>
          <w:bottom w:val="single" w:color="E3CDA0" w:sz="4"/>
          <w:right w:val="single" w:color="E3CDA0" w:sz="4"/>
          <w:insideH w:val="none" w:color="FFFFFF" w:sz="0"/>
          <w:insideV w:val="none" w:color="FFFFFF" w:sz="0"/>
        </w:tblBorders>
      </w:tblPr>
      <w:tblGrid>
        <w:gridCol w:w="10093"/>
      </w:tblGrid>
      <w:tr>
        <w:tc>
          <w:tcPr>
            <w:tcW w:type="dxa" w:w="10093"/>
            <w:shd w:fill="FDF6E7" w:color="auto" w:val="clear"/>
            <w:tcMar>
              <w:top w:type="dxa" w:w="142"/>
              <w:left w:type="dxa" w:w="198"/>
              <w:bottom w:type="dxa" w:w="142"/>
              <w:right w:type="dxa" w:w="198"/>
            </w:tcMar>
          </w:tcPr>
          <w:p>
            <w:pPr>
              <w:spacing w:after="0" w:line="260"/>
              <w:jc w:val="both"/>
            </w:pPr>
            <w:r>
              <w:rPr>
                <w:rFonts w:ascii="Calibri" w:cs="Calibri" w:eastAsia="Calibri" w:hAnsi="Calibri"/>
                <w:color w:val="2E3843"/>
                <w:sz w:val="21"/>
                <w:szCs w:val="21"/>
              </w:rPr>
              <w:t xml:space="preserve">Document interne de référence, à faire valider en interne (RH et, le cas échéant, conseil juridique) avant diffusion et avant tout usage contractuel. Il complète, sans le remplacer, le contrat de travail du titulaire.</w:t>
            </w:r>
          </w:p>
        </w:tc>
      </w:tr>
    </w:tbl>
    <w:p>
      <w:pPr>
        <w:spacing w:after="120"/>
      </w:pPr>
    </w:p>
    <w:p>
      <w:pPr>
        <w:spacing w:after="130" w:line="268"/>
        <w:jc w:val="both"/>
      </w:pPr>
      <w:r>
        <w:rPr>
          <w:rFonts w:ascii="Calibri" w:cs="Calibri" w:eastAsia="Calibri" w:hAnsi="Calibri"/>
          <w:color w:val="2E3843"/>
          <w:sz w:val="21"/>
          <w:szCs w:val="21"/>
        </w:rPr>
        <w:t xml:space="preserve">Dernière mise à jour : 2026-08-20 · Mansa Musa Academy — usage interne.</w:t>
      </w:r>
    </w:p>
    <w:sectPr>
      <w:footerReference w:type="default" r:id="rId7"/>
      <w:pgSz w:w="11906" w:h="16838" w:orient="portrait"/>
      <w:pgMar w:top="851" w:right="907" w:bottom="907"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8ED" w:sz="3" w:space="6"/>
      </w:pBdr>
      <w:tabs>
        <w:tab w:val="right" w:pos="10093"/>
      </w:tabs>
    </w:pPr>
    <w:r>
      <w:rPr>
        <w:rFonts w:ascii="Calibri" w:cs="Calibri" w:eastAsia="Calibri" w:hAnsi="Calibri"/>
        <w:b/>
        <w:bCs/>
        <w:color w:val="0F4C35"/>
        <w:sz w:val="15"/>
        <w:szCs w:val="15"/>
      </w:rPr>
      <w:t xml:space="preserve">EduCam</w:t>
    </w:r>
    <w:r>
      <w:rPr>
        <w:rFonts w:ascii="Calibri" w:cs="Calibri" w:eastAsia="Calibri" w:hAnsi="Calibri"/>
        <w:color w:val="5A6470"/>
        <w:sz w:val="15"/>
        <w:szCs w:val="15"/>
      </w:rPr>
      <w:t xml:space="preserve"> · Fiche de poste — Mansa Musa Academy · usage interne</w:t>
    </w:r>
    <w:r>
      <w:rPr>
        <w:rFonts w:ascii="Calibri" w:cs="Calibri" w:eastAsia="Calibri" w:hAnsi="Calibri"/>
        <w:color w:val="5A6470"/>
        <w:sz w:val="15"/>
        <w:szCs w:val="15"/>
      </w:rPr>
      <w:t xml:space="preserve">	Page </w:t>
    </w:r>
    <w:r>
      <w:rPr>
        <w:rFonts w:ascii="Calibri" w:cs="Calibri" w:eastAsia="Calibri" w:hAnsi="Calibri"/>
        <w:color w:val="5A6470"/>
        <w:sz w:val="15"/>
        <w:szCs w:val="15"/>
      </w:rPr>
      <w:fldChar w:fldCharType="begin"/>
      <w:instrText xml:space="preserve">PAGE</w:instrText>
      <w:fldChar w:fldCharType="separate"/>
      <w:fldChar w:fldCharType="end"/>
    </w:r>
    <w:r>
      <w:rPr>
        <w:rFonts w:ascii="Calibri" w:cs="Calibri" w:eastAsia="Calibri" w:hAnsi="Calibri"/>
        <w:color w:val="5A6470"/>
        <w:sz w:val="15"/>
        <w:szCs w:val="15"/>
      </w:rPr>
      <w:t xml:space="preserve"> / </w:t>
    </w:r>
    <w:r>
      <w:rPr>
        <w:rFonts w:ascii="Calibri" w:cs="Calibri" w:eastAsia="Calibri" w:hAnsi="Calibri"/>
        <w:color w:val="5A647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198"/>
      </w:pPr>
      <w:rPr>
        <w:rFonts w:ascii="Calibri" w:cs="Calibri" w:eastAsia="Calibri" w:hAnsi="Calibri"/>
        <w:color w:val="007A5E"/>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384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EduCam — Fiche de poste · Référent pédagogique de terrain</dc:title>
  <dc:creator>Mansa Musa Academy</dc:creator>
  <cp:lastModifiedBy>Un-named</cp:lastModifiedBy>
  <cp:revision>1</cp:revision>
  <dcterms:created xsi:type="dcterms:W3CDTF">2026-08-20T19:24:24.446Z</dcterms:created>
  <dcterms:modified xsi:type="dcterms:W3CDTF">2026-08-20T19:24:24.448Z</dcterms:modified>
</cp:coreProperties>
</file>

<file path=docProps/custom.xml><?xml version="1.0" encoding="utf-8"?>
<Properties xmlns="http://schemas.openxmlformats.org/officeDocument/2006/custom-properties" xmlns:vt="http://schemas.openxmlformats.org/officeDocument/2006/docPropsVTypes"/>
</file>