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sz w:val="40"/>
          <w:szCs w:val="40"/>
        </w:rPr>
        <w:t xml:space="preserve">CPO AI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台灣 CPO／矽光子產業情報、公司事件、生態系卡位與市值重估 AI Agent System</w:t>
      </w:r>
    </w:p>
    <w:p>
      <w:pPr>
        <w:spacing w:after="100" w:before="400"/>
        <w:jc w:val="center"/>
      </w:pPr>
      <w:r>
        <w:rPr>
          <w:b/>
          <w:bCs/>
          <w:sz w:val="32"/>
          <w:szCs w:val="32"/>
        </w:rPr>
        <w:t xml:space="preserve">WORK-1 — TECHNICAL SPECIFICATION BASELINE V1</w:t>
      </w:r>
    </w:p>
    <w:p>
      <w:pPr>
        <w:spacing w:after="300"/>
        <w:jc w:val="center"/>
      </w:pPr>
      <w:r>
        <w:rPr>
          <w:sz w:val="22"/>
          <w:szCs w:val="22"/>
        </w:rPr>
        <w:t xml:space="preserve">Architecture Freeze：模組架構、Agent 架構、治理落地與驗收規格</w:t>
      </w:r>
    </w:p>
    <w:p>
      <w:pPr>
        <w:spacing w:after="40"/>
        <w:jc w:val="center"/>
      </w:pPr>
      <w:r>
        <w:rPr>
          <w:sz w:val="22"/>
          <w:szCs w:val="22"/>
        </w:rPr>
        <w:t xml:space="preserve">Status: DRAFT FOR ARCHITECTURE FREEZE</w:t>
      </w:r>
    </w:p>
    <w:p>
      <w:pPr>
        <w:spacing w:after="40"/>
        <w:jc w:val="center"/>
      </w:pPr>
      <w:r>
        <w:rPr>
          <w:sz w:val="22"/>
          <w:szCs w:val="22"/>
        </w:rPr>
        <w:t xml:space="preserve">Upstream: CPO AI Project Charter Freeze V1.0 (2026-09-05, FROZEN)</w:t>
      </w:r>
    </w:p>
    <w:p>
      <w:pPr>
        <w:spacing w:after="40"/>
        <w:jc w:val="center"/>
      </w:pPr>
      <w:r>
        <w:rPr>
          <w:sz w:val="22"/>
          <w:szCs w:val="22"/>
        </w:rPr>
        <w:t xml:space="preserve">Date: 2026-09-10</w:t>
      </w:r>
    </w:p>
    <w:p>
      <w:pPr>
        <w:spacing w:after="400"/>
        <w:jc w:val="center"/>
      </w:pPr>
      <w:r>
        <w:rPr>
          <w:sz w:val="22"/>
          <w:szCs w:val="22"/>
        </w:rPr>
        <w:t xml:space="preserve">Next Gate: Work-2 — Contract Freeze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0. 文件控制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CPO AI Work-1 Technical Specification Baseline V1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文件性質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將 Project Charter Freeze V1.0 工程化為模組架構、Agent 架構、事件流程、資料模型輪廓與治理落地規格；不產出程式碼、不固定資料庫欄位細節、不固定 API contract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版本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 (Draft for Architecture Freeze)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狀態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— 待 Research Director／Executive User 驗收後方可進入 Work-2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上游來源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CPO AI Project Charter Freeze V1.0（FROZEN，2026-09-05）；歷史參考：20260828 生態系卡位 AI 代理系統完整架構設計文件（非 Frozen，作為技術參考輸入）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下游文件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Work-2 Contract Freeze（Data／Event／API／CFL Contract）；Work-3 Implementation Blueprint + Acceptance Criteria；CLAUDE.md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變更原則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本文件不得靜默修改 Charter 之 Frozen Decision（CF-01～CF-46、GP-01～GP-21）。若技術限制迫使研究契約變更，須回到 Charter Change Control（Charter §31）。</w:t>
            </w:r>
          </w:p>
        </w:tc>
      </w:tr>
    </w:tbl>
    <w:p>
      <w:pPr>
        <w:pStyle w:val="Heading1"/>
        <w:spacing w:after="150" w:before="300"/>
      </w:pPr>
      <w:r>
        <w:t xml:space="preserve">1. 目的與範圍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本文件為 SOP「Claude 對話 → Claude Projects（深度研究）→ CLAUDE.md → Claude Code → Test → Projects 驗收」中第②階段之產出：Architecture Freeze／Technical Specification Baseline V1。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目的：把 Charter 所定義的「系統要解決什麼問題、研究結果如何成立、AI 可以做什麼與不能做什麼」，轉譯為「系統應如何設計」——完整模組架構、Agent 架構、事件流程、CFL 落地機制、安全治理與驗收規格。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範圍內：十層模組架構與模組編號、模組 I/O 與依賴、Core Research Object 對應之知識庫模組、CFL-01～08 技術落地點、Agent Autonomy L0～L4 對應、Point-in-Time／版本化機制之架構設計、CF/GP 逐項追溯表、Work-1 驗收標準。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範圍外（依 Charter §7 與 SOP 治理原則，留待 Work-2／Work-3）：資料庫欄位層級 schema、API contract 細節、事件契約完整欄位表、程式語言與框架選型之最終確認、Repository 結構、部署拓撲、Wake-up Window／Batch 參數等 Deferred Items（見第 9 節）。</w:t>
      </w:r>
    </w:p>
    <w:p>
      <w:pPr>
        <w:pStyle w:val="Heading1"/>
        <w:spacing w:after="150" w:before="300"/>
      </w:pPr>
      <w:r>
        <w:t xml:space="preserve">2. 與既有文件的關係與整合處理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本專案輸入包含三份文件：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《CPO AI Project Charter Freeze V1.0》（2026-09-05，FROZEN）——本規格之唯一權威來源（Single Source of Truth）。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《Claude AI 代理專案標準作業流程 SOP》（2026-09-07）——定義本文件在治理管線中的定位與應包含之十層架構樣板。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《Claude 生態系卡位 AI 代理系統完整架構設計文件》（2026-08-28）——Charter Freeze 之前產出的技術參考文件，內容詳實（43 個模組、X1-X43 規則引擎、Seco/CMI/事件窗口重估/γ迴歸），本文件大量借用其模組設計精神，但其狀態非 Frozen，且部分定義先於 Charter，故本文件對其進行下列處理：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重要協調聲明（Reconciliation Note）：0828 文件在附錄 A 中自行定義了一套 CFL-01～08 對照表（將來源文件中的排他／降級／門檻／防洩漏規則編號為 CFL），該定義內容與 Charter §17 正式凍結之 CFL-01～08（公司身分／CPO 分類／來源可信度／重大事件／生態系關係／競爭分析／矛盾資料／發布核准）並不相同。依 Charter §32 Work-1 Handoff Contract，Work-1 不得靜默修改 Frozen Decision，因此本文件明確以 Charter §17 之 CFL-01～08 為唯一有效版本；0828 文件之舊版 CFL 對照表視為歷史技術參考，予以停用並建議封存為 docs/legacy/CFL_MAPPING_LEGACY_0828.md，不再作為治理依據。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十層模組架構（Module Architecture）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依 SOP 建議之通用十層架構（D／P／K／M／A／W／R／G／U／I），對應 CPO AI 之研究契約與治理需求展開如下。各模組於本階段僅定義功能、輸入、輸出與依賴，不含資料庫欄位與程式碼。</w:t>
      </w:r>
    </w:p>
    <w:p>
      <w:pPr>
        <w:pStyle w:val="Heading2"/>
        <w:spacing w:after="120" w:before="240"/>
      </w:pPr>
      <w:r>
        <w:t xml:space="preserve">3.1 資料來源層 D01–D08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826"/>
        <w:gridCol w:w="2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3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 Source Tier / Charter 依據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交易所／主管機關官方揭露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TWSE、TPEx、MOPS 等法定公開資訊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S1；CF-07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公司／交易對手第一手來源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IR、財報、法說會、新聞稿、客戶供應商官方來源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S2；CF-07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技術／機構權威來源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國際 CPO／Silicon Photonics 標準與技術文件、學術產業機構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S3；CF-07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可信媒體來源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可信產業媒體、主流財經媒體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S4；CF-07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市場資料來源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股價成交、法人買賣、融資融券／借券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TDCC 股權分布來源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TDCC 千張大戶等低頻持股資料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CF-26；GP-08/09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Taxonomy／生態系參考庫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CPO Taxonomy 版本、Universe 分類參考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CF-02；Charter §10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授權付費來源（保留）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 不啟用，僅保留架構擴充點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§8；CF-09</w:t>
            </w:r>
          </w:p>
        </w:tc>
      </w:tr>
    </w:tbl>
    <w:p>
      <w:pPr>
        <w:pStyle w:val="Heading2"/>
        <w:spacing w:after="120" w:before="240"/>
      </w:pPr>
      <w:r>
        <w:t xml:space="preserve">3.2 擷取處理層 P01–P06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826"/>
        <w:gridCol w:w="1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3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 Charter 依據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Crawler／API 擷取器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自 D01–D06 擷取原始文件與市場資料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去重器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Hash-based 內容去重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§19；GP-16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快照／版本控制器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保存原始 URL、標題、Publisher、content hash、snapshot、parser version、source version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時間標準化與 Observed-Time 階層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occurred_at／published_at／retrieved_at／market_known_at／event_trading_date；缺失保持 NULL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CF-21、CF-21A；GP-07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來源可信度評分器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依 S1–S5 評級來源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交易日曆與事件日對齊器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Trading-session Alignment、Conservative Alignment Rule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CF-22</w:t>
            </w:r>
          </w:p>
        </w:tc>
      </w:tr>
    </w:tbl>
    <w:p>
      <w:pPr>
        <w:pStyle w:val="Heading2"/>
        <w:spacing w:after="120" w:before="240"/>
      </w:pPr>
      <w:r>
        <w:t xml:space="preserve">3.3 知識庫層 K01–K06（對應 Charter §9 Core Research Objects）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600"/>
        <w:gridCol w:w="26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 Core Research Object</w:t>
            </w:r>
          </w:p>
        </w:tc>
        <w:tc>
          <w:tcPr>
            <w:tcW w:type="dxa" w:w="2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關鍵治理規則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公司實體與 Universe 分類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CF-01、CF-03、CF-04；GP-01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技術與 Taxonomy（版本化）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CF-02；Charter §10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產品／模組／規格實體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關係圖譜（客戶／供應商／夥伴／競爭者）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Relationship（含 Person）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CF-06；GP-01/03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事件實體與修正鏈（Immutable + Revision）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CF-35、CF-36；GP-06/15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證據與引用存放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Evidence、Source、Citation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CF-10、CF-11；GP-02/03/17</w:t>
            </w:r>
          </w:p>
        </w:tc>
      </w:tr>
    </w:tbl>
    <w:p>
      <w:pPr>
        <w:pStyle w:val="Heading2"/>
        <w:spacing w:after="120" w:before="240"/>
      </w:pPr>
      <w:r>
        <w:t xml:space="preserve">3.4 計算／模型層 M01–M08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26"/>
        <w:gridCol w:w="2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3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 Charter 依據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Stage 分類器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E0–E6 供應鏈成熟度判定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CF-05；GP-05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 引擎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CF1–CF5 Evidence-based Confidence，0–1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CF-29、CF-30；GP-11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 引擎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S1–S6 六構面加權（15/15/20/20/20/10），Bitemporal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CF-12～CF-17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CMI 引擎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C1–C5 等權合成，禁 backward filling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CF-18、CF-19、CF-26；GP-08/09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Materiality 評分器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EV01–EV12 Event Taxonomy + Materiality 0–100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CF-27、CF-28；GP-12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事件窗口／AR-CAR 引擎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多窗口 [-N,+M]、Market-adjusted 與 Market Model 雙版本 Benchmark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CF-20、CF-23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Point-in-Time 市值計算器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× PIT Shares Outstanding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穩健性／時間品質檢核器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High/Medium/Low 樣本 CAR Robustness Check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§14.4</w:t>
            </w:r>
          </w:p>
        </w:tc>
      </w:tr>
    </w:tbl>
    <w:p>
      <w:pPr>
        <w:pStyle w:val="Heading2"/>
        <w:spacing w:after="120" w:before="240"/>
      </w:pPr>
      <w:r>
        <w:t xml:space="preserve">3.5 AI Agent 協作層 A01–A08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39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Autonomy Level</w:t>
            </w:r>
          </w:p>
        </w:tc>
        <w:tc>
          <w:tcPr>
            <w:tcW w:type="dxa" w:w="39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功能／權責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抽取代理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建立 Entity/Event/Evidence/Technology Candidate；Candidate ≠ Fact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實體判斷與分類代理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L1/L2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Universe／Taxonomy 分類建議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關係與矛盾分析代理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Relationship／Conflict 分析與 Recommendation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Seco／CMI／重大性分析代理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研究假設與 Recommendation；Recommendation ≠ Approval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比較分析代理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競爭分析 Draft（CFL-06 控管，正式結論需 Human Review）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審查代理（Critic）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偵測 CONTRADICT Evidence、資料洩漏風險，觸發 CFL-07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協調代理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L0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Fan-out／Fan-in 編排、排程、重試（Temporal 或等效引擎）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人工介接閘道代理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L3/L4 gate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將高風險決策路由至 Human Review／Approval 佇列</w:t>
            </w:r>
          </w:p>
        </w:tc>
      </w:tr>
    </w:tbl>
    <w:p>
      <w:pPr>
        <w:pStyle w:val="Heading2"/>
        <w:spacing w:after="120" w:before="240"/>
      </w:pPr>
      <w:r>
        <w:t xml:space="preserve">3.6 工作流程層 W01–W06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826"/>
        <w:gridCol w:w="1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3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 Charter 依據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排程與 Wake-up 觸發器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候選 Wake-up Window 掛勾點（實際時間 Deferred）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CF-34R；Charter §29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Priority Trigger 佇列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重大事件優先進入 Batch AI Parsing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Fan-out／Fan-in 編排器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選定 N 個對象平行處理後匯流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 步驟 12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每日研究管線工作流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Discover→Retrieve→Normalize→Extract→Verify→...→Publish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§26.3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重試／逾時／錯誤處理工作流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確保管線可重試、可追蹤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§22 Auditability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 AI Parsing 工作流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First 閘門，僅核准後才呼叫 LLM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§19；GP-16</w:t>
            </w:r>
          </w:p>
        </w:tc>
      </w:tr>
    </w:tbl>
    <w:p>
      <w:pPr>
        <w:pStyle w:val="Heading2"/>
        <w:spacing w:after="120" w:before="240"/>
      </w:pPr>
      <w:r>
        <w:t xml:space="preserve">3.7 報告／輸出層 R01–R06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1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發布層級</w:t>
            </w:r>
          </w:p>
        </w:tc>
        <w:tc>
          <w:tcPr>
            <w:tcW w:type="dxa" w:w="31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每日來源摘要／Watchlist 異動報告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Auto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公司／事件研究報告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依 Materiality 分流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版本化 ResearchReport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Seco／CMI 儀表板資料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Auto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供 U01 消費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事件研究／CAR 報告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 Review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CF-20、CF-23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比較與競爭分析報告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 Review（CFL-06）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Draft→Human Review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正式外部發布包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Approval（CFL-08）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§18</w:t>
            </w:r>
          </w:p>
        </w:tc>
      </w:tr>
    </w:tbl>
    <w:p>
      <w:pPr>
        <w:pStyle w:val="Heading2"/>
        <w:spacing w:after="120" w:before="240"/>
      </w:pPr>
      <w:r>
        <w:t xml:space="preserve">3.8 治理層 G01–G08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126"/>
        <w:gridCol w:w="1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41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 Charter 依據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 規則引擎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CFL-01～08 狀態機：PENDING→AUTO-PASS/REVIEW-REQUIRED→APPROVED/REJECTED/BLOCKED→SUPERSEDED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§17；CF-31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自治權控制器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L0–L4 執行與四權分離（Evidence/Analysis/Approval/Publication）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CF-37～CF-46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稽核日誌與決策鏈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保存 Agent、Rule、Input、Evidence、Confidence、Model Version、Decision、Timestamp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CF-45；Charter §22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版本註冊中心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Taxonomy／Seco／CMI／Benchmark／Materiality／Confidence Model Version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GP-10；CF-13/19/23/30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與角色管理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對應 Charter §5 六類使用者角色之權限邊界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§5；GP-20/21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發布狀態機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Auto／Material Review／External Approval 三層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CF-33；Charter §18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Control 紀錄器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§31 變更請求、版本升級（V1.1/V2.0）紀錄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§31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非功能合規監控器</w:t>
            </w:r>
          </w:p>
        </w:tc>
        <w:tc>
          <w:tcPr>
            <w:tcW w:type="dxa" w:w="4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Traceability／Reproducibility／PIT Integrity／Cost Governance 檢查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§22</w:t>
            </w:r>
          </w:p>
        </w:tc>
      </w:tr>
    </w:tbl>
    <w:p>
      <w:pPr>
        <w:pStyle w:val="Heading2"/>
        <w:spacing w:after="120" w:before="240"/>
      </w:pPr>
      <w:r>
        <w:t xml:space="preserve">3.9 UI／API 層 U01–U05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53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U01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研究儀表板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公司／生態系／Seco／CMI 總覽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U02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搜尋與探索介面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跨 Company/Event/Evidence 搜尋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U03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公司／事件詳情頁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含 Evidence、Citation、Revision 歷史呈現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U04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人工審查／Admin 主控台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 Queue、Human Review、Approval 操作介面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U05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報告匯出與 API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R01–R06 之匯出格式與存取介面</w:t>
            </w:r>
          </w:p>
        </w:tc>
      </w:tr>
    </w:tbl>
    <w:p>
      <w:pPr>
        <w:pStyle w:val="Heading2"/>
        <w:spacing w:after="120" w:before="240"/>
      </w:pPr>
      <w:r>
        <w:t xml:space="preserve">3.10 基礎設施層 I01–I06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626"/>
        <w:gridCol w:w="2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模組名稱</w:t>
            </w:r>
          </w:p>
        </w:tc>
        <w:tc>
          <w:tcPr>
            <w:tcW w:type="dxa" w:w="3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關聯式資料庫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核心實體與事件溯源儲存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欄位設計留待 Work-2 DATA_MODEL.md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物件／快照儲存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原始來源快照、content hash 存放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快取層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高頻讀取（Dashboard／Seco/CMI）加速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工作流程引擎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支援 Fan-out/Fan-in、重試、逾時管理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候選：Temporal 或等效引擎，技術選型待 Work-3 確認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向量／語意儲存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實體去重、語意相似度比對（供 P02、K04 使用）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技術選型待 Work-3 確認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I06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容器化部署與 CI/CD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分批施工、測試自動化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 步驟 9–11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CFL 技術落地點（依 Charter §17，唯一有效版本）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下表說明 Charter §17 之 CFL-01～08 各自由哪些模組產生候選、由哪個模組執行 AUTO-PASS／REVIEW-REQUIRED 判斷，以及最終審查介面。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600"/>
        <w:gridCol w:w="2200"/>
        <w:gridCol w:w="2926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CFL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治理對象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候選產生模組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判斷／審查模組</w:t>
            </w:r>
          </w:p>
        </w:tc>
        <w:tc>
          <w:tcPr>
            <w:tcW w:type="dxa" w:w="29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V1 原則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公司身分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 + G05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高 Confidence、可驗證者 Auto-pass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CPO 分類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 → U04（首次升 Core 需人工）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Watchlist/Adjacent AI 建議；首次升 Core 需 Human Review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來源可信度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已知官方來源 Auto-pass；新／未知來源需 Review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重大事件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 → U04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一般事件 AI 分類；高 Materiality 需 Human Review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生態系關係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A03/K04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 → U04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Candidate 可保存；重大具名 Confirmed 首次需 Human Review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競爭分析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 → U04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可 Draft；正式重大結論需 Human Review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矛盾資料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A06/K06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G01（不得 Auto-pass）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重大 CONTRADICT Evidence 不得 Auto-pass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CFL-08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發布核准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R06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G06 → U04</w:t>
            </w:r>
          </w:p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正式外部重大研究結論 Human Approval Required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CFL 狀態生命週期 PENDING → AUTO-PASS/REVIEW-REQUIRED → APPROVED/REJECTED/BLOCKED → SUPERSEDED 由 G01 統一實作為狀態機，所有模組僅能經由 G01 提交候選與查詢狀態，不得繞過。</w:t>
      </w:r>
    </w:p>
    <w:p>
      <w:pPr>
        <w:pStyle w:val="Heading1"/>
        <w:spacing w:after="150" w:before="300"/>
      </w:pPr>
      <w:r>
        <w:t xml:space="preserve">5. Agent Autonomy L0–L4 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600"/>
        <w:gridCol w:w="33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對應模組</w:t>
            </w:r>
          </w:p>
        </w:tc>
        <w:tc>
          <w:tcPr>
            <w:tcW w:type="dxa" w:w="33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四權分離落實方式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Automation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P01–P06、M06、M07、A07、W 全層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純確定性計算，不涉及 Evidence／Analysis 判斷權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Extraction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A01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僅能寫入 Candidate（K05/K06 標記 state=DRAFT/CANDIDATE），無 Approval 權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Analysis &amp; Recommendation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A03、A04、A05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僅能產出 Recommendation，不具 Approval／Publication 權（G05 RBAC 強制）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Conditional Autonomous Decision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G02（規則明確＋Confidence足夠＋無重大衝突＋非高風險狀態轉換＋通過 CFL）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由 G02 依規則自動決策，仍受 G03 稽核與 G01 CFL 閘門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 Human Authority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A08 → U04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高風險分類／關係／衝突／模型升版／重大結論／外部發布，僅人工可核准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G02 強制實作 Evidence／Analysis／Approval／Publication 四權分離（GP-21）：任一 Agent（A01–A08）之角色權限（由 G05 RBAC 定義）僅能落在其中一項功能類別，禁止單一 Agent 帳號同時具備 Evidence 寫入與 Approval／Publication 權限。</w:t>
      </w:r>
    </w:p>
    <w:p>
      <w:pPr>
        <w:pStyle w:val="Heading1"/>
        <w:spacing w:after="150" w:before="300"/>
      </w:pPr>
      <w:r>
        <w:t xml:space="preserve">6. Point-in-Time 與版本化機制（架構層級）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本節僅說明機制設計原則，實際欄位與資料型別由 Work-2 DATA_MODEL.md／EVENT_CONTRACT.md 定義。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Observed-Time 階層（P04）：occurred_at（Optional）／published_at（Preferred）／retrieved_at（Required）／market_known_at（Optional/Evidence-only）／event_trading_date（Event Study Required），缺失一律 NULL，不得虛假精度填補。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Bitemporal 設計（M03 Seco、M04 CMI、K05 Event）：區分 Effective Time 與 Knowledge Time；Correction 與 New Evidence 分離寫入，不回填歷史。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Revision Chain（K05）：Immutable Event + 版本鏈，狀態 ACTIVE／CORRECTED／SUPERSEDED／WITHDRAWN／DISPUTED，撤回不等於歷史未曾存在（可分別研究 Announcement Effect 與 Correction Effect）。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Version 隨結果攜帶（G04）：Seco/CMI/Materiality/Confidence/Benchmark 任一權重或公式變更，一律建立新 Model Version，不得覆寫既有版本結果。</w:t>
      </w:r>
    </w:p>
    <w:p>
      <w:pPr>
        <w:pStyle w:val="Heading1"/>
        <w:spacing w:after="150" w:before="300"/>
      </w:pPr>
      <w:r>
        <w:t xml:space="preserve">7. 非功能需求技術對應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Charter 非功能需求</w:t>
            </w:r>
          </w:p>
        </w:tc>
        <w:tc>
          <w:tcPr>
            <w:tcW w:type="dxa" w:w="5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技術落地模組／機制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K06 Evidence/Citation 與 G03 Audit Log 聯合查詢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G04 Model Version + P03 Input Version + 計算時間戳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Point-in-Time Integrity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P04、P06、M04（No Future Data）、G08 監控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G03 全鏈路稽核（來源、解析、決策、修正、發布）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Versionability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G04（Taxonomy／Evidence Rule／Seco／CMI／Benchmark／CFL／Report 版本化）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Governance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W06（Deterministic First 閘門）＋ G08（Token Budget 監控掛勾點，具體額度 Deferred）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Governance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G02＋A08＋U04（高風險狀態轉換與正式外部發布保留人工權）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Extensibility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K02（Taxonomy 版本化擴充）、G04（新模型版本註冊）不破壞既有可重現性</w:t>
            </w:r>
          </w:p>
        </w:tc>
      </w:tr>
    </w:tbl>
    <w:p>
      <w:pPr>
        <w:pStyle w:val="Heading1"/>
        <w:spacing w:after="150" w:before="300"/>
      </w:pPr>
      <w:r>
        <w:t xml:space="preserve">8. Deferred Items（延續 Charter §29，本階段不決策）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下列項目依 Charter 明示為刻意延後決策，Work-1 僅提供掛勾點（W01/W02/G08），不得將候選值誤設為 Frozen 參數：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LLM Wake-up Window（23:00、06:00 僅為候選）→ 掛勾於 W01，具體時間留待 Operations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Snapshot 產生時間、Batch Size／Queue Policy、Priority Wake-up Threshold → 掛勾於 W01/W02，參數留待 Operations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Budget／Daily Ceiling／Cost Alert → 掛勾於 G08，額度留待 Operations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資料集實際完整歷史起點 → 掛勾於 P03/G04，留待 Data Availability Audit／Work-2 Technical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Confidence／Materiality 精確權重與校準方式 → 掛勾於 M02/M05 + G04，留待 Phase 2 Model Calibration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Seco／CMI 統計校準後新權重 → 掛勾於 M03/M04 + G04，需建立新 Model Version，留待 Phase 2</w:t>
      </w:r>
    </w:p>
    <w:p>
      <w:pPr>
        <w:pStyle w:val="Heading1"/>
        <w:spacing w:after="150" w:before="300"/>
      </w:pPr>
      <w:r>
        <w:t xml:space="preserve">9. Work-1 提出之技術問題／風險／備選方案（不構成 Frozen Decision 變更）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26"/>
        <w:gridCol w:w="28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議題</w:t>
            </w:r>
          </w:p>
        </w:tc>
        <w:tc>
          <w:tcPr>
            <w:tcW w:type="dxa" w:w="32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建議處理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TQ-01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0828 舊版 CFL 對照表與 Charter §17 衝突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兩份文件皆用 CFL-01～08 編號但定義不同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採 Charter §17 為唯一有效版本；0828 版本封存為歷史參考文件，見第 2 節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TQ-02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工作流程引擎與向量儲存之技術選型（I04/I05）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0828 文件建議 Temporal 與語意相似度模型，屬技術參考而非 Frozen Decision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留待 Work-3 Implementation Blueprint 依團隊技術能力與成本正式選型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TQ-03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Kappa 一致性稽核器（雙人編碼一致性檢核）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0828 文件提出但未出現於 Charter 任何 CF/GP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建議保留為選配 QA 模組（不編入十層必要架構），待 Research Director 決定是否納入 V1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TQ-04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γ 共振交互作用迴歸與穩健性檢定（回測、統計檢定）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屬 Charter §26.2 Phase 2 範圍，非 MVP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M-層預留 M06/M08 之下游擴充點，正式實作延後至 Phase 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TQ-05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授權付費資料來源（D08）之法遵與合約條件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Charter 僅保留架構，未定義啟用條件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建議 Work-2/Work-3 前由法務／採購確認後再啟用，V1 維持停用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追溯矩陣一：CF-01～CF-46 → 模組對應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02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Freeze ID</w:t>
            </w:r>
          </w:p>
        </w:tc>
        <w:tc>
          <w:tcPr>
            <w:tcW w:type="dxa" w:w="5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決策摘要</w:t>
            </w:r>
          </w:p>
        </w:tc>
        <w:tc>
          <w:tcPr>
            <w:tcW w:type="dxa" w:w="3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對應模組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Universe = Core/Adjacent/Watchlist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K01、A02、G01(CFL-02)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CPO/Optical I/O/ELSFP/Pluggable Optics 獨立 taxonomy identity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K02、D07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台灣 Universe = 上市+上櫃+興櫃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海外公司建 Entity/Relationship，V1 不納入台股 Universe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K01、K04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Supply-chain Evidence Maturity = E0–E6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允許匿名關係；Candidate ≠ Confirmed Relationship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K04、G01(CFL-05)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Credibility = S1–S5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P05、D01–D04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來源保存可稽核版本與 hash/snapshot metadata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P03、I02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CF-09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 Public/Official First；保留 licensed source 架構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D01–D04、D08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來源衝突依 Authority+Directness+Time+Specificity+Independence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K06、A06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支援 SUPPORT/CONTRADICT/NEUTRAL-CONTEXT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 V1 六構面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 V1 權重 15/15/20/20/20/10，Expert Prior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M03、G04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 scale = 0–100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 必須伴隨 Confidence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M03、M02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 採 Point-in-Time / Bitemporal Versioning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M03、G04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Correction 與 New Evidence 分離，歷史版本保留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CMI V1 = C1–C5 五構面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CF-19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CMI V1 等權 Expert Prior；Phase 2 統計校準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M04、G04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Window 採多窗口 + configurable [-N,+M]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Observed-Time + Event Trading Date Hierarchy；缺失時間不得猜測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CF-21A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Study 保存 time_basis/time_precision/time_confidence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P04、K05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Trading-session Alignment + Conservative Alignment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AR/CAR 採版本化 Benchmark，至少 Market-adjusted+Market Model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M06、G04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Cap 使用 Point-in-Time Shares Outstanding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歷史起點採 Dataset-specific Earliest Reliable Date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P03、G04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TDCC/低頻資料依 availability time 進入 CMI，禁 backward filling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P04、M04、D06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採 EV01–EV12 Taxonomy + Materiality Score 0–100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≠ Material Event；CFL-04 控制升級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M05、G01(CFL-04)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CF-29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 = CF1–CF5 Evidence-based，0–1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 V1 Rule-based/Expert Prior；Phase 2 calibration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M02、G04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CFL = AUTO-PASS/REVIEW-REQUIRED/BLOCKED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Hybrid Human-AI Governance，高風險狀態需人工介入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G01、G02、A08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Publication = Internal Auto/Material Review/External Approval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CF-34R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Hybrid Monitoring + Batch AI Parsing；具體參數 Deferred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W01、W02、W06、G08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= Immutable + Revision Chain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 status = ACTIVE/CORRECTED/SUPERSEDED/WITHDRAWN/DISPUTED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CF-37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 採 L0–L4 Risk-based Agent Autonomy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L0 Deterministic Automation 可 Full Automation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A07、P層、W層、M06/M07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CF-39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 AI Extraction 可建立 Candidate；Candidate ≠ Fact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 AI Analysis 可 Recommendation；Recommendation ≠ Approval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A03、A04、A05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 僅低風險、規則明確、Confidence 足夠時 Conditional Autonomous Decision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L4 = Reserved Human Authority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A08、G02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CF-43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升級、重大具名關係、Conflict、高 Materiality、Model Promotion、重大外部發布需 Human Approval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G01、U04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CF-44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不得自行修改 Governance/Production Model/Autonomy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G02、G04、G05、G07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CF-45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L1–L3 AI 行為必須保留完整 Audit Trail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CF-46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Evidence/Analysis/Approval/Publication 四權分離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G02、G05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11. 追溯矩陣二：GP-01～GP-21 → 治理機制對應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"/>
        <w:gridCol w:w="4550"/>
        <w:gridCol w:w="3586"/>
      </w:tblGrid>
      <w:tr>
        <w:trPr>
          <w:tblHeader/>
        </w:trPr>
        <w:tc>
          <w:tcPr>
            <w:tcW w:type="dxa" w:w="89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GP</w:t>
            </w:r>
          </w:p>
        </w:tc>
        <w:tc>
          <w:tcPr>
            <w:tcW w:type="dxa" w:w="4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治理原則</w:t>
            </w:r>
          </w:p>
        </w:tc>
        <w:tc>
          <w:tcPr>
            <w:tcW w:type="dxa" w:w="358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對應機制／模組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GP-01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CPO Label ≠ CPO Evidence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A02、K02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GP-02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Absence of Evidence ≠ Evidence of Absence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A01、M01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GP-03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Inference ≠ Evidence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K06、A01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GP-04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 ≠ Investment Recommendation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R系列、U01（免責標示）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GP-05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Stage ≠ Seco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M01 與 M03 分離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GP-06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 Knowledge Must Not Rewrite Historical Knowledge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K05、P04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GP-07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 Time Must Remain Unknown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GP-08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Future Data in CMI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M04、P04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GP-09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Effective Period ≠ Availability Time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P04、M04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GP-10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Version Must Travel With Result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G04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GP-11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 Confidence ≠ Research Confidence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M02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GP-12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Materiality ≠ Truth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M05 與 M02 分離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GP-13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May Recommend; Governance Decides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GP-14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Publication Is a Separate State Transition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G06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GP-15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Is Immutable; Interpretation Is Versioned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K05、G04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GP-16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First, AI When Needed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W06、G08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GP-17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Candidate ≠ Fact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A01、K06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GP-18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 ≠ Approval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A03/A04/A05 與 G01 分離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GP-19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Autonomy Decreases as Risk Increases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GP-20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 Cannot Govern Themselves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G02、G04、G05、G07</w:t>
            </w:r>
          </w:p>
        </w:tc>
      </w:tr>
      <w:tr>
        <w:tc>
          <w:tcPr>
            <w:tcW w:type="dxa" w:w="8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GP-21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Evidence/Analysis/Approval/Publication Must Be Separable</w:t>
            </w:r>
          </w:p>
        </w:tc>
        <w:tc>
          <w:tcPr>
            <w:tcW w:type="dxa" w:w="35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G02、G05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12. Work-1 驗收標準（Acceptance Criteria）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CF-01～CF-46 每一項均有對應模組編號，無遺漏（見第 10 節）。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GP-01～GP-21 每一項均有對應治理機制或模組（見第 11 節）。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Charter §29 Deferred Items 均以「掛勾點」形式呈現，未被誤設為 Frozen 參數（見第 8 節）。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CFL-01～08 之技術落地與 Charter §17 定義完全一致；0828 舊版 CFL 對照表之取代關係已明確記載（見第 2、4 節）。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Autonomy L0–L4 與 Evidence/Analysis/Approval/Publication 四權分離已對應到具體模組與 RBAC 設計（見第 5 節）。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本文件未產出程式碼、資料庫欄位層級 schema 或 API contract 細節（留待 Work-2/Work-3）。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已列出 Work-1 自身發現之技術問題／風險／備選方案，且未以此靜默變更任何 Frozen Decision（見第 9 節）。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經 Research Director／Executive User 依本標準審閱通過後，方可進入 Work-2 Contract Freeze。</w:t>
      </w:r>
    </w:p>
    <w:p>
      <w:pPr>
        <w:pStyle w:val="Heading1"/>
        <w:spacing w:after="150" w:before="300"/>
      </w:pPr>
      <w:r>
        <w:t xml:space="preserve">13. Work-2 Handoff Contract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Work-2 Contract Freeze 之任務是把本 Work-1 模組架構固定為跨模組不可任意變更的「契約」，至少須完成：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EVENT_CONTRACT.md：固定共用事件欄位（如 event_id/project_id/entity_id/source_id/occurred_at/published_at/retrieved_at/status/version/correlation_id/causation_id/confidence/evidence_ids/cfl_status/created_at）與狀態機（DISCOVERED→FETCHED→NORMALIZED→EXTRACTED→VERIFIED→ANALYZED→APPROVED→PUBLISHED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DATA_MODEL.md：K01–K06 各 Core Research Object 之資料庫 Schema。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CFL_CONTRACT.md：本文件第 4 節 CFL-01～08 落地點之欄位級規格與狀態機實作細節。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API_SPEC.yaml：U01–U05 與 R01–R06 對外介面之 OpenAPI 規格。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AGENT_SPEC.md：A01–A08 角色、RBAC 權限與 G05 對應細節。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Work-2 完成前，不建議 Claude Code 大量撰寫 business code（SOP 步驟 6）。</w:t>
      </w:r>
    </w:p>
    <w:p>
      <w:pPr>
        <w:spacing w:before="400"/>
      </w:pPr>
      <w:r>
        <w:rPr>
          <w:b/>
          <w:bCs/>
        </w:rPr>
        <w:t xml:space="preserve">本文件為 Work-1 草稿，待驗收通過後方可進入 Work-2 Contract Freeze。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CPO AI Work-1 Technical Specification Baseline V1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2026-09-10T12:38:30.790Z</dcterms:created>
  <dcterms:modified xsi:type="dcterms:W3CDTF">2026-09-10T12:38:30.801Z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