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60"/>
        </w:rPr>
        <w:t>CPO AI</w:t>
      </w:r>
    </w:p>
    <w:p>
      <w:pPr>
        <w:jc w:val="center"/>
      </w:pPr>
      <w:r>
        <w:rPr>
          <w:b/>
          <w:i w:val="0"/>
          <w:sz w:val="36"/>
        </w:rPr>
        <w:t>台灣 CPO／矽光子產業情報、公司事件、生態系卡位</w:t>
        <w:br/>
        <w:t>與市值重估 AI Agent System</w:t>
      </w:r>
    </w:p>
    <w:p>
      <w:pPr>
        <w:jc w:val="center"/>
      </w:pPr>
      <w:r>
        <w:rPr>
          <w:b w:val="0"/>
          <w:i w:val="0"/>
        </w:rPr>
      </w:r>
    </w:p>
    <w:p>
      <w:pPr>
        <w:jc w:val="center"/>
      </w:pPr>
      <w:r>
        <w:rPr>
          <w:b/>
          <w:i w:val="0"/>
          <w:sz w:val="40"/>
        </w:rPr>
        <w:t>PROJECT CHARTER FREEZE V1.0</w:t>
      </w:r>
    </w:p>
    <w:p>
      <w:pPr>
        <w:jc w:val="center"/>
      </w:pPr>
      <w:r>
        <w:rPr>
          <w:b w:val="0"/>
          <w:i w:val="0"/>
        </w:rPr>
        <w:t>專案需求與研究治理正式凍結基準</w:t>
      </w:r>
    </w:p>
    <w:p>
      <w:pPr>
        <w:jc w:val="center"/>
      </w:pPr>
      <w:r>
        <w:rPr>
          <w:b w:val="0"/>
          <w:i w:val="0"/>
        </w:rPr>
        <w:br/>
        <w:t>Status: FROZEN</w:t>
        <w:br/>
        <w:t>Date: 2026-09-05</w:t>
        <w:br/>
        <w:t>Next Gate: Work-1 — Technical Specification Baseline V1</w:t>
      </w:r>
    </w:p>
    <w:p>
      <w:r>
        <w:br w:type="page"/>
      </w:r>
    </w:p>
    <w:p>
      <w:pPr>
        <w:pStyle w:val="Heading1"/>
      </w:pPr>
      <w:r>
        <w:t>0. 文件控制與 Freeze 聲明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  <w:vAlign w:val="center"/>
          </w:tcPr>
          <w:p>
            <w:r>
              <w:t>項目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t>內容</w:t>
            </w:r>
          </w:p>
        </w:tc>
      </w:tr>
      <w:tr>
        <w:tc>
          <w:tcPr>
            <w:tcW w:type="dxa" w:w="5040"/>
            <w:vAlign w:val="top"/>
          </w:tcPr>
          <w:p>
            <w:r>
              <w:t>文件名稱</w:t>
            </w:r>
          </w:p>
        </w:tc>
        <w:tc>
          <w:tcPr>
            <w:tcW w:type="dxa" w:w="5040"/>
            <w:vAlign w:val="top"/>
          </w:tcPr>
          <w:p>
            <w:r>
              <w:t>CPO AI Project Charter Freeze V1.0</w:t>
            </w:r>
          </w:p>
        </w:tc>
      </w:tr>
      <w:tr>
        <w:tc>
          <w:tcPr>
            <w:tcW w:type="dxa" w:w="5040"/>
            <w:vAlign w:val="top"/>
          </w:tcPr>
          <w:p>
            <w:r>
              <w:t>文件性質</w:t>
            </w:r>
          </w:p>
        </w:tc>
        <w:tc>
          <w:tcPr>
            <w:tcW w:type="dxa" w:w="5040"/>
            <w:vAlign w:val="top"/>
          </w:tcPr>
          <w:p>
            <w:r>
              <w:t>專案商業需求、研究契約、資料治理與 AI 自治權之正式凍結基準</w:t>
            </w:r>
          </w:p>
        </w:tc>
      </w:tr>
      <w:tr>
        <w:tc>
          <w:tcPr>
            <w:tcW w:type="dxa" w:w="5040"/>
            <w:vAlign w:val="top"/>
          </w:tcPr>
          <w:p>
            <w:r>
              <w:t>版本</w:t>
            </w:r>
          </w:p>
        </w:tc>
        <w:tc>
          <w:tcPr>
            <w:tcW w:type="dxa" w:w="5040"/>
            <w:vAlign w:val="top"/>
          </w:tcPr>
          <w:p>
            <w:r>
              <w:t>V1.0</w:t>
            </w:r>
          </w:p>
        </w:tc>
      </w:tr>
      <w:tr>
        <w:tc>
          <w:tcPr>
            <w:tcW w:type="dxa" w:w="5040"/>
            <w:vAlign w:val="top"/>
          </w:tcPr>
          <w:p>
            <w:r>
              <w:t>狀態</w:t>
            </w:r>
          </w:p>
        </w:tc>
        <w:tc>
          <w:tcPr>
            <w:tcW w:type="dxa" w:w="5040"/>
            <w:vAlign w:val="top"/>
          </w:tcPr>
          <w:p>
            <w:r>
              <w:t>FROZEN</w:t>
            </w:r>
          </w:p>
        </w:tc>
      </w:tr>
      <w:tr>
        <w:tc>
          <w:tcPr>
            <w:tcW w:type="dxa" w:w="5040"/>
            <w:vAlign w:val="top"/>
          </w:tcPr>
          <w:p>
            <w:r>
              <w:t>上游來源</w:t>
            </w:r>
          </w:p>
        </w:tc>
        <w:tc>
          <w:tcPr>
            <w:tcW w:type="dxa" w:w="5040"/>
            <w:vAlign w:val="top"/>
          </w:tcPr>
          <w:p>
            <w:r>
              <w:t>Chat 階段完成之 Project Charter 與 OQ-01～OQ-30 決策</w:t>
            </w:r>
          </w:p>
        </w:tc>
      </w:tr>
      <w:tr>
        <w:tc>
          <w:tcPr>
            <w:tcW w:type="dxa" w:w="5040"/>
            <w:vAlign w:val="top"/>
          </w:tcPr>
          <w:p>
            <w:r>
              <w:t>下游文件</w:t>
            </w:r>
          </w:p>
        </w:tc>
        <w:tc>
          <w:tcPr>
            <w:tcW w:type="dxa" w:w="5040"/>
            <w:vAlign w:val="top"/>
          </w:tcPr>
          <w:p>
            <w:r>
              <w:t>Work-1 Technical Specification Baseline V1；Work-2 Contract Freeze；Work-3 Implementation Blueprint + Acceptance Criteria</w:t>
            </w:r>
          </w:p>
        </w:tc>
      </w:tr>
      <w:tr>
        <w:tc>
          <w:tcPr>
            <w:tcW w:type="dxa" w:w="5040"/>
            <w:vAlign w:val="top"/>
          </w:tcPr>
          <w:p>
            <w:r>
              <w:t>變更原則</w:t>
            </w:r>
          </w:p>
        </w:tc>
        <w:tc>
          <w:tcPr>
            <w:tcW w:type="dxa" w:w="5040"/>
            <w:vAlign w:val="top"/>
          </w:tcPr>
          <w:p>
            <w:r>
              <w:t>Work 與 Codex 不得自行修改 Frozen Decision。任何重大研究邏輯變更必須依 Change Control 產生新 Charter 版本。</w:t>
            </w:r>
          </w:p>
        </w:tc>
      </w:tr>
    </w:tbl>
    <w:p>
      <w:r>
        <w:rPr>
          <w:b w:val="0"/>
          <w:i w:val="0"/>
        </w:rPr>
        <w:t>本文件是 CPO AI 後續工程化的 Single Source of Truth。它規範「系統要解決什麼問題、研究結果如何成立、AI 可以做什麼與不能做什麼」；不在本階段指定資料庫表格、API、程式語言實作、Repository 結構或部署細節。</w:t>
      </w:r>
    </w:p>
    <w:p>
      <w:pPr>
        <w:pStyle w:val="Heading1"/>
      </w:pPr>
      <w:r>
        <w:t>1. Executive Summary</w:t>
      </w:r>
    </w:p>
    <w:p>
      <w:r>
        <w:rPr>
          <w:b w:val="0"/>
          <w:i w:val="0"/>
        </w:rPr>
        <w:t>CPO AI 的目標不是建立一般新聞搜尋器，而是建立一套可追溯、可重現、Point-in-Time、Evidence-first 的 CPO／Silicon Photonics 研究系統，形成「技術情報 → 公司 → 產品 → 客戶／供應商 → 事件 → 生態系位置 → 籌碼／資本市場動能 → 市場重新定價」的研究鏈。</w:t>
      </w:r>
    </w:p>
    <w:p>
      <w:r>
        <w:rPr>
          <w:b w:val="0"/>
          <w:i w:val="0"/>
        </w:rPr>
        <w:t>核心研究契約：Source → Evidence → Claim → Analysis → Conclusion → Report。沒有 Evidence，不得把 AI 推論升級為 Fact；沒有 Point-in-Time，不得進入事件研究；沒有 Version，不得宣稱研究可重現；沒有 CFL，不得發布重大結論。</w:t>
      </w:r>
    </w:p>
    <w:p>
      <w:r>
        <w:rPr>
          <w:b w:val="0"/>
          <w:i w:val="0"/>
        </w:rPr>
        <w:t>Phase 3 不追求無限制全自動，而採 L0～L4 Risk-based Agent Autonomy：低風險、確定性與高重複工作高度自動化；高 Materiality、高衝突、高不確定性及外部發布保留 Human Authority。</w:t>
      </w:r>
    </w:p>
    <w:p>
      <w:pPr>
        <w:pStyle w:val="Heading1"/>
      </w:pPr>
      <w:r>
        <w:t>2. Purpose</w:t>
      </w:r>
    </w:p>
    <w:p>
      <w:r>
        <w:rPr>
          <w:b w:val="0"/>
          <w:i w:val="0"/>
        </w:rPr>
        <w:t>建立台灣 CPO／矽光子產業的長期 AI 研究基礎設施，使公司分類、供應鏈關係、重大事件、Seco、CMI、事件窗口與研究報告均可追溯至來源與 Evidence，並能在每日更新下維持時間一致性、版本一致性與治理一致性。</w:t>
      </w:r>
    </w:p>
    <w:p>
      <w:pPr>
        <w:pStyle w:val="Heading1"/>
      </w:pPr>
      <w:r>
        <w:t>3. Business Objectives</w:t>
      </w:r>
    </w:p>
    <w:p>
      <w:pPr>
        <w:pStyle w:val="ListBullet"/>
      </w:pPr>
      <w:r>
        <w:t>建立 CPO、Silicon Photonics、Optical I/O、ELSFP、FAU、PIC、EIC、Fiber Array、MPO、PMF、CoWoS、SoIC、COUPE 等技術與產業知識庫。</w:t>
      </w:r>
    </w:p>
    <w:p>
      <w:pPr>
        <w:pStyle w:val="ListBullet"/>
      </w:pPr>
      <w:r>
        <w:t>建立台灣上市、上櫃與興櫃 CPO 相關公司 Universe，並區分 Core／Adjacent／Watchlist。</w:t>
      </w:r>
    </w:p>
    <w:p>
      <w:pPr>
        <w:pStyle w:val="ListBullet"/>
      </w:pPr>
      <w:r>
        <w:t>分析公司在 CPO 生態系中的技術、產品、客戶、供應商、合作夥伴與競爭者角色。</w:t>
      </w:r>
    </w:p>
    <w:p>
      <w:pPr>
        <w:pStyle w:val="ListBullet"/>
      </w:pPr>
      <w:r>
        <w:t>持續發現、驗證與版本化重大公司事件。</w:t>
      </w:r>
    </w:p>
    <w:p>
      <w:pPr>
        <w:pStyle w:val="ListBullet"/>
      </w:pPr>
      <w:r>
        <w:t>建立 Company–Technology–Product–Customer–Supplier–Event 關係。</w:t>
      </w:r>
    </w:p>
    <w:p>
      <w:pPr>
        <w:pStyle w:val="ListBullet"/>
      </w:pPr>
      <w:r>
        <w:t>判斷公司是否真正進入 CPO 供應鏈，避免以概念股或關鍵字取代 Evidence。</w:t>
      </w:r>
    </w:p>
    <w:p>
      <w:pPr>
        <w:pStyle w:val="ListBullet"/>
      </w:pPr>
      <w:r>
        <w:t>建立 Seco（Ecosystem Positioning Score）。</w:t>
      </w:r>
    </w:p>
    <w:p>
      <w:pPr>
        <w:pStyle w:val="ListBullet"/>
      </w:pPr>
      <w:r>
        <w:t>建立 CMI（Chip / Capital Market Momentum Indicator）。</w:t>
      </w:r>
    </w:p>
    <w:p>
      <w:pPr>
        <w:pStyle w:val="ListBullet"/>
      </w:pPr>
      <w:r>
        <w:t>建立以事件日 t 為中心之 t−N 到 t+M 日／週均價、市值、AR、CAR 與市場重新定價研究。</w:t>
      </w:r>
    </w:p>
    <w:p>
      <w:pPr>
        <w:pStyle w:val="ListBullet"/>
      </w:pPr>
      <w:r>
        <w:t>所有重大研究結論保留 Source、Evidence、Citation、Confidence、Version 與 Audit Trail。</w:t>
      </w:r>
    </w:p>
    <w:p>
      <w:pPr>
        <w:pStyle w:val="ListBullet"/>
      </w:pPr>
      <w:r>
        <w:t>形成可每日更新、可人工核准、可逐步自治的研究與報告流程。</w:t>
      </w:r>
    </w:p>
    <w:p>
      <w:pPr>
        <w:pStyle w:val="Heading1"/>
      </w:pPr>
      <w:r>
        <w:t>4. Research Questions</w:t>
      </w:r>
    </w:p>
    <w:p>
      <w:pPr>
        <w:pStyle w:val="ListBullet"/>
      </w:pPr>
      <w:r>
        <w:t>哪些台灣公司真正屬於 CPO Core、Adjacent 或 Watchlist？其分類 Evidence 為何？</w:t>
      </w:r>
    </w:p>
    <w:p>
      <w:pPr>
        <w:pStyle w:val="ListBullet"/>
      </w:pPr>
      <w:r>
        <w:t>公司位於 CPO 生態系哪一層？其技術、產品與商業化成熟度如何？</w:t>
      </w:r>
    </w:p>
    <w:p>
      <w:pPr>
        <w:pStyle w:val="ListBullet"/>
      </w:pPr>
      <w:r>
        <w:t>哪些 Customer／Supplier／Partner 關係已 Confirmed，哪些僅為 Candidate 或匿名關係？</w:t>
      </w:r>
    </w:p>
    <w:p>
      <w:pPr>
        <w:pStyle w:val="ListBullet"/>
      </w:pPr>
      <w:r>
        <w:t>事件的 Evidence Stage 是 E0～E6 哪一階段？是否構成 Material Event？</w:t>
      </w:r>
    </w:p>
    <w:p>
      <w:pPr>
        <w:pStyle w:val="ListBullet"/>
      </w:pPr>
      <w:r>
        <w:t>公司 Seco 在特定 Point-in-Time 為何？變化由哪些 Evidence 驅動？</w:t>
      </w:r>
    </w:p>
    <w:p>
      <w:pPr>
        <w:pStyle w:val="ListBullet"/>
      </w:pPr>
      <w:r>
        <w:t>CMI 是否顯示籌碼集中、法人動能與交易結構的同步變化？</w:t>
      </w:r>
    </w:p>
    <w:p>
      <w:pPr>
        <w:pStyle w:val="ListBullet"/>
      </w:pPr>
      <w:r>
        <w:t>重大事件前後是否出現顯著 AR／CAR、市值重新定價與 Seco×CMI 共振？</w:t>
      </w:r>
    </w:p>
    <w:p>
      <w:pPr>
        <w:pStyle w:val="ListBullet"/>
      </w:pPr>
      <w:r>
        <w:t>結論是否存在 CONTRADICT Evidence、時間污染、資料洩漏或版本不可重現問題？</w:t>
      </w:r>
    </w:p>
    <w:p>
      <w:pPr>
        <w:pStyle w:val="Heading1"/>
      </w:pPr>
      <w:r>
        <w:t>5. Users and Use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  <w:vAlign w:val="center"/>
          </w:tcPr>
          <w:p>
            <w:r>
              <w:t>角色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t>主要用途</w:t>
            </w:r>
          </w:p>
        </w:tc>
      </w:tr>
      <w:tr>
        <w:tc>
          <w:tcPr>
            <w:tcW w:type="dxa" w:w="5040"/>
            <w:vAlign w:val="top"/>
          </w:tcPr>
          <w:p>
            <w:r>
              <w:t>Research Director</w:t>
            </w:r>
          </w:p>
        </w:tc>
        <w:tc>
          <w:tcPr>
            <w:tcW w:type="dxa" w:w="5040"/>
            <w:vAlign w:val="top"/>
          </w:tcPr>
          <w:p>
            <w:r>
              <w:t>研究治理、模型版本、重大結論與發布核准</w:t>
            </w:r>
          </w:p>
        </w:tc>
      </w:tr>
      <w:tr>
        <w:tc>
          <w:tcPr>
            <w:tcW w:type="dxa" w:w="5040"/>
            <w:vAlign w:val="top"/>
          </w:tcPr>
          <w:p>
            <w:r>
              <w:t>Semiconductor Analyst</w:t>
            </w:r>
          </w:p>
        </w:tc>
        <w:tc>
          <w:tcPr>
            <w:tcW w:type="dxa" w:w="5040"/>
            <w:vAlign w:val="top"/>
          </w:tcPr>
          <w:p>
            <w:r>
              <w:t>技術、公司、產品、客戶與事件研究</w:t>
            </w:r>
          </w:p>
        </w:tc>
      </w:tr>
      <w:tr>
        <w:tc>
          <w:tcPr>
            <w:tcW w:type="dxa" w:w="5040"/>
            <w:vAlign w:val="top"/>
          </w:tcPr>
          <w:p>
            <w:r>
              <w:t>Quant Researcher</w:t>
            </w:r>
          </w:p>
        </w:tc>
        <w:tc>
          <w:tcPr>
            <w:tcW w:type="dxa" w:w="5040"/>
            <w:vAlign w:val="top"/>
          </w:tcPr>
          <w:p>
            <w:r>
              <w:t>CMI、Event Window、AR/CAR、Robustness Test</w:t>
            </w:r>
          </w:p>
        </w:tc>
      </w:tr>
      <w:tr>
        <w:tc>
          <w:tcPr>
            <w:tcW w:type="dxa" w:w="5040"/>
            <w:vAlign w:val="top"/>
          </w:tcPr>
          <w:p>
            <w:r>
              <w:t>Research Reviewer</w:t>
            </w:r>
          </w:p>
        </w:tc>
        <w:tc>
          <w:tcPr>
            <w:tcW w:type="dxa" w:w="5040"/>
            <w:vAlign w:val="top"/>
          </w:tcPr>
          <w:p>
            <w:r>
              <w:t>Evidence、Conflict、Confidence、CFL 審查</w:t>
            </w:r>
          </w:p>
        </w:tc>
      </w:tr>
      <w:tr>
        <w:tc>
          <w:tcPr>
            <w:tcW w:type="dxa" w:w="5040"/>
            <w:vAlign w:val="top"/>
          </w:tcPr>
          <w:p>
            <w:r>
              <w:t>Executive User</w:t>
            </w:r>
          </w:p>
        </w:tc>
        <w:tc>
          <w:tcPr>
            <w:tcW w:type="dxa" w:w="5040"/>
            <w:vAlign w:val="top"/>
          </w:tcPr>
          <w:p>
            <w:r>
              <w:t>閱讀公司、生態系、事件與市場重新定價摘要</w:t>
            </w:r>
          </w:p>
        </w:tc>
      </w:tr>
      <w:tr>
        <w:tc>
          <w:tcPr>
            <w:tcW w:type="dxa" w:w="5040"/>
            <w:vAlign w:val="top"/>
          </w:tcPr>
          <w:p>
            <w:r>
              <w:t>System Administrator</w:t>
            </w:r>
          </w:p>
        </w:tc>
        <w:tc>
          <w:tcPr>
            <w:tcW w:type="dxa" w:w="5040"/>
            <w:vAlign w:val="top"/>
          </w:tcPr>
          <w:p>
            <w:r>
              <w:t>資料流程、權限、成本、稽核與營運治理</w:t>
            </w:r>
          </w:p>
        </w:tc>
      </w:tr>
    </w:tbl>
    <w:p>
      <w:pPr>
        <w:pStyle w:val="Heading1"/>
      </w:pPr>
      <w:r>
        <w:t>6. Scope</w:t>
      </w:r>
    </w:p>
    <w:p>
      <w:pPr>
        <w:pStyle w:val="ListBullet"/>
      </w:pPr>
      <w:r>
        <w:t>台灣上市、上櫃、興櫃公司之 CPO 投資研究 Universe。</w:t>
      </w:r>
    </w:p>
    <w:p>
      <w:pPr>
        <w:pStyle w:val="ListBullet"/>
      </w:pPr>
      <w:r>
        <w:t>海外公司可建立 Company Entity，並建立 Customer／Supplier／Partner／Competitor／Technology 關係，但 V1 不納入台灣股票事件研究 Universe。</w:t>
      </w:r>
    </w:p>
    <w:p>
      <w:pPr>
        <w:pStyle w:val="ListBullet"/>
      </w:pPr>
      <w:r>
        <w:t>CPO／Silicon Photonics 技術、產品、事件、Evidence、Citation、Relationship、Seco、CMI、MarketData 與 ResearchReport。</w:t>
      </w:r>
    </w:p>
    <w:p>
      <w:pPr>
        <w:pStyle w:val="ListBullet"/>
      </w:pPr>
      <w:r>
        <w:t>官方／公開資料優先；架構保留未來合法授權付費資料來源。</w:t>
      </w:r>
    </w:p>
    <w:p>
      <w:pPr>
        <w:pStyle w:val="ListBullet"/>
      </w:pPr>
      <w:r>
        <w:t>日／週市場資料、法人、融資融券／借券、TDCC 等 Point-in-Time 可用資料。</w:t>
      </w:r>
    </w:p>
    <w:p>
      <w:pPr>
        <w:pStyle w:val="Heading1"/>
      </w:pPr>
      <w:r>
        <w:t>7. Out of Scope</w:t>
      </w:r>
    </w:p>
    <w:p>
      <w:pPr>
        <w:pStyle w:val="ListBullet"/>
      </w:pPr>
      <w:r>
        <w:t>V1 不以海外股票作為主要投資事件研究 Universe。</w:t>
      </w:r>
    </w:p>
    <w:p>
      <w:pPr>
        <w:pStyle w:val="ListBullet"/>
      </w:pPr>
      <w:r>
        <w:t>不以單一媒體標籤或『CPO 概念股』作為 Core 分類證據。</w:t>
      </w:r>
    </w:p>
    <w:p>
      <w:pPr>
        <w:pStyle w:val="ListBullet"/>
      </w:pPr>
      <w:r>
        <w:t>不把 LLM 推論直接當成 Fact。</w:t>
      </w:r>
    </w:p>
    <w:p>
      <w:pPr>
        <w:pStyle w:val="ListBullet"/>
      </w:pPr>
      <w:r>
        <w:t>不在 Charter V1.0 固定程式語言、資料庫 schema、API contract、部署拓撲與 Repository 細節。</w:t>
      </w:r>
    </w:p>
    <w:p>
      <w:pPr>
        <w:pStyle w:val="ListBullet"/>
      </w:pPr>
      <w:r>
        <w:t>Seco 不等於投資建議；CMI 不等於單純價格技術指標；研究結果不自動等於可外部發布。</w:t>
      </w:r>
    </w:p>
    <w:p>
      <w:pPr>
        <w:pStyle w:val="Heading1"/>
      </w:pPr>
      <w:r>
        <w:t>8. Data Requirements and Preferred Sources</w:t>
      </w:r>
    </w:p>
    <w:p>
      <w:r>
        <w:rPr>
          <w:b w:val="0"/>
          <w:i w:val="0"/>
        </w:rPr>
        <w:t>優先資料來源包括：TWSE、TPEx、MOPS、公司 IR、財務報告、法說會、新聞稿、客戶／供應商官方資料、國際 CPO／Silicon Photonics 技術來源、可信產業媒體、主流財經媒體、股價成交、法人買賣、融資融券／借券與 TDCC 股權分布。</w:t>
      </w:r>
    </w:p>
    <w:p>
      <w:r>
        <w:rPr>
          <w:b w:val="0"/>
          <w:i w:val="0"/>
        </w:rPr>
        <w:t>資料必須盡可能保存原始 URL、標題、Publisher、published time、retrieved time、content hash、合法可保存之 snapshot／內容版本、parser version 與 source version。</w:t>
      </w:r>
    </w:p>
    <w:p>
      <w:pPr>
        <w:pStyle w:val="Heading1"/>
      </w:pPr>
      <w:r>
        <w:t>9. Core Research Objects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  <w:vAlign w:val="center"/>
          </w:tcPr>
          <w:p>
            <w:r>
              <w:t>Object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t>用途</w:t>
            </w:r>
          </w:p>
        </w:tc>
      </w:tr>
      <w:tr>
        <w:tc>
          <w:tcPr>
            <w:tcW w:type="dxa" w:w="5040"/>
            <w:vAlign w:val="top"/>
          </w:tcPr>
          <w:p>
            <w:r>
              <w:t>Company</w:t>
            </w:r>
          </w:p>
        </w:tc>
        <w:tc>
          <w:tcPr>
            <w:tcW w:type="dxa" w:w="5040"/>
            <w:vAlign w:val="top"/>
          </w:tcPr>
          <w:p>
            <w:r>
              <w:t>公司身分與投資 Universe 主體</w:t>
            </w:r>
          </w:p>
        </w:tc>
      </w:tr>
      <w:tr>
        <w:tc>
          <w:tcPr>
            <w:tcW w:type="dxa" w:w="5040"/>
            <w:vAlign w:val="top"/>
          </w:tcPr>
          <w:p>
            <w:r>
              <w:t>Technology</w:t>
            </w:r>
          </w:p>
        </w:tc>
        <w:tc>
          <w:tcPr>
            <w:tcW w:type="dxa" w:w="5040"/>
            <w:vAlign w:val="top"/>
          </w:tcPr>
          <w:p>
            <w:r>
              <w:t>技術分類與版本</w:t>
            </w:r>
          </w:p>
        </w:tc>
      </w:tr>
      <w:tr>
        <w:tc>
          <w:tcPr>
            <w:tcW w:type="dxa" w:w="5040"/>
            <w:vAlign w:val="top"/>
          </w:tcPr>
          <w:p>
            <w:r>
              <w:t>Product</w:t>
            </w:r>
          </w:p>
        </w:tc>
        <w:tc>
          <w:tcPr>
            <w:tcW w:type="dxa" w:w="5040"/>
            <w:vAlign w:val="top"/>
          </w:tcPr>
          <w:p>
            <w:r>
              <w:t>產品／模組／規格</w:t>
            </w:r>
          </w:p>
        </w:tc>
      </w:tr>
      <w:tr>
        <w:tc>
          <w:tcPr>
            <w:tcW w:type="dxa" w:w="5040"/>
            <w:vAlign w:val="top"/>
          </w:tcPr>
          <w:p>
            <w:r>
              <w:t>Person</w:t>
            </w:r>
          </w:p>
        </w:tc>
        <w:tc>
          <w:tcPr>
            <w:tcW w:type="dxa" w:w="5040"/>
            <w:vAlign w:val="top"/>
          </w:tcPr>
          <w:p>
            <w:r>
              <w:t>重要人物與聲明主體</w:t>
            </w:r>
          </w:p>
        </w:tc>
      </w:tr>
      <w:tr>
        <w:tc>
          <w:tcPr>
            <w:tcW w:type="dxa" w:w="5040"/>
            <w:vAlign w:val="top"/>
          </w:tcPr>
          <w:p>
            <w:r>
              <w:t>Event</w:t>
            </w:r>
          </w:p>
        </w:tc>
        <w:tc>
          <w:tcPr>
            <w:tcW w:type="dxa" w:w="5040"/>
            <w:vAlign w:val="top"/>
          </w:tcPr>
          <w:p>
            <w:r>
              <w:t>事件及修正鏈</w:t>
            </w:r>
          </w:p>
        </w:tc>
      </w:tr>
      <w:tr>
        <w:tc>
          <w:tcPr>
            <w:tcW w:type="dxa" w:w="5040"/>
            <w:vAlign w:val="top"/>
          </w:tcPr>
          <w:p>
            <w:r>
              <w:t>Source</w:t>
            </w:r>
          </w:p>
        </w:tc>
        <w:tc>
          <w:tcPr>
            <w:tcW w:type="dxa" w:w="5040"/>
            <w:vAlign w:val="top"/>
          </w:tcPr>
          <w:p>
            <w:r>
              <w:t>原始資訊來源</w:t>
            </w:r>
          </w:p>
        </w:tc>
      </w:tr>
      <w:tr>
        <w:tc>
          <w:tcPr>
            <w:tcW w:type="dxa" w:w="5040"/>
            <w:vAlign w:val="top"/>
          </w:tcPr>
          <w:p>
            <w:r>
              <w:t>Evidence</w:t>
            </w:r>
          </w:p>
        </w:tc>
        <w:tc>
          <w:tcPr>
            <w:tcW w:type="dxa" w:w="5040"/>
            <w:vAlign w:val="top"/>
          </w:tcPr>
          <w:p>
            <w:r>
              <w:t>支持／反證／脈絡證據</w:t>
            </w:r>
          </w:p>
        </w:tc>
      </w:tr>
      <w:tr>
        <w:tc>
          <w:tcPr>
            <w:tcW w:type="dxa" w:w="5040"/>
            <w:vAlign w:val="top"/>
          </w:tcPr>
          <w:p>
            <w:r>
              <w:t>Citation</w:t>
            </w:r>
          </w:p>
        </w:tc>
        <w:tc>
          <w:tcPr>
            <w:tcW w:type="dxa" w:w="5040"/>
            <w:vAlign w:val="top"/>
          </w:tcPr>
          <w:p>
            <w:r>
              <w:t>研究引用定位</w:t>
            </w:r>
          </w:p>
        </w:tc>
      </w:tr>
      <w:tr>
        <w:tc>
          <w:tcPr>
            <w:tcW w:type="dxa" w:w="5040"/>
            <w:vAlign w:val="top"/>
          </w:tcPr>
          <w:p>
            <w:r>
              <w:t>Relationship</w:t>
            </w:r>
          </w:p>
        </w:tc>
        <w:tc>
          <w:tcPr>
            <w:tcW w:type="dxa" w:w="5040"/>
            <w:vAlign w:val="top"/>
          </w:tcPr>
          <w:p>
            <w:r>
              <w:t>公司、技術、產品、客戶、供應商等關係</w:t>
            </w:r>
          </w:p>
        </w:tc>
      </w:tr>
      <w:tr>
        <w:tc>
          <w:tcPr>
            <w:tcW w:type="dxa" w:w="5040"/>
            <w:vAlign w:val="top"/>
          </w:tcPr>
          <w:p>
            <w:r>
              <w:t>MarketData</w:t>
            </w:r>
          </w:p>
        </w:tc>
        <w:tc>
          <w:tcPr>
            <w:tcW w:type="dxa" w:w="5040"/>
            <w:vAlign w:val="top"/>
          </w:tcPr>
          <w:p>
            <w:r>
              <w:t>價格、成交與市場資料</w:t>
            </w:r>
          </w:p>
        </w:tc>
      </w:tr>
      <w:tr>
        <w:tc>
          <w:tcPr>
            <w:tcW w:type="dxa" w:w="5040"/>
            <w:vAlign w:val="top"/>
          </w:tcPr>
          <w:p>
            <w:r>
              <w:t>InstitutionalTrading</w:t>
            </w:r>
          </w:p>
        </w:tc>
        <w:tc>
          <w:tcPr>
            <w:tcW w:type="dxa" w:w="5040"/>
            <w:vAlign w:val="top"/>
          </w:tcPr>
          <w:p>
            <w:r>
              <w:t>法人交易</w:t>
            </w:r>
          </w:p>
        </w:tc>
      </w:tr>
      <w:tr>
        <w:tc>
          <w:tcPr>
            <w:tcW w:type="dxa" w:w="5040"/>
            <w:vAlign w:val="top"/>
          </w:tcPr>
          <w:p>
            <w:r>
              <w:t>Shareholding</w:t>
            </w:r>
          </w:p>
        </w:tc>
        <w:tc>
          <w:tcPr>
            <w:tcW w:type="dxa" w:w="5040"/>
            <w:vAlign w:val="top"/>
          </w:tcPr>
          <w:p>
            <w:r>
              <w:t>TDCC／持股結構</w:t>
            </w:r>
          </w:p>
        </w:tc>
      </w:tr>
      <w:tr>
        <w:tc>
          <w:tcPr>
            <w:tcW w:type="dxa" w:w="5040"/>
            <w:vAlign w:val="top"/>
          </w:tcPr>
          <w:p>
            <w:r>
              <w:t>Seco</w:t>
            </w:r>
          </w:p>
        </w:tc>
        <w:tc>
          <w:tcPr>
            <w:tcW w:type="dxa" w:w="5040"/>
            <w:vAlign w:val="top"/>
          </w:tcPr>
          <w:p>
            <w:r>
              <w:t>生態系定位分數</w:t>
            </w:r>
          </w:p>
        </w:tc>
      </w:tr>
      <w:tr>
        <w:tc>
          <w:tcPr>
            <w:tcW w:type="dxa" w:w="5040"/>
            <w:vAlign w:val="top"/>
          </w:tcPr>
          <w:p>
            <w:r>
              <w:t>CMI</w:t>
            </w:r>
          </w:p>
        </w:tc>
        <w:tc>
          <w:tcPr>
            <w:tcW w:type="dxa" w:w="5040"/>
            <w:vAlign w:val="top"/>
          </w:tcPr>
          <w:p>
            <w:r>
              <w:t>籌碼／資本市場動能</w:t>
            </w:r>
          </w:p>
        </w:tc>
      </w:tr>
      <w:tr>
        <w:tc>
          <w:tcPr>
            <w:tcW w:type="dxa" w:w="5040"/>
            <w:vAlign w:val="top"/>
          </w:tcPr>
          <w:p>
            <w:r>
              <w:t>ValuationEventWindow</w:t>
            </w:r>
          </w:p>
        </w:tc>
        <w:tc>
          <w:tcPr>
            <w:tcW w:type="dxa" w:w="5040"/>
            <w:vAlign w:val="top"/>
          </w:tcPr>
          <w:p>
            <w:r>
              <w:t>事件窗口、市值、AR/CAR</w:t>
            </w:r>
          </w:p>
        </w:tc>
      </w:tr>
      <w:tr>
        <w:tc>
          <w:tcPr>
            <w:tcW w:type="dxa" w:w="5040"/>
            <w:vAlign w:val="top"/>
          </w:tcPr>
          <w:p>
            <w:r>
              <w:t>ResearchReport</w:t>
            </w:r>
          </w:p>
        </w:tc>
        <w:tc>
          <w:tcPr>
            <w:tcW w:type="dxa" w:w="5040"/>
            <w:vAlign w:val="top"/>
          </w:tcPr>
          <w:p>
            <w:r>
              <w:t>版本化研究輸出</w:t>
            </w:r>
          </w:p>
        </w:tc>
      </w:tr>
    </w:tbl>
    <w:p>
      <w:pPr>
        <w:pStyle w:val="Heading1"/>
      </w:pPr>
      <w:r>
        <w:t>10. CPO Taxonomy and Universe Governance</w:t>
      </w:r>
    </w:p>
    <w:p>
      <w:r>
        <w:rPr>
          <w:b w:val="0"/>
          <w:i w:val="0"/>
        </w:rPr>
        <w:t>V1 Taxonomy 至少包含：CPO、Silicon Photonics、Optical Engine、PIC、EIC、Laser、CW Laser、FAU、Fiber Array、MPO、PMF、Connector、Optical Packaging、Micro Lens、Hybrid Bonding、CoWoS、SoIC、COUPE、Switch ASIC、ELSFP、1.6T、3.2T。Taxonomy 必須可版本化與擴充。</w:t>
      </w:r>
    </w:p>
    <w:p>
      <w:r>
        <w:rPr>
          <w:b w:val="0"/>
          <w:i w:val="0"/>
        </w:rPr>
        <w:t>Universe 採 Core／Adjacent／Watchlist。CPO、Optical I/O、ELSFP、Pluggable Optics 保留獨立 taxonomy identity；CPO 為核心，Optical I/O 為核心或高度相鄰，ELSFP 為 Adjacent，Pluggable Optics 為脈絡／比較層，不得自動視為同義詞。</w:t>
      </w:r>
    </w:p>
    <w:p>
      <w:pPr>
        <w:pStyle w:val="Heading1"/>
      </w:pPr>
      <w:r>
        <w:t>11. Evidence, Source and Relationship Governance</w:t>
      </w:r>
    </w:p>
    <w:p>
      <w:pPr>
        <w:pStyle w:val="Heading2"/>
      </w:pPr>
      <w:r>
        <w:t>11.1 Evidence Stage E0–E6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  <w:vAlign w:val="center"/>
          </w:tcPr>
          <w:p>
            <w:r>
              <w:t>Stage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t>定義</w:t>
            </w:r>
          </w:p>
        </w:tc>
      </w:tr>
      <w:tr>
        <w:tc>
          <w:tcPr>
            <w:tcW w:type="dxa" w:w="5040"/>
            <w:vAlign w:val="top"/>
          </w:tcPr>
          <w:p>
            <w:r>
              <w:t>E0</w:t>
            </w:r>
          </w:p>
        </w:tc>
        <w:tc>
          <w:tcPr>
            <w:tcW w:type="dxa" w:w="5040"/>
            <w:vAlign w:val="top"/>
          </w:tcPr>
          <w:p>
            <w:r>
              <w:t>Rumor / Mention</w:t>
            </w:r>
          </w:p>
        </w:tc>
      </w:tr>
      <w:tr>
        <w:tc>
          <w:tcPr>
            <w:tcW w:type="dxa" w:w="5040"/>
            <w:vAlign w:val="top"/>
          </w:tcPr>
          <w:p>
            <w:r>
              <w:t>E1</w:t>
            </w:r>
          </w:p>
        </w:tc>
        <w:tc>
          <w:tcPr>
            <w:tcW w:type="dxa" w:w="5040"/>
            <w:vAlign w:val="top"/>
          </w:tcPr>
          <w:p>
            <w:r>
              <w:t>Technology Capability</w:t>
            </w:r>
          </w:p>
        </w:tc>
      </w:tr>
      <w:tr>
        <w:tc>
          <w:tcPr>
            <w:tcW w:type="dxa" w:w="5040"/>
            <w:vAlign w:val="top"/>
          </w:tcPr>
          <w:p>
            <w:r>
              <w:t>E2</w:t>
            </w:r>
          </w:p>
        </w:tc>
        <w:tc>
          <w:tcPr>
            <w:tcW w:type="dxa" w:w="5040"/>
            <w:vAlign w:val="top"/>
          </w:tcPr>
          <w:p>
            <w:r>
              <w:t>Development / Sampling</w:t>
            </w:r>
          </w:p>
        </w:tc>
      </w:tr>
      <w:tr>
        <w:tc>
          <w:tcPr>
            <w:tcW w:type="dxa" w:w="5040"/>
            <w:vAlign w:val="top"/>
          </w:tcPr>
          <w:p>
            <w:r>
              <w:t>E3</w:t>
            </w:r>
          </w:p>
        </w:tc>
        <w:tc>
          <w:tcPr>
            <w:tcW w:type="dxa" w:w="5040"/>
            <w:vAlign w:val="top"/>
          </w:tcPr>
          <w:p>
            <w:r>
              <w:t>Qualification / Validation</w:t>
            </w:r>
          </w:p>
        </w:tc>
      </w:tr>
      <w:tr>
        <w:tc>
          <w:tcPr>
            <w:tcW w:type="dxa" w:w="5040"/>
            <w:vAlign w:val="top"/>
          </w:tcPr>
          <w:p>
            <w:r>
              <w:t>E4</w:t>
            </w:r>
          </w:p>
        </w:tc>
        <w:tc>
          <w:tcPr>
            <w:tcW w:type="dxa" w:w="5040"/>
            <w:vAlign w:val="top"/>
          </w:tcPr>
          <w:p>
            <w:r>
              <w:t>Design-in / Customer Adoption</w:t>
            </w:r>
          </w:p>
        </w:tc>
      </w:tr>
      <w:tr>
        <w:tc>
          <w:tcPr>
            <w:tcW w:type="dxa" w:w="5040"/>
            <w:vAlign w:val="top"/>
          </w:tcPr>
          <w:p>
            <w:r>
              <w:t>E5</w:t>
            </w:r>
          </w:p>
        </w:tc>
        <w:tc>
          <w:tcPr>
            <w:tcW w:type="dxa" w:w="5040"/>
            <w:vAlign w:val="top"/>
          </w:tcPr>
          <w:p>
            <w:r>
              <w:t>Production / Shipment</w:t>
            </w:r>
          </w:p>
        </w:tc>
      </w:tr>
      <w:tr>
        <w:tc>
          <w:tcPr>
            <w:tcW w:type="dxa" w:w="5040"/>
            <w:vAlign w:val="top"/>
          </w:tcPr>
          <w:p>
            <w:r>
              <w:t>E6</w:t>
            </w:r>
          </w:p>
        </w:tc>
        <w:tc>
          <w:tcPr>
            <w:tcW w:type="dxa" w:w="5040"/>
            <w:vAlign w:val="top"/>
          </w:tcPr>
          <w:p>
            <w:r>
              <w:t>Revenue Contribution</w:t>
            </w:r>
          </w:p>
        </w:tc>
      </w:tr>
    </w:tbl>
    <w:p>
      <w:r>
        <w:rPr>
          <w:b w:val="0"/>
          <w:i w:val="0"/>
        </w:rPr>
        <w:t>『有 CPO 技術』≠『進入供應鏈』≠『量產』≠『營收貢獻』。</w:t>
      </w:r>
    </w:p>
    <w:p>
      <w:pPr>
        <w:pStyle w:val="Heading2"/>
      </w:pPr>
      <w:r>
        <w:t>11.2 Source Tier S1–S5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  <w:vAlign w:val="center"/>
          </w:tcPr>
          <w:p>
            <w:r>
              <w:t>Tier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t>定義</w:t>
            </w:r>
          </w:p>
        </w:tc>
      </w:tr>
      <w:tr>
        <w:tc>
          <w:tcPr>
            <w:tcW w:type="dxa" w:w="5040"/>
            <w:vAlign w:val="top"/>
          </w:tcPr>
          <w:p>
            <w:r>
              <w:t>S1</w:t>
            </w:r>
          </w:p>
        </w:tc>
        <w:tc>
          <w:tcPr>
            <w:tcW w:type="dxa" w:w="5040"/>
            <w:vAlign w:val="top"/>
          </w:tcPr>
          <w:p>
            <w:r>
              <w:t>Authoritative Primary：法定／交易所／監管揭露</w:t>
            </w:r>
          </w:p>
        </w:tc>
      </w:tr>
      <w:tr>
        <w:tc>
          <w:tcPr>
            <w:tcW w:type="dxa" w:w="5040"/>
            <w:vAlign w:val="top"/>
          </w:tcPr>
          <w:p>
            <w:r>
              <w:t>S2</w:t>
            </w:r>
          </w:p>
        </w:tc>
        <w:tc>
          <w:tcPr>
            <w:tcW w:type="dxa" w:w="5040"/>
            <w:vAlign w:val="top"/>
          </w:tcPr>
          <w:p>
            <w:r>
              <w:t>Corporate / Counterparty Primary：IR、財報、法說、新聞稿、客戶／供應商官方來源</w:t>
            </w:r>
          </w:p>
        </w:tc>
      </w:tr>
      <w:tr>
        <w:tc>
          <w:tcPr>
            <w:tcW w:type="dxa" w:w="5040"/>
            <w:vAlign w:val="top"/>
          </w:tcPr>
          <w:p>
            <w:r>
              <w:t>S3</w:t>
            </w:r>
          </w:p>
        </w:tc>
        <w:tc>
          <w:tcPr>
            <w:tcW w:type="dxa" w:w="5040"/>
            <w:vAlign w:val="top"/>
          </w:tcPr>
          <w:p>
            <w:r>
              <w:t>Authoritative Technical / Institutional：標準、官方技術文件、學術／產業技術機構</w:t>
            </w:r>
          </w:p>
        </w:tc>
      </w:tr>
      <w:tr>
        <w:tc>
          <w:tcPr>
            <w:tcW w:type="dxa" w:w="5040"/>
            <w:vAlign w:val="top"/>
          </w:tcPr>
          <w:p>
            <w:r>
              <w:t>S4</w:t>
            </w:r>
          </w:p>
        </w:tc>
        <w:tc>
          <w:tcPr>
            <w:tcW w:type="dxa" w:w="5040"/>
            <w:vAlign w:val="top"/>
          </w:tcPr>
          <w:p>
            <w:r>
              <w:t>Reputable Secondary：可信產業媒體、主流財經媒體</w:t>
            </w:r>
          </w:p>
        </w:tc>
      </w:tr>
      <w:tr>
        <w:tc>
          <w:tcPr>
            <w:tcW w:type="dxa" w:w="5040"/>
            <w:vAlign w:val="top"/>
          </w:tcPr>
          <w:p>
            <w:r>
              <w:t>S5</w:t>
            </w:r>
          </w:p>
        </w:tc>
        <w:tc>
          <w:tcPr>
            <w:tcW w:type="dxa" w:w="5040"/>
            <w:vAlign w:val="top"/>
          </w:tcPr>
          <w:p>
            <w:r>
              <w:t>Unverified / Discovery-only：論壇、社群、傳聞、未驗證轉載</w:t>
            </w:r>
          </w:p>
        </w:tc>
      </w:tr>
    </w:tbl>
    <w:p>
      <w:r>
        <w:rPr>
          <w:b w:val="0"/>
          <w:i w:val="0"/>
        </w:rPr>
        <w:t>S5 可作 Discovery Lead，但原則上不得單獨支持重大正式 Claim。來源衝突不依語言排序，而依 Authority + Directness + Time + Specificity + Independence 評估。Evidence 必須支援 SUPPORT／CONTRADICT／NEUTRAL-CONTEXT。</w:t>
      </w:r>
    </w:p>
    <w:p>
      <w:r>
        <w:rPr>
          <w:b w:val="0"/>
          <w:i w:val="0"/>
        </w:rPr>
        <w:t>匿名關係可以保存，例如 Company A → supplies → Anonymous North American CSP；Candidate Identity 與 Confirmed Relationship 必須分離，AI 不得無充分 Evidence 自行把匿名客戶映射為具名公司。</w:t>
      </w:r>
    </w:p>
    <w:p>
      <w:pPr>
        <w:pStyle w:val="Heading1"/>
      </w:pPr>
      <w:r>
        <w:t>12. Seco — Ecosystem Positioning Score</w:t>
      </w:r>
    </w:p>
    <w:p>
      <w:r>
        <w:rPr>
          <w:b w:val="0"/>
          <w:i w:val="0"/>
        </w:rPr>
        <w:t>Seco 衡量公司在時間 t 的 CPO 生態系實際定位與商業化成熟度，不是股票買賣建議。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  <w:vAlign w:val="center"/>
          </w:tcPr>
          <w:p>
            <w:r>
              <w:t>構面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t>權重</w:t>
            </w:r>
          </w:p>
        </w:tc>
      </w:tr>
      <w:tr>
        <w:tc>
          <w:tcPr>
            <w:tcW w:type="dxa" w:w="5040"/>
            <w:vAlign w:val="top"/>
          </w:tcPr>
          <w:p>
            <w:r>
              <w:t>S1 Technology Relevance</w:t>
            </w:r>
          </w:p>
        </w:tc>
        <w:tc>
          <w:tcPr>
            <w:tcW w:type="dxa" w:w="5040"/>
            <w:vAlign w:val="top"/>
          </w:tcPr>
          <w:p>
            <w:r>
              <w:t>15%</w:t>
            </w:r>
          </w:p>
        </w:tc>
      </w:tr>
      <w:tr>
        <w:tc>
          <w:tcPr>
            <w:tcW w:type="dxa" w:w="5040"/>
            <w:vAlign w:val="top"/>
          </w:tcPr>
          <w:p>
            <w:r>
              <w:t>S2 Product Readiness</w:t>
            </w:r>
          </w:p>
        </w:tc>
        <w:tc>
          <w:tcPr>
            <w:tcW w:type="dxa" w:w="5040"/>
            <w:vAlign w:val="top"/>
          </w:tcPr>
          <w:p>
            <w:r>
              <w:t>15%</w:t>
            </w:r>
          </w:p>
        </w:tc>
      </w:tr>
      <w:tr>
        <w:tc>
          <w:tcPr>
            <w:tcW w:type="dxa" w:w="5040"/>
            <w:vAlign w:val="top"/>
          </w:tcPr>
          <w:p>
            <w:r>
              <w:t>S3 Customer Validation</w:t>
            </w:r>
          </w:p>
        </w:tc>
        <w:tc>
          <w:tcPr>
            <w:tcW w:type="dxa" w:w="5040"/>
            <w:vAlign w:val="top"/>
          </w:tcPr>
          <w:p>
            <w:r>
              <w:t>20%</w:t>
            </w:r>
          </w:p>
        </w:tc>
      </w:tr>
      <w:tr>
        <w:tc>
          <w:tcPr>
            <w:tcW w:type="dxa" w:w="5040"/>
            <w:vAlign w:val="top"/>
          </w:tcPr>
          <w:p>
            <w:r>
              <w:t>S4 Ecosystem Position</w:t>
            </w:r>
          </w:p>
        </w:tc>
        <w:tc>
          <w:tcPr>
            <w:tcW w:type="dxa" w:w="5040"/>
            <w:vAlign w:val="top"/>
          </w:tcPr>
          <w:p>
            <w:r>
              <w:t>20%</w:t>
            </w:r>
          </w:p>
        </w:tc>
      </w:tr>
      <w:tr>
        <w:tc>
          <w:tcPr>
            <w:tcW w:type="dxa" w:w="5040"/>
            <w:vAlign w:val="top"/>
          </w:tcPr>
          <w:p>
            <w:r>
              <w:t>S5 Commercialization</w:t>
            </w:r>
          </w:p>
        </w:tc>
        <w:tc>
          <w:tcPr>
            <w:tcW w:type="dxa" w:w="5040"/>
            <w:vAlign w:val="top"/>
          </w:tcPr>
          <w:p>
            <w:r>
              <w:t>20%</w:t>
            </w:r>
          </w:p>
        </w:tc>
      </w:tr>
      <w:tr>
        <w:tc>
          <w:tcPr>
            <w:tcW w:type="dxa" w:w="5040"/>
            <w:vAlign w:val="top"/>
          </w:tcPr>
          <w:p>
            <w:r>
              <w:t>S6 Strategic Defensibility</w:t>
            </w:r>
          </w:p>
        </w:tc>
        <w:tc>
          <w:tcPr>
            <w:tcW w:type="dxa" w:w="5040"/>
            <w:vAlign w:val="top"/>
          </w:tcPr>
          <w:p>
            <w:r>
              <w:t>10%</w:t>
            </w:r>
          </w:p>
        </w:tc>
      </w:tr>
    </w:tbl>
    <w:p>
      <w:r>
        <w:rPr>
          <w:b w:val="0"/>
          <w:i w:val="0"/>
        </w:rPr>
        <w:t>Seco(i,t) = 0.15S1 + 0.15S2 + 0.20S3 + 0.20S4 + 0.20S5 + 0.10S6。V1 權重為 Expert Prior；Phase 2 可統計校準，但任何新權重必須建立新 Model Version。</w:t>
      </w:r>
    </w:p>
    <w:p>
      <w:r>
        <w:rPr>
          <w:b w:val="0"/>
          <w:i w:val="0"/>
        </w:rPr>
        <w:t>尺度 0–100：0–19 Minimal/Insufficient；20–39 Emerging；40–59 Developing；60–79 Established；80–100 Strong。每個 Seco 必須伴隨 Confidence。</w:t>
      </w:r>
    </w:p>
    <w:p>
      <w:r>
        <w:rPr>
          <w:b w:val="0"/>
          <w:i w:val="0"/>
        </w:rPr>
        <w:t>Seco 採 Point-in-Time / Bitemporal Versioning，區分 Effective Time 與 Knowledge Time。Correction 與 New Evidence 分離；未來 Evidence 不得回填成歷史當時已知。</w:t>
      </w:r>
    </w:p>
    <w:p>
      <w:pPr>
        <w:pStyle w:val="Heading1"/>
      </w:pPr>
      <w:r>
        <w:t>13. CMI — Chip / Capital Market Momentum Indicator</w:t>
      </w:r>
    </w:p>
    <w:p>
      <w:r>
        <w:rPr>
          <w:b w:val="0"/>
          <w:i w:val="0"/>
        </w:rPr>
        <w:t>CMI 衡量公司層級的籌碼集中、法人動能與交易結構，而非單純價格技術指標。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  <w:vAlign w:val="center"/>
          </w:tcPr>
          <w:p>
            <w:r>
              <w:t>構面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t>V1 權重</w:t>
            </w:r>
          </w:p>
        </w:tc>
      </w:tr>
      <w:tr>
        <w:tc>
          <w:tcPr>
            <w:tcW w:type="dxa" w:w="5040"/>
            <w:vAlign w:val="top"/>
          </w:tcPr>
          <w:p>
            <w:r>
              <w:t>C1 Foreign Institutional Momentum</w:t>
            </w:r>
          </w:p>
        </w:tc>
        <w:tc>
          <w:tcPr>
            <w:tcW w:type="dxa" w:w="5040"/>
            <w:vAlign w:val="top"/>
          </w:tcPr>
          <w:p>
            <w:r>
              <w:t>20%</w:t>
            </w:r>
          </w:p>
        </w:tc>
      </w:tr>
      <w:tr>
        <w:tc>
          <w:tcPr>
            <w:tcW w:type="dxa" w:w="5040"/>
            <w:vAlign w:val="top"/>
          </w:tcPr>
          <w:p>
            <w:r>
              <w:t>C2 Domestic Institutional Momentum</w:t>
            </w:r>
          </w:p>
        </w:tc>
        <w:tc>
          <w:tcPr>
            <w:tcW w:type="dxa" w:w="5040"/>
            <w:vAlign w:val="top"/>
          </w:tcPr>
          <w:p>
            <w:r>
              <w:t>20%</w:t>
            </w:r>
          </w:p>
        </w:tc>
      </w:tr>
      <w:tr>
        <w:tc>
          <w:tcPr>
            <w:tcW w:type="dxa" w:w="5040"/>
            <w:vAlign w:val="top"/>
          </w:tcPr>
          <w:p>
            <w:r>
              <w:t>C3 Margin &amp; Short Position</w:t>
            </w:r>
          </w:p>
        </w:tc>
        <w:tc>
          <w:tcPr>
            <w:tcW w:type="dxa" w:w="5040"/>
            <w:vAlign w:val="top"/>
          </w:tcPr>
          <w:p>
            <w:r>
              <w:t>20%</w:t>
            </w:r>
          </w:p>
        </w:tc>
      </w:tr>
      <w:tr>
        <w:tc>
          <w:tcPr>
            <w:tcW w:type="dxa" w:w="5040"/>
            <w:vAlign w:val="top"/>
          </w:tcPr>
          <w:p>
            <w:r>
              <w:t>C4 Ownership Concentration</w:t>
            </w:r>
          </w:p>
        </w:tc>
        <w:tc>
          <w:tcPr>
            <w:tcW w:type="dxa" w:w="5040"/>
            <w:vAlign w:val="top"/>
          </w:tcPr>
          <w:p>
            <w:r>
              <w:t>20%</w:t>
            </w:r>
          </w:p>
        </w:tc>
      </w:tr>
      <w:tr>
        <w:tc>
          <w:tcPr>
            <w:tcW w:type="dxa" w:w="5040"/>
            <w:vAlign w:val="top"/>
          </w:tcPr>
          <w:p>
            <w:r>
              <w:t>C5 Trading Structure</w:t>
            </w:r>
          </w:p>
        </w:tc>
        <w:tc>
          <w:tcPr>
            <w:tcW w:type="dxa" w:w="5040"/>
            <w:vAlign w:val="top"/>
          </w:tcPr>
          <w:p>
            <w:r>
              <w:t>20%</w:t>
            </w:r>
          </w:p>
        </w:tc>
      </w:tr>
    </w:tbl>
    <w:p>
      <w:r>
        <w:rPr>
          <w:b w:val="0"/>
          <w:i w:val="0"/>
        </w:rPr>
        <w:t>CMI V1 採等權 Expert Prior；Phase 2 再以 sensitivity、regression、PCA/factor、out-of-sample validation 或 ML calibration 驗證。任何權重變更建立新 Model Version。</w:t>
      </w:r>
    </w:p>
    <w:p>
      <w:r>
        <w:rPr>
          <w:b w:val="0"/>
          <w:i w:val="0"/>
        </w:rPr>
        <w:t>TDCC 等低頻資料必須依真正 public/available time 進入 CMI；effective period 不等於 availability time，禁止 backward filling。</w:t>
      </w:r>
    </w:p>
    <w:p>
      <w:pPr>
        <w:pStyle w:val="Heading1"/>
      </w:pPr>
      <w:r>
        <w:t>14. Event Window, Market Repricing and Event Timing</w:t>
      </w:r>
    </w:p>
    <w:p>
      <w:pPr>
        <w:pStyle w:val="Heading2"/>
      </w:pPr>
      <w:r>
        <w:t>14.1 Event Windows</w:t>
      </w:r>
    </w:p>
    <w:p>
      <w:r>
        <w:rPr>
          <w:b w:val="0"/>
          <w:i w:val="0"/>
        </w:rPr>
        <w:t>標準窗口：短期 [-1,+1]、[-3,+3]、[-5,+5]；中期 [-10,+10]、[-20,+20]；並允許 configurable [-N,+M]。週資料窗口另行定義，不以日資料粗略聚合替代。</w:t>
      </w:r>
    </w:p>
    <w:p>
      <w:pPr>
        <w:pStyle w:val="Heading2"/>
      </w:pPr>
      <w:r>
        <w:t>14.2 Abnormal Return / CAR</w:t>
      </w:r>
    </w:p>
    <w:p>
      <w:r>
        <w:rPr>
          <w:b w:val="0"/>
          <w:i w:val="0"/>
        </w:rPr>
        <w:t>至少支援 Market-adjusted 與 Market Model 兩種版本化 Benchmark。Market-adjusted：AR(i,t)=R(i,t)−R(m,t)。Market Model：R(i,t)=α_i+β_iR_m,t+ε_i,t；AR 為 actual−expected。CAR[a,b]=Σ AR。每個結果必須帶 Benchmark Model Version。</w:t>
      </w:r>
    </w:p>
    <w:p>
      <w:pPr>
        <w:pStyle w:val="Heading2"/>
      </w:pPr>
      <w:r>
        <w:t>14.3 Market Cap</w:t>
      </w:r>
    </w:p>
    <w:p>
      <w:r>
        <w:rPr>
          <w:b w:val="0"/>
          <w:i w:val="0"/>
        </w:rPr>
        <w:t>MarketCap(i,t)=Price(i,t)×SharesOutstanding(i,t)，必須使用 Point-in-Time Shares Outstanding，不得以今日股本回算歷史市值。</w:t>
      </w:r>
    </w:p>
    <w:p>
      <w:pPr>
        <w:pStyle w:val="Heading2"/>
      </w:pPr>
      <w:r>
        <w:t>14.4 Observed-Time + Event Trading Date Hierarchy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  <w:vAlign w:val="center"/>
          </w:tcPr>
          <w:p>
            <w:r>
              <w:t>欄位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t>規則</w:t>
            </w:r>
          </w:p>
        </w:tc>
      </w:tr>
      <w:tr>
        <w:tc>
          <w:tcPr>
            <w:tcW w:type="dxa" w:w="5040"/>
            <w:vAlign w:val="top"/>
          </w:tcPr>
          <w:p>
            <w:r>
              <w:t>occurred_at</w:t>
            </w:r>
          </w:p>
        </w:tc>
        <w:tc>
          <w:tcPr>
            <w:tcW w:type="dxa" w:w="5040"/>
            <w:vAlign w:val="top"/>
          </w:tcPr>
          <w:p>
            <w:r>
              <w:t>Optional；只有來源明確提供事件實際發生時間才填</w:t>
            </w:r>
          </w:p>
        </w:tc>
      </w:tr>
      <w:tr>
        <w:tc>
          <w:tcPr>
            <w:tcW w:type="dxa" w:w="5040"/>
            <w:vAlign w:val="top"/>
          </w:tcPr>
          <w:p>
            <w:r>
              <w:t>published_at</w:t>
            </w:r>
          </w:p>
        </w:tc>
        <w:tc>
          <w:tcPr>
            <w:tcW w:type="dxa" w:w="5040"/>
            <w:vAlign w:val="top"/>
          </w:tcPr>
          <w:p>
            <w:r>
              <w:t>Preferred；來源明確提供發布時間／日期才填</w:t>
            </w:r>
          </w:p>
        </w:tc>
      </w:tr>
      <w:tr>
        <w:tc>
          <w:tcPr>
            <w:tcW w:type="dxa" w:w="5040"/>
            <w:vAlign w:val="top"/>
          </w:tcPr>
          <w:p>
            <w:r>
              <w:t>retrieved_at</w:t>
            </w:r>
          </w:p>
        </w:tc>
        <w:tc>
          <w:tcPr>
            <w:tcW w:type="dxa" w:w="5040"/>
            <w:vAlign w:val="top"/>
          </w:tcPr>
          <w:p>
            <w:r>
              <w:t>Required；CPO AI 實際取得來源之系統時間</w:t>
            </w:r>
          </w:p>
        </w:tc>
      </w:tr>
      <w:tr>
        <w:tc>
          <w:tcPr>
            <w:tcW w:type="dxa" w:w="5040"/>
            <w:vAlign w:val="top"/>
          </w:tcPr>
          <w:p>
            <w:r>
              <w:t>market_known_at</w:t>
            </w:r>
          </w:p>
        </w:tc>
        <w:tc>
          <w:tcPr>
            <w:tcW w:type="dxa" w:w="5040"/>
            <w:vAlign w:val="top"/>
          </w:tcPr>
          <w:p>
            <w:r>
              <w:t>Optional / Evidence-only；有可靠 Evidence 才保存，不得由 LLM 猜測</w:t>
            </w:r>
          </w:p>
        </w:tc>
      </w:tr>
      <w:tr>
        <w:tc>
          <w:tcPr>
            <w:tcW w:type="dxa" w:w="5040"/>
            <w:vAlign w:val="top"/>
          </w:tcPr>
          <w:p>
            <w:r>
              <w:t>event_trading_date</w:t>
            </w:r>
          </w:p>
        </w:tc>
        <w:tc>
          <w:tcPr>
            <w:tcW w:type="dxa" w:w="5040"/>
            <w:vAlign w:val="top"/>
          </w:tcPr>
          <w:p>
            <w:r>
              <w:t>Event Study Required；依 Time Evidence、Trading Calendar 與 Conservative Alignment Rule 推導</w:t>
            </w:r>
          </w:p>
        </w:tc>
      </w:tr>
    </w:tbl>
    <w:p>
      <w:r>
        <w:rPr>
          <w:b w:val="0"/>
          <w:i w:val="0"/>
        </w:rPr>
        <w:t>缺失時間保持 NULL；Unknown Time Must Remain Unknown。不得以 00:00 等虛假精度填補 DATE_ONLY 資料。每個 Event Study Event 保存 time_basis、time_precision、time_confidence。</w:t>
      </w:r>
    </w:p>
    <w:p>
      <w:r>
        <w:rPr>
          <w:b w:val="0"/>
          <w:i w:val="0"/>
        </w:rPr>
        <w:t>Trading-session Alignment：盤前可得資訊以當日為 t；盤中公開且只有日資料時可用當日但須揭露限制；盤後或非交易日公開則原則上以下一交易日為 t；只有日期、無法判斷盤前／盤後時採 Conservative Alignment，原則上以下一交易日為安全 t=0。</w:t>
      </w:r>
    </w:p>
    <w:p>
      <w:r>
        <w:rPr>
          <w:b w:val="0"/>
          <w:i w:val="0"/>
        </w:rPr>
        <w:t>同一 Event 可連結多個 Source，每個 Source 保留自己的 published_at / retrieved_at；Event 層以最早可靠公開 Evidence 形成研究 timing。可依 Time Quality 分 High／Medium／Low 樣本進行 CAR Robustness Check。</w:t>
      </w:r>
    </w:p>
    <w:p>
      <w:pPr>
        <w:pStyle w:val="Heading1"/>
      </w:pPr>
      <w:r>
        <w:t>15. Event Taxonomy and Materiality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  <w:vAlign w:val="center"/>
          </w:tcPr>
          <w:p>
            <w:r>
              <w:t>Code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t>Event Type</w:t>
            </w:r>
          </w:p>
        </w:tc>
      </w:tr>
      <w:tr>
        <w:tc>
          <w:tcPr>
            <w:tcW w:type="dxa" w:w="5040"/>
            <w:vAlign w:val="top"/>
          </w:tcPr>
          <w:p>
            <w:r>
              <w:t>EV01</w:t>
            </w:r>
          </w:p>
        </w:tc>
        <w:tc>
          <w:tcPr>
            <w:tcW w:type="dxa" w:w="5040"/>
            <w:vAlign w:val="top"/>
          </w:tcPr>
          <w:p>
            <w:r>
              <w:t>Technology</w:t>
            </w:r>
          </w:p>
        </w:tc>
      </w:tr>
      <w:tr>
        <w:tc>
          <w:tcPr>
            <w:tcW w:type="dxa" w:w="5040"/>
            <w:vAlign w:val="top"/>
          </w:tcPr>
          <w:p>
            <w:r>
              <w:t>EV02</w:t>
            </w:r>
          </w:p>
        </w:tc>
        <w:tc>
          <w:tcPr>
            <w:tcW w:type="dxa" w:w="5040"/>
            <w:vAlign w:val="top"/>
          </w:tcPr>
          <w:p>
            <w:r>
              <w:t>Product</w:t>
            </w:r>
          </w:p>
        </w:tc>
      </w:tr>
      <w:tr>
        <w:tc>
          <w:tcPr>
            <w:tcW w:type="dxa" w:w="5040"/>
            <w:vAlign w:val="top"/>
          </w:tcPr>
          <w:p>
            <w:r>
              <w:t>EV03</w:t>
            </w:r>
          </w:p>
        </w:tc>
        <w:tc>
          <w:tcPr>
            <w:tcW w:type="dxa" w:w="5040"/>
            <w:vAlign w:val="top"/>
          </w:tcPr>
          <w:p>
            <w:r>
              <w:t>Qualification</w:t>
            </w:r>
          </w:p>
        </w:tc>
      </w:tr>
      <w:tr>
        <w:tc>
          <w:tcPr>
            <w:tcW w:type="dxa" w:w="5040"/>
            <w:vAlign w:val="top"/>
          </w:tcPr>
          <w:p>
            <w:r>
              <w:t>EV04</w:t>
            </w:r>
          </w:p>
        </w:tc>
        <w:tc>
          <w:tcPr>
            <w:tcW w:type="dxa" w:w="5040"/>
            <w:vAlign w:val="top"/>
          </w:tcPr>
          <w:p>
            <w:r>
              <w:t>Customer</w:t>
            </w:r>
          </w:p>
        </w:tc>
      </w:tr>
      <w:tr>
        <w:tc>
          <w:tcPr>
            <w:tcW w:type="dxa" w:w="5040"/>
            <w:vAlign w:val="top"/>
          </w:tcPr>
          <w:p>
            <w:r>
              <w:t>EV05</w:t>
            </w:r>
          </w:p>
        </w:tc>
        <w:tc>
          <w:tcPr>
            <w:tcW w:type="dxa" w:w="5040"/>
            <w:vAlign w:val="top"/>
          </w:tcPr>
          <w:p>
            <w:r>
              <w:t>Partnership</w:t>
            </w:r>
          </w:p>
        </w:tc>
      </w:tr>
      <w:tr>
        <w:tc>
          <w:tcPr>
            <w:tcW w:type="dxa" w:w="5040"/>
            <w:vAlign w:val="top"/>
          </w:tcPr>
          <w:p>
            <w:r>
              <w:t>EV06</w:t>
            </w:r>
          </w:p>
        </w:tc>
        <w:tc>
          <w:tcPr>
            <w:tcW w:type="dxa" w:w="5040"/>
            <w:vAlign w:val="top"/>
          </w:tcPr>
          <w:p>
            <w:r>
              <w:t>Production</w:t>
            </w:r>
          </w:p>
        </w:tc>
      </w:tr>
      <w:tr>
        <w:tc>
          <w:tcPr>
            <w:tcW w:type="dxa" w:w="5040"/>
            <w:vAlign w:val="top"/>
          </w:tcPr>
          <w:p>
            <w:r>
              <w:t>EV07</w:t>
            </w:r>
          </w:p>
        </w:tc>
        <w:tc>
          <w:tcPr>
            <w:tcW w:type="dxa" w:w="5040"/>
            <w:vAlign w:val="top"/>
          </w:tcPr>
          <w:p>
            <w:r>
              <w:t>Shipment</w:t>
            </w:r>
          </w:p>
        </w:tc>
      </w:tr>
      <w:tr>
        <w:tc>
          <w:tcPr>
            <w:tcW w:type="dxa" w:w="5040"/>
            <w:vAlign w:val="top"/>
          </w:tcPr>
          <w:p>
            <w:r>
              <w:t>EV08</w:t>
            </w:r>
          </w:p>
        </w:tc>
        <w:tc>
          <w:tcPr>
            <w:tcW w:type="dxa" w:w="5040"/>
            <w:vAlign w:val="top"/>
          </w:tcPr>
          <w:p>
            <w:r>
              <w:t>Order</w:t>
            </w:r>
          </w:p>
        </w:tc>
      </w:tr>
      <w:tr>
        <w:tc>
          <w:tcPr>
            <w:tcW w:type="dxa" w:w="5040"/>
            <w:vAlign w:val="top"/>
          </w:tcPr>
          <w:p>
            <w:r>
              <w:t>EV09</w:t>
            </w:r>
          </w:p>
        </w:tc>
        <w:tc>
          <w:tcPr>
            <w:tcW w:type="dxa" w:w="5040"/>
            <w:vAlign w:val="top"/>
          </w:tcPr>
          <w:p>
            <w:r>
              <w:t>Revenue</w:t>
            </w:r>
          </w:p>
        </w:tc>
      </w:tr>
      <w:tr>
        <w:tc>
          <w:tcPr>
            <w:tcW w:type="dxa" w:w="5040"/>
            <w:vAlign w:val="top"/>
          </w:tcPr>
          <w:p>
            <w:r>
              <w:t>EV10</w:t>
            </w:r>
          </w:p>
        </w:tc>
        <w:tc>
          <w:tcPr>
            <w:tcW w:type="dxa" w:w="5040"/>
            <w:vAlign w:val="top"/>
          </w:tcPr>
          <w:p>
            <w:r>
              <w:t>Capacity</w:t>
            </w:r>
          </w:p>
        </w:tc>
      </w:tr>
      <w:tr>
        <w:tc>
          <w:tcPr>
            <w:tcW w:type="dxa" w:w="5040"/>
            <w:vAlign w:val="top"/>
          </w:tcPr>
          <w:p>
            <w:r>
              <w:t>EV11</w:t>
            </w:r>
          </w:p>
        </w:tc>
        <w:tc>
          <w:tcPr>
            <w:tcW w:type="dxa" w:w="5040"/>
            <w:vAlign w:val="top"/>
          </w:tcPr>
          <w:p>
            <w:r>
              <w:t>Competition</w:t>
            </w:r>
          </w:p>
        </w:tc>
      </w:tr>
      <w:tr>
        <w:tc>
          <w:tcPr>
            <w:tcW w:type="dxa" w:w="5040"/>
            <w:vAlign w:val="top"/>
          </w:tcPr>
          <w:p>
            <w:r>
              <w:t>EV12</w:t>
            </w:r>
          </w:p>
        </w:tc>
        <w:tc>
          <w:tcPr>
            <w:tcW w:type="dxa" w:w="5040"/>
            <w:vAlign w:val="top"/>
          </w:tcPr>
          <w:p>
            <w:r>
              <w:t>Negative Event</w:t>
            </w:r>
          </w:p>
        </w:tc>
      </w:tr>
    </w:tbl>
    <w:p>
      <w:r>
        <w:rPr>
          <w:b w:val="0"/>
          <w:i w:val="0"/>
        </w:rPr>
        <w:t>Event 與 Material Event 分離。Materiality Score 0–100 至少考慮 CPO Relevance、Evidence Strength、Commercial Impact、Ecosystem Impact、Novelty；V1 採 Expert Rule，Phase 2 可校準。只有通過 CFL-04 的事件才升級為 Material Event。</w:t>
      </w:r>
    </w:p>
    <w:p>
      <w:pPr>
        <w:pStyle w:val="Heading1"/>
      </w:pPr>
      <w:r>
        <w:t>16. Confidence</w:t>
      </w:r>
    </w:p>
    <w:p>
      <w:r>
        <w:rPr>
          <w:b w:val="0"/>
          <w:i w:val="0"/>
        </w:rPr>
        <w:t>Research Confidence 採 Evidence-based Confidence，尺度 0–1，不得直接使用 LLM 自評信心。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  <w:vAlign w:val="center"/>
          </w:tcPr>
          <w:p>
            <w:r>
              <w:t>Code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t>構面</w:t>
            </w:r>
          </w:p>
        </w:tc>
      </w:tr>
      <w:tr>
        <w:tc>
          <w:tcPr>
            <w:tcW w:type="dxa" w:w="5040"/>
            <w:vAlign w:val="top"/>
          </w:tcPr>
          <w:p>
            <w:r>
              <w:t>CF1</w:t>
            </w:r>
          </w:p>
        </w:tc>
        <w:tc>
          <w:tcPr>
            <w:tcW w:type="dxa" w:w="5040"/>
            <w:vAlign w:val="top"/>
          </w:tcPr>
          <w:p>
            <w:r>
              <w:t>Source Authority</w:t>
            </w:r>
          </w:p>
        </w:tc>
      </w:tr>
      <w:tr>
        <w:tc>
          <w:tcPr>
            <w:tcW w:type="dxa" w:w="5040"/>
            <w:vAlign w:val="top"/>
          </w:tcPr>
          <w:p>
            <w:r>
              <w:t>CF2</w:t>
            </w:r>
          </w:p>
        </w:tc>
        <w:tc>
          <w:tcPr>
            <w:tcW w:type="dxa" w:w="5040"/>
            <w:vAlign w:val="top"/>
          </w:tcPr>
          <w:p>
            <w:r>
              <w:t>Evidence Directness</w:t>
            </w:r>
          </w:p>
        </w:tc>
      </w:tr>
      <w:tr>
        <w:tc>
          <w:tcPr>
            <w:tcW w:type="dxa" w:w="5040"/>
            <w:vAlign w:val="top"/>
          </w:tcPr>
          <w:p>
            <w:r>
              <w:t>CF3</w:t>
            </w:r>
          </w:p>
        </w:tc>
        <w:tc>
          <w:tcPr>
            <w:tcW w:type="dxa" w:w="5040"/>
            <w:vAlign w:val="top"/>
          </w:tcPr>
          <w:p>
            <w:r>
              <w:t>Independent Corroboration</w:t>
            </w:r>
          </w:p>
        </w:tc>
      </w:tr>
      <w:tr>
        <w:tc>
          <w:tcPr>
            <w:tcW w:type="dxa" w:w="5040"/>
            <w:vAlign w:val="top"/>
          </w:tcPr>
          <w:p>
            <w:r>
              <w:t>CF4</w:t>
            </w:r>
          </w:p>
        </w:tc>
        <w:tc>
          <w:tcPr>
            <w:tcW w:type="dxa" w:w="5040"/>
            <w:vAlign w:val="top"/>
          </w:tcPr>
          <w:p>
            <w:r>
              <w:t>Temporal Quality</w:t>
            </w:r>
          </w:p>
        </w:tc>
      </w:tr>
      <w:tr>
        <w:tc>
          <w:tcPr>
            <w:tcW w:type="dxa" w:w="5040"/>
            <w:vAlign w:val="top"/>
          </w:tcPr>
          <w:p>
            <w:r>
              <w:t>CF5</w:t>
            </w:r>
          </w:p>
        </w:tc>
        <w:tc>
          <w:tcPr>
            <w:tcW w:type="dxa" w:w="5040"/>
            <w:vAlign w:val="top"/>
          </w:tcPr>
          <w:p>
            <w:r>
              <w:t>Conflict Penalty</w:t>
            </w:r>
          </w:p>
        </w:tc>
      </w:tr>
    </w:tbl>
    <w:p>
      <w:r>
        <w:rPr>
          <w:b w:val="0"/>
          <w:i w:val="0"/>
        </w:rPr>
        <w:t>V1 採 Rule-based / Expert Prior；Phase 2 再做 calibration。</w:t>
      </w:r>
    </w:p>
    <w:p>
      <w:pPr>
        <w:pStyle w:val="Heading1"/>
      </w:pPr>
      <w:r>
        <w:t>17. CFL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AF7"/>
            <w:vAlign w:val="center"/>
          </w:tcPr>
          <w:p>
            <w:r>
              <w:t>CFL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t>治理對象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t>V1 原則</w:t>
            </w:r>
          </w:p>
        </w:tc>
      </w:tr>
      <w:tr>
        <w:tc>
          <w:tcPr>
            <w:tcW w:type="dxa" w:w="3360"/>
            <w:vAlign w:val="top"/>
          </w:tcPr>
          <w:p>
            <w:r>
              <w:t>CFL-01</w:t>
            </w:r>
          </w:p>
        </w:tc>
        <w:tc>
          <w:tcPr>
            <w:tcW w:type="dxa" w:w="3360"/>
            <w:vAlign w:val="top"/>
          </w:tcPr>
          <w:p>
            <w:r>
              <w:t>公司身分</w:t>
            </w:r>
          </w:p>
        </w:tc>
        <w:tc>
          <w:tcPr>
            <w:tcW w:type="dxa" w:w="3360"/>
            <w:vAlign w:val="top"/>
          </w:tcPr>
          <w:p>
            <w:r>
              <w:t>高 Confidence、可確定驗證者可 Auto-pass</w:t>
            </w:r>
          </w:p>
        </w:tc>
      </w:tr>
      <w:tr>
        <w:tc>
          <w:tcPr>
            <w:tcW w:type="dxa" w:w="3360"/>
            <w:vAlign w:val="top"/>
          </w:tcPr>
          <w:p>
            <w:r>
              <w:t>CFL-02</w:t>
            </w:r>
          </w:p>
        </w:tc>
        <w:tc>
          <w:tcPr>
            <w:tcW w:type="dxa" w:w="3360"/>
            <w:vAlign w:val="top"/>
          </w:tcPr>
          <w:p>
            <w:r>
              <w:t>CPO 分類</w:t>
            </w:r>
          </w:p>
        </w:tc>
        <w:tc>
          <w:tcPr>
            <w:tcW w:type="dxa" w:w="3360"/>
            <w:vAlign w:val="top"/>
          </w:tcPr>
          <w:p>
            <w:r>
              <w:t>Watchlist/Adjacent 可 AI 建議；首次升級 Core 需 Human Review</w:t>
            </w:r>
          </w:p>
        </w:tc>
      </w:tr>
      <w:tr>
        <w:tc>
          <w:tcPr>
            <w:tcW w:type="dxa" w:w="3360"/>
            <w:vAlign w:val="top"/>
          </w:tcPr>
          <w:p>
            <w:r>
              <w:t>CFL-03</w:t>
            </w:r>
          </w:p>
        </w:tc>
        <w:tc>
          <w:tcPr>
            <w:tcW w:type="dxa" w:w="3360"/>
            <w:vAlign w:val="top"/>
          </w:tcPr>
          <w:p>
            <w:r>
              <w:t>來源可信度</w:t>
            </w:r>
          </w:p>
        </w:tc>
        <w:tc>
          <w:tcPr>
            <w:tcW w:type="dxa" w:w="3360"/>
            <w:vAlign w:val="top"/>
          </w:tcPr>
          <w:p>
            <w:r>
              <w:t>已知官方來源可 Auto-pass；新／未知來源需 Review</w:t>
            </w:r>
          </w:p>
        </w:tc>
      </w:tr>
      <w:tr>
        <w:tc>
          <w:tcPr>
            <w:tcW w:type="dxa" w:w="3360"/>
            <w:vAlign w:val="top"/>
          </w:tcPr>
          <w:p>
            <w:r>
              <w:t>CFL-04</w:t>
            </w:r>
          </w:p>
        </w:tc>
        <w:tc>
          <w:tcPr>
            <w:tcW w:type="dxa" w:w="3360"/>
            <w:vAlign w:val="top"/>
          </w:tcPr>
          <w:p>
            <w:r>
              <w:t>重大事件</w:t>
            </w:r>
          </w:p>
        </w:tc>
        <w:tc>
          <w:tcPr>
            <w:tcW w:type="dxa" w:w="3360"/>
            <w:vAlign w:val="top"/>
          </w:tcPr>
          <w:p>
            <w:r>
              <w:t>一般事件可 AI 分類；高 Materiality 需 Human Review</w:t>
            </w:r>
          </w:p>
        </w:tc>
      </w:tr>
      <w:tr>
        <w:tc>
          <w:tcPr>
            <w:tcW w:type="dxa" w:w="3360"/>
            <w:vAlign w:val="top"/>
          </w:tcPr>
          <w:p>
            <w:r>
              <w:t>CFL-05</w:t>
            </w:r>
          </w:p>
        </w:tc>
        <w:tc>
          <w:tcPr>
            <w:tcW w:type="dxa" w:w="3360"/>
            <w:vAlign w:val="top"/>
          </w:tcPr>
          <w:p>
            <w:r>
              <w:t>生態系關係</w:t>
            </w:r>
          </w:p>
        </w:tc>
        <w:tc>
          <w:tcPr>
            <w:tcW w:type="dxa" w:w="3360"/>
            <w:vAlign w:val="top"/>
          </w:tcPr>
          <w:p>
            <w:r>
              <w:t>Candidate 可保存；重大具名 Customer 首次 Confirmed 需 Human Review</w:t>
            </w:r>
          </w:p>
        </w:tc>
      </w:tr>
      <w:tr>
        <w:tc>
          <w:tcPr>
            <w:tcW w:type="dxa" w:w="3360"/>
            <w:vAlign w:val="top"/>
          </w:tcPr>
          <w:p>
            <w:r>
              <w:t>CFL-06</w:t>
            </w:r>
          </w:p>
        </w:tc>
        <w:tc>
          <w:tcPr>
            <w:tcW w:type="dxa" w:w="3360"/>
            <w:vAlign w:val="top"/>
          </w:tcPr>
          <w:p>
            <w:r>
              <w:t>競爭分析</w:t>
            </w:r>
          </w:p>
        </w:tc>
        <w:tc>
          <w:tcPr>
            <w:tcW w:type="dxa" w:w="3360"/>
            <w:vAlign w:val="top"/>
          </w:tcPr>
          <w:p>
            <w:r>
              <w:t>AI 可 Draft；正式重大結論需 Human Review</w:t>
            </w:r>
          </w:p>
        </w:tc>
      </w:tr>
      <w:tr>
        <w:tc>
          <w:tcPr>
            <w:tcW w:type="dxa" w:w="3360"/>
            <w:vAlign w:val="top"/>
          </w:tcPr>
          <w:p>
            <w:r>
              <w:t>CFL-07</w:t>
            </w:r>
          </w:p>
        </w:tc>
        <w:tc>
          <w:tcPr>
            <w:tcW w:type="dxa" w:w="3360"/>
            <w:vAlign w:val="top"/>
          </w:tcPr>
          <w:p>
            <w:r>
              <w:t>矛盾資料</w:t>
            </w:r>
          </w:p>
        </w:tc>
        <w:tc>
          <w:tcPr>
            <w:tcW w:type="dxa" w:w="3360"/>
            <w:vAlign w:val="top"/>
          </w:tcPr>
          <w:p>
            <w:r>
              <w:t>重大 CONTRADICT Evidence 不得 Auto-pass</w:t>
            </w:r>
          </w:p>
        </w:tc>
      </w:tr>
      <w:tr>
        <w:tc>
          <w:tcPr>
            <w:tcW w:type="dxa" w:w="3360"/>
            <w:vAlign w:val="top"/>
          </w:tcPr>
          <w:p>
            <w:r>
              <w:t>CFL-08</w:t>
            </w:r>
          </w:p>
        </w:tc>
        <w:tc>
          <w:tcPr>
            <w:tcW w:type="dxa" w:w="3360"/>
            <w:vAlign w:val="top"/>
          </w:tcPr>
          <w:p>
            <w:r>
              <w:t>發布核准</w:t>
            </w:r>
          </w:p>
        </w:tc>
        <w:tc>
          <w:tcPr>
            <w:tcW w:type="dxa" w:w="3360"/>
            <w:vAlign w:val="top"/>
          </w:tcPr>
          <w:p>
            <w:r>
              <w:t>正式外部重大研究結論 Human Approval Required</w:t>
            </w:r>
          </w:p>
        </w:tc>
      </w:tr>
    </w:tbl>
    <w:p>
      <w:r>
        <w:rPr>
          <w:b w:val="0"/>
          <w:i w:val="0"/>
        </w:rPr>
        <w:t>CFL 採 AUTO-PASS／REVIEW-REQUIRED／BLOCKED 的 Risk-based Automation；狀態生命週期可包含 PENDING → AUTO-PASS/REVIEW-REQUIRED → APPROVED/REJECTED/BLOCKED → SUPERSEDED。</w:t>
      </w:r>
    </w:p>
    <w:p>
      <w:pPr>
        <w:pStyle w:val="Heading1"/>
      </w:pPr>
      <w:r>
        <w:t>18. Publication Governance</w:t>
      </w:r>
    </w:p>
    <w:p>
      <w:r>
        <w:rPr>
          <w:b w:val="0"/>
          <w:i w:val="0"/>
        </w:rPr>
        <w:t>採三層發布：Internal Auto／Material Review／External Approval。Daily source digest、事件清單、Watchlist changes、Evidence updates、Data-quality alert 可在基本驗證後內部自動產生；Core 升級、Confirmed Customer、Seco 大幅變動、重大 CMI Signal、顯著 CAR、正式競爭結論等需 Review；正式外部重大研究須通過 CFL-08 Human Approval。</w:t>
      </w:r>
    </w:p>
    <w:p>
      <w:pPr>
        <w:pStyle w:val="Heading1"/>
      </w:pPr>
      <w:r>
        <w:t>19. Hybrid Monitoring + Batch AI Parsing</w:t>
      </w:r>
    </w:p>
    <w:p>
      <w:r>
        <w:rPr>
          <w:b w:val="0"/>
          <w:i w:val="0"/>
        </w:rPr>
        <w:t>CPO AI 不採 LLM 24 小時持續處理。Continuous 階段優先使用低成本、確定性機制進行來源監控、Crawler/API、Hash comparison、Change Detection、Basic Cleaning、Deduplication 與 Staging。原則上此層不呼叫 LLM。</w:t>
      </w:r>
    </w:p>
    <w:p>
      <w:r>
        <w:rPr>
          <w:b w:val="0"/>
          <w:i w:val="0"/>
        </w:rPr>
        <w:t>新增或變更資料在預定 LLM Wake-up Window、Priority Trigger 或其他核准條件下，才進入 Batch AI Parsing，執行 Entity/Event/Evidence Extraction、Classification、Relationship/Conflict Analysis 等語意工作。</w:t>
      </w:r>
    </w:p>
    <w:p>
      <w:r>
        <w:rPr>
          <w:b w:val="0"/>
          <w:i w:val="0"/>
        </w:rPr>
        <w:t>23:00、06:00 僅為候選 Wake-up Window，不屬 Charter Freeze。具體 Wake-up Time、Snapshot Time、Batch Size、Priority Wake-up Threshold、Token Budget / Ceiling 等均 Deferred to Operations Specification。</w:t>
      </w:r>
    </w:p>
    <w:p>
      <w:r>
        <w:rPr>
          <w:b w:val="0"/>
          <w:i w:val="0"/>
        </w:rPr>
        <w:t>治理原則：Deterministic First, AI When Needed。Hash、Rule、Parser、SQL、公式計算可完成者，原則上不得無必要使用 LLM。</w:t>
      </w:r>
    </w:p>
    <w:p>
      <w:pPr>
        <w:pStyle w:val="Heading1"/>
      </w:pPr>
      <w:r>
        <w:t>20. Event Revision and Historical Integrity</w:t>
      </w:r>
    </w:p>
    <w:p>
      <w:r>
        <w:rPr>
          <w:b w:val="0"/>
          <w:i w:val="0"/>
        </w:rPr>
        <w:t>Event 採 Immutable Event + Revision Chain，不得直接覆寫歷史。狀態至少支援 ACTIVE／CORRECTED／SUPERSEDED／WITHDRAWN／DISPUTED。Correction、Withdrawal 與後續 New Evidence 必須建立版本關係並保留舊 Source、Evidence、時間、版本與 Reason。</w:t>
      </w:r>
    </w:p>
    <w:p>
      <w:r>
        <w:rPr>
          <w:b w:val="0"/>
          <w:i w:val="0"/>
        </w:rPr>
        <w:t>被撤回的公告不代表其歷史上未曾存在；若市場曾接收 V1，Event Study 可分別研究 Announcement Effect 與 Correction/Withdrawal Effect。</w:t>
      </w:r>
    </w:p>
    <w:p>
      <w:pPr>
        <w:pStyle w:val="Heading1"/>
      </w:pPr>
      <w:r>
        <w:t>21. Phase 3 Agent Autonomy — L0～L4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AF7"/>
            <w:vAlign w:val="center"/>
          </w:tcPr>
          <w:p>
            <w:r>
              <w:t>Level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t>定位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t>權限</w:t>
            </w:r>
          </w:p>
        </w:tc>
      </w:tr>
      <w:tr>
        <w:tc>
          <w:tcPr>
            <w:tcW w:type="dxa" w:w="3360"/>
            <w:vAlign w:val="top"/>
          </w:tcPr>
          <w:p>
            <w:r>
              <w:t>L0</w:t>
            </w:r>
          </w:p>
        </w:tc>
        <w:tc>
          <w:tcPr>
            <w:tcW w:type="dxa" w:w="3360"/>
            <w:vAlign w:val="top"/>
          </w:tcPr>
          <w:p>
            <w:r>
              <w:t>Deterministic Automation</w:t>
            </w:r>
          </w:p>
        </w:tc>
        <w:tc>
          <w:tcPr>
            <w:tcW w:type="dxa" w:w="3360"/>
            <w:vAlign w:val="top"/>
          </w:tcPr>
          <w:p>
            <w:r>
              <w:t>Crawler、API、Hash、Cleaning、Dedup、Trading Calendar、AR/CAR 等確定性工作可 Full Automation</w:t>
            </w:r>
          </w:p>
        </w:tc>
      </w:tr>
      <w:tr>
        <w:tc>
          <w:tcPr>
            <w:tcW w:type="dxa" w:w="3360"/>
            <w:vAlign w:val="top"/>
          </w:tcPr>
          <w:p>
            <w:r>
              <w:t>L1</w:t>
            </w:r>
          </w:p>
        </w:tc>
        <w:tc>
          <w:tcPr>
            <w:tcW w:type="dxa" w:w="3360"/>
            <w:vAlign w:val="top"/>
          </w:tcPr>
          <w:p>
            <w:r>
              <w:t>AI Extraction</w:t>
            </w:r>
          </w:p>
        </w:tc>
        <w:tc>
          <w:tcPr>
            <w:tcW w:type="dxa" w:w="3360"/>
            <w:vAlign w:val="top"/>
          </w:tcPr>
          <w:p>
            <w:r>
              <w:t>可自動建立 Entity/Event/Evidence/Technology Structured Candidate；Candidate ≠ Fact</w:t>
            </w:r>
          </w:p>
        </w:tc>
      </w:tr>
      <w:tr>
        <w:tc>
          <w:tcPr>
            <w:tcW w:type="dxa" w:w="3360"/>
            <w:vAlign w:val="top"/>
          </w:tcPr>
          <w:p>
            <w:r>
              <w:t>L2</w:t>
            </w:r>
          </w:p>
        </w:tc>
        <w:tc>
          <w:tcPr>
            <w:tcW w:type="dxa" w:w="3360"/>
            <w:vAlign w:val="top"/>
          </w:tcPr>
          <w:p>
            <w:r>
              <w:t>AI Analysis &amp; Recommendation</w:t>
            </w:r>
          </w:p>
        </w:tc>
        <w:tc>
          <w:tcPr>
            <w:tcW w:type="dxa" w:w="3360"/>
            <w:vAlign w:val="top"/>
          </w:tcPr>
          <w:p>
            <w:r>
              <w:t>可做 Relationship、Conflict、Seco input、Materiality、研究假設與 Recommendation；Recommendation ≠ Approval</w:t>
            </w:r>
          </w:p>
        </w:tc>
      </w:tr>
      <w:tr>
        <w:tc>
          <w:tcPr>
            <w:tcW w:type="dxa" w:w="3360"/>
            <w:vAlign w:val="top"/>
          </w:tcPr>
          <w:p>
            <w:r>
              <w:t>L3</w:t>
            </w:r>
          </w:p>
        </w:tc>
        <w:tc>
          <w:tcPr>
            <w:tcW w:type="dxa" w:w="3360"/>
            <w:vAlign w:val="top"/>
          </w:tcPr>
          <w:p>
            <w:r>
              <w:t>Conditional Autonomous Decision</w:t>
            </w:r>
          </w:p>
        </w:tc>
        <w:tc>
          <w:tcPr>
            <w:tcW w:type="dxa" w:w="3360"/>
            <w:vAlign w:val="top"/>
          </w:tcPr>
          <w:p>
            <w:r>
              <w:t>僅在 Rule 明確、Confidence 足夠、無重大 Conflict、非高風險 State Transition 且通過 CFL 時自動決策</w:t>
            </w:r>
          </w:p>
        </w:tc>
      </w:tr>
      <w:tr>
        <w:tc>
          <w:tcPr>
            <w:tcW w:type="dxa" w:w="3360"/>
            <w:vAlign w:val="top"/>
          </w:tcPr>
          <w:p>
            <w:r>
              <w:t>L4</w:t>
            </w:r>
          </w:p>
        </w:tc>
        <w:tc>
          <w:tcPr>
            <w:tcW w:type="dxa" w:w="3360"/>
            <w:vAlign w:val="top"/>
          </w:tcPr>
          <w:p>
            <w:r>
              <w:t>Reserved Human Authority</w:t>
            </w:r>
          </w:p>
        </w:tc>
        <w:tc>
          <w:tcPr>
            <w:tcW w:type="dxa" w:w="3360"/>
            <w:vAlign w:val="top"/>
          </w:tcPr>
          <w:p>
            <w:r>
              <w:t>高風險分類／關係／衝突／模型升版／重大正式結論／外部發布保留 Human Authority</w:t>
            </w:r>
          </w:p>
        </w:tc>
      </w:tr>
    </w:tbl>
    <w:p>
      <w:r>
        <w:rPr>
          <w:b w:val="0"/>
          <w:i w:val="0"/>
        </w:rPr>
        <w:t>任何 Low Confidence、重大 CONTRADICT Evidence、High Materiality、Anonymous→Named Identity、Major State Transition 或 External Publication，應升級至 L4 Human Review。</w:t>
      </w:r>
    </w:p>
    <w:p>
      <w:r>
        <w:rPr>
          <w:b w:val="0"/>
          <w:i w:val="0"/>
        </w:rPr>
        <w:t>Agent 不得自行修改 CFL、Source Tier、Confidence Formula、Seco/CMI 權重、Materiality Threshold、Publication Policy、Token Budget、Production Model Version 或提升自身 Autonomy Level。</w:t>
      </w:r>
    </w:p>
    <w:p>
      <w:r>
        <w:rPr>
          <w:b w:val="0"/>
          <w:i w:val="0"/>
        </w:rPr>
        <w:t>採 Evidence / Analysis / Approval / Publication 四權分離；單一 Agent 不應同時完成 Evidence、Conclusion、Approval 與 Publication。所有 L1～L3 行為必須保留 Agent、Rule、Input、Evidence、Confidence、Model Version、Decision、Timestamp 與 Audit Trail。</w:t>
      </w:r>
    </w:p>
    <w:p>
      <w:pPr>
        <w:pStyle w:val="Heading1"/>
      </w:pPr>
      <w:r>
        <w:t>22. Non-functional Requirements</w:t>
      </w:r>
    </w:p>
    <w:p>
      <w:pPr>
        <w:pStyle w:val="ListBullet"/>
      </w:pPr>
      <w:r>
        <w:t>Traceability：每個重大 Claim 可回溯 Source、Evidence 與 Citation。</w:t>
      </w:r>
    </w:p>
    <w:p>
      <w:pPr>
        <w:pStyle w:val="ListBullet"/>
      </w:pPr>
      <w:r>
        <w:t>Reproducibility：結果攜帶 Model Version、Input Version、Calculation Time。</w:t>
      </w:r>
    </w:p>
    <w:p>
      <w:pPr>
        <w:pStyle w:val="ListBullet"/>
      </w:pPr>
      <w:r>
        <w:t>Point-in-Time Integrity：禁止 future knowledge / look-ahead bias。</w:t>
      </w:r>
    </w:p>
    <w:p>
      <w:pPr>
        <w:pStyle w:val="ListBullet"/>
      </w:pPr>
      <w:r>
        <w:t>Auditability：來源、解析、決策、修正與發布保留稽核鏈。</w:t>
      </w:r>
    </w:p>
    <w:p>
      <w:pPr>
        <w:pStyle w:val="ListBullet"/>
      </w:pPr>
      <w:r>
        <w:t>Versionability：Taxonomy、Evidence Rule、Seco、CMI、Benchmark、CFL 與 Report 可版本化。</w:t>
      </w:r>
    </w:p>
    <w:p>
      <w:pPr>
        <w:pStyle w:val="ListBullet"/>
      </w:pPr>
      <w:r>
        <w:t>Cost Governance：Deterministic First；LLM 採 Batch / Priority Queue 與後續 Token Budget。</w:t>
      </w:r>
    </w:p>
    <w:p>
      <w:pPr>
        <w:pStyle w:val="ListBullet"/>
      </w:pPr>
      <w:r>
        <w:t>Human Governance：高風險狀態轉換與正式外部發布保留 Human Authority。</w:t>
      </w:r>
    </w:p>
    <w:p>
      <w:pPr>
        <w:pStyle w:val="ListBullet"/>
      </w:pPr>
      <w:r>
        <w:t>Extensibility：支援新技術、新公司、新來源、新模型與新 Event Type，但不得破壞既有版本可重現性。</w:t>
      </w:r>
    </w:p>
    <w:p>
      <w:pPr>
        <w:pStyle w:val="Heading1"/>
      </w:pPr>
      <w:r>
        <w:t>23. Success Metrics</w:t>
      </w:r>
    </w:p>
    <w:p>
      <w:pPr>
        <w:pStyle w:val="ListBullet"/>
      </w:pPr>
      <w:r>
        <w:t>重大研究結論具可追溯 Evidence/Citation 的覆蓋率。</w:t>
      </w:r>
    </w:p>
    <w:p>
      <w:pPr>
        <w:pStyle w:val="ListBullet"/>
      </w:pPr>
      <w:r>
        <w:t>Core／Confirmed Relationship 的人工審核一致性與錯誤率。</w:t>
      </w:r>
    </w:p>
    <w:p>
      <w:pPr>
        <w:pStyle w:val="ListBullet"/>
      </w:pPr>
      <w:r>
        <w:t>Event deduplication、entity resolution、event classification 的品質。</w:t>
      </w:r>
    </w:p>
    <w:p>
      <w:pPr>
        <w:pStyle w:val="ListBullet"/>
      </w:pPr>
      <w:r>
        <w:t>Point-in-Time／Time Evidence 完整率與資料洩漏事件數。</w:t>
      </w:r>
    </w:p>
    <w:p>
      <w:pPr>
        <w:pStyle w:val="ListBullet"/>
      </w:pPr>
      <w:r>
        <w:t>Seco／CMI／AR-CAR 結果的版本可重現率。</w:t>
      </w:r>
    </w:p>
    <w:p>
      <w:pPr>
        <w:pStyle w:val="ListBullet"/>
      </w:pPr>
      <w:r>
        <w:t>重大 CONTRADICT Evidence 的發現與升級率。</w:t>
      </w:r>
    </w:p>
    <w:p>
      <w:pPr>
        <w:pStyle w:val="ListBullet"/>
      </w:pPr>
      <w:r>
        <w:t>Daily Snapshot 的準時率、資料新鮮度與 Batch AI 成本。</w:t>
      </w:r>
    </w:p>
    <w:p>
      <w:pPr>
        <w:pStyle w:val="ListBullet"/>
      </w:pPr>
      <w:r>
        <w:t>人工審核工作量相對於有效研究產出的改善。</w:t>
      </w:r>
    </w:p>
    <w:p>
      <w:pPr>
        <w:pStyle w:val="ListBullet"/>
      </w:pPr>
      <w:r>
        <w:t>外部發布前 CFL-08 合規率。</w:t>
      </w:r>
    </w:p>
    <w:p>
      <w:pPr>
        <w:pStyle w:val="Heading1"/>
      </w:pPr>
      <w:r>
        <w:t>24. Major Risks</w:t>
      </w:r>
    </w:p>
    <w:p>
      <w:pPr>
        <w:pStyle w:val="ListBullet"/>
      </w:pPr>
      <w:r>
        <w:t>媒體／市場概念標籤造成 CPO 公司誤分類。</w:t>
      </w:r>
    </w:p>
    <w:p>
      <w:pPr>
        <w:pStyle w:val="ListBullet"/>
      </w:pPr>
      <w:r>
        <w:t>匿名客戶被 AI 過度推論為具名公司。</w:t>
      </w:r>
    </w:p>
    <w:p>
      <w:pPr>
        <w:pStyle w:val="ListBullet"/>
      </w:pPr>
      <w:r>
        <w:t>來源時間缺失導致 Event Day 錯置與 look-ahead bias。</w:t>
      </w:r>
    </w:p>
    <w:p>
      <w:pPr>
        <w:pStyle w:val="ListBullet"/>
      </w:pPr>
      <w:r>
        <w:t>TDCC 等低頻資料被錯誤回填。</w:t>
      </w:r>
    </w:p>
    <w:p>
      <w:pPr>
        <w:pStyle w:val="ListBullet"/>
      </w:pPr>
      <w:r>
        <w:t>後續 Evidence 偷偷改寫歷史研究狀態。</w:t>
      </w:r>
    </w:p>
    <w:p>
      <w:pPr>
        <w:pStyle w:val="ListBullet"/>
      </w:pPr>
      <w:r>
        <w:t>LLM hallucination 被誤當 Evidence 或 Confidence。</w:t>
      </w:r>
    </w:p>
    <w:p>
      <w:pPr>
        <w:pStyle w:val="ListBullet"/>
      </w:pPr>
      <w:r>
        <w:t>來源授權、版權、robots/terms 或付費資料使用限制。</w:t>
      </w:r>
    </w:p>
    <w:p>
      <w:pPr>
        <w:pStyle w:val="ListBullet"/>
      </w:pPr>
      <w:r>
        <w:t>LLM 全天候處理造成 Token 成本失控。</w:t>
      </w:r>
    </w:p>
    <w:p>
      <w:pPr>
        <w:pStyle w:val="ListBullet"/>
      </w:pPr>
      <w:r>
        <w:t>AI 自行改變模型、治理門檻或發布政策造成治理漂移。</w:t>
      </w:r>
    </w:p>
    <w:p>
      <w:pPr>
        <w:pStyle w:val="ListBullet"/>
      </w:pPr>
      <w:r>
        <w:t>研究指標被錯誤解讀為投資建議。</w:t>
      </w:r>
    </w:p>
    <w:p>
      <w:pPr>
        <w:pStyle w:val="Heading1"/>
      </w:pPr>
      <w:r>
        <w:t>25. Assumptions</w:t>
      </w:r>
    </w:p>
    <w:p>
      <w:pPr>
        <w:pStyle w:val="ListBullet"/>
      </w:pPr>
      <w:r>
        <w:t>V1 以公開／官方來源優先，並遵守合法使用與授權限制。</w:t>
      </w:r>
    </w:p>
    <w:p>
      <w:pPr>
        <w:pStyle w:val="ListBullet"/>
      </w:pPr>
      <w:r>
        <w:t>台灣上市、上櫃、興櫃為主要投資研究 Universe。</w:t>
      </w:r>
    </w:p>
    <w:p>
      <w:pPr>
        <w:pStyle w:val="ListBullet"/>
      </w:pPr>
      <w:r>
        <w:t>研究時間以市場可合理取得之 Point-in-Time 資訊為基本原則；無法取得精確時間時採保守規則。</w:t>
      </w:r>
    </w:p>
    <w:p>
      <w:pPr>
        <w:pStyle w:val="ListBullet"/>
      </w:pPr>
      <w:r>
        <w:t>Expert Prior 可作 V1 起點，但必須明確標示且允許 Phase 2 統計校準。</w:t>
      </w:r>
    </w:p>
    <w:p>
      <w:pPr>
        <w:pStyle w:val="ListBullet"/>
      </w:pPr>
      <w:r>
        <w:t>Human Review 是治理設計的一部分，不視為系統失敗。</w:t>
      </w:r>
    </w:p>
    <w:p>
      <w:pPr>
        <w:pStyle w:val="ListBullet"/>
      </w:pPr>
      <w:r>
        <w:t>Operations Specification 將決定具體排程、成本與批次參數。</w:t>
      </w:r>
    </w:p>
    <w:p>
      <w:pPr>
        <w:pStyle w:val="Heading1"/>
      </w:pPr>
      <w:r>
        <w:t>26. MVP / Phase 2 / Phase 3</w:t>
      </w:r>
    </w:p>
    <w:p>
      <w:pPr>
        <w:pStyle w:val="Heading2"/>
      </w:pPr>
      <w:r>
        <w:t>26.1 MVP</w:t>
      </w:r>
    </w:p>
    <w:p>
      <w:r>
        <w:rPr>
          <w:b w:val="0"/>
          <w:i w:val="0"/>
        </w:rPr>
        <w:t>MVP 的成功標準不是建立最多 Agent，而是證明至少一家公司可完整走通 Source → Evidence → Claim/Relationship → Event → Seco → CFL → Report，且可重現、可稽核。</w:t>
      </w:r>
    </w:p>
    <w:p>
      <w:pPr>
        <w:pStyle w:val="Heading2"/>
      </w:pPr>
      <w:r>
        <w:t>26.2 Phase 2</w:t>
      </w:r>
    </w:p>
    <w:p>
      <w:r>
        <w:rPr>
          <w:b w:val="0"/>
          <w:i w:val="0"/>
        </w:rPr>
        <w:t>加入完整 CMI、Event Study Engine、公司／事件比較、Seco×CMI 交互分析、回測、統計檢定、Confidence/Materiality/模型權重校準與 Robustness Test。</w:t>
      </w:r>
    </w:p>
    <w:p>
      <w:pPr>
        <w:pStyle w:val="Heading2"/>
      </w:pPr>
      <w:r>
        <w:t>26.3 Phase 3</w:t>
      </w:r>
    </w:p>
    <w:p>
      <w:r>
        <w:rPr>
          <w:b w:val="0"/>
          <w:i w:val="0"/>
        </w:rPr>
        <w:t>形成 Governed Autonomous Research Intelligence：Discover → Retrieve → Normalize → Extract → Verify → Build Evidence → Update Knowledge Graph → Detect Event → Calculate Seco/CMI → Event Study → Conflict Check → CFL → Human Approval（必要時）→ Publish → Monitor；自治權依 L0～L4 Risk-based Model 控制。</w:t>
      </w:r>
    </w:p>
    <w:p>
      <w:pPr>
        <w:pStyle w:val="Heading1"/>
      </w:pPr>
      <w:r>
        <w:t>27. Frozen Decisions Register — CF-01～CF-46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AF7"/>
            <w:vAlign w:val="center"/>
          </w:tcPr>
          <w:p>
            <w:r>
              <w:t>Freeze ID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t>來源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t>正式決策摘要</w:t>
            </w:r>
          </w:p>
        </w:tc>
      </w:tr>
      <w:tr>
        <w:tc>
          <w:tcPr>
            <w:tcW w:type="dxa" w:w="3360"/>
            <w:vAlign w:val="top"/>
          </w:tcPr>
          <w:p>
            <w:r>
              <w:t>CF-01</w:t>
            </w:r>
          </w:p>
        </w:tc>
        <w:tc>
          <w:tcPr>
            <w:tcW w:type="dxa" w:w="3360"/>
            <w:vAlign w:val="top"/>
          </w:tcPr>
          <w:p>
            <w:r>
              <w:t>OQ-01</w:t>
            </w:r>
          </w:p>
        </w:tc>
        <w:tc>
          <w:tcPr>
            <w:tcW w:type="dxa" w:w="3360"/>
            <w:vAlign w:val="top"/>
          </w:tcPr>
          <w:p>
            <w:r>
              <w:t>Universe = Core / Adjacent / Watchlist</w:t>
            </w:r>
          </w:p>
        </w:tc>
      </w:tr>
      <w:tr>
        <w:tc>
          <w:tcPr>
            <w:tcW w:type="dxa" w:w="3360"/>
            <w:vAlign w:val="top"/>
          </w:tcPr>
          <w:p>
            <w:r>
              <w:t>CF-02</w:t>
            </w:r>
          </w:p>
        </w:tc>
        <w:tc>
          <w:tcPr>
            <w:tcW w:type="dxa" w:w="3360"/>
            <w:vAlign w:val="top"/>
          </w:tcPr>
          <w:p>
            <w:r>
              <w:t>OQ-02</w:t>
            </w:r>
          </w:p>
        </w:tc>
        <w:tc>
          <w:tcPr>
            <w:tcW w:type="dxa" w:w="3360"/>
            <w:vAlign w:val="top"/>
          </w:tcPr>
          <w:p>
            <w:r>
              <w:t>CPO、Optical I/O、ELSFP、Pluggable Optics 保留獨立 taxonomy identity</w:t>
            </w:r>
          </w:p>
        </w:tc>
      </w:tr>
      <w:tr>
        <w:tc>
          <w:tcPr>
            <w:tcW w:type="dxa" w:w="3360"/>
            <w:vAlign w:val="top"/>
          </w:tcPr>
          <w:p>
            <w:r>
              <w:t>CF-03</w:t>
            </w:r>
          </w:p>
        </w:tc>
        <w:tc>
          <w:tcPr>
            <w:tcW w:type="dxa" w:w="3360"/>
            <w:vAlign w:val="top"/>
          </w:tcPr>
          <w:p>
            <w:r>
              <w:t>OQ-03</w:t>
            </w:r>
          </w:p>
        </w:tc>
        <w:tc>
          <w:tcPr>
            <w:tcW w:type="dxa" w:w="3360"/>
            <w:vAlign w:val="top"/>
          </w:tcPr>
          <w:p>
            <w:r>
              <w:t>台灣 Universe = 上市 + 上櫃 + 興櫃</w:t>
            </w:r>
          </w:p>
        </w:tc>
      </w:tr>
      <w:tr>
        <w:tc>
          <w:tcPr>
            <w:tcW w:type="dxa" w:w="3360"/>
            <w:vAlign w:val="top"/>
          </w:tcPr>
          <w:p>
            <w:r>
              <w:t>CF-04</w:t>
            </w:r>
          </w:p>
        </w:tc>
        <w:tc>
          <w:tcPr>
            <w:tcW w:type="dxa" w:w="3360"/>
            <w:vAlign w:val="top"/>
          </w:tcPr>
          <w:p>
            <w:r>
              <w:t>OQ-04</w:t>
            </w:r>
          </w:p>
        </w:tc>
        <w:tc>
          <w:tcPr>
            <w:tcW w:type="dxa" w:w="3360"/>
            <w:vAlign w:val="top"/>
          </w:tcPr>
          <w:p>
            <w:r>
              <w:t>海外公司建立 Entity/Relationship，但 V1 不納入台股投資 Universe</w:t>
            </w:r>
          </w:p>
        </w:tc>
      </w:tr>
      <w:tr>
        <w:tc>
          <w:tcPr>
            <w:tcW w:type="dxa" w:w="3360"/>
            <w:vAlign w:val="top"/>
          </w:tcPr>
          <w:p>
            <w:r>
              <w:t>CF-05</w:t>
            </w:r>
          </w:p>
        </w:tc>
        <w:tc>
          <w:tcPr>
            <w:tcW w:type="dxa" w:w="3360"/>
            <w:vAlign w:val="top"/>
          </w:tcPr>
          <w:p>
            <w:r>
              <w:t>OQ-05</w:t>
            </w:r>
          </w:p>
        </w:tc>
        <w:tc>
          <w:tcPr>
            <w:tcW w:type="dxa" w:w="3360"/>
            <w:vAlign w:val="top"/>
          </w:tcPr>
          <w:p>
            <w:r>
              <w:t>Supply-chain Evidence Maturity = E0–E6</w:t>
            </w:r>
          </w:p>
        </w:tc>
      </w:tr>
      <w:tr>
        <w:tc>
          <w:tcPr>
            <w:tcW w:type="dxa" w:w="3360"/>
            <w:vAlign w:val="top"/>
          </w:tcPr>
          <w:p>
            <w:r>
              <w:t>CF-06</w:t>
            </w:r>
          </w:p>
        </w:tc>
        <w:tc>
          <w:tcPr>
            <w:tcW w:type="dxa" w:w="3360"/>
            <w:vAlign w:val="top"/>
          </w:tcPr>
          <w:p>
            <w:r>
              <w:t>OQ-06</w:t>
            </w:r>
          </w:p>
        </w:tc>
        <w:tc>
          <w:tcPr>
            <w:tcW w:type="dxa" w:w="3360"/>
            <w:vAlign w:val="top"/>
          </w:tcPr>
          <w:p>
            <w:r>
              <w:t>允許匿名關係；Candidate Identity ≠ Confirmed Relationship</w:t>
            </w:r>
          </w:p>
        </w:tc>
      </w:tr>
      <w:tr>
        <w:tc>
          <w:tcPr>
            <w:tcW w:type="dxa" w:w="3360"/>
            <w:vAlign w:val="top"/>
          </w:tcPr>
          <w:p>
            <w:r>
              <w:t>CF-07</w:t>
            </w:r>
          </w:p>
        </w:tc>
        <w:tc>
          <w:tcPr>
            <w:tcW w:type="dxa" w:w="3360"/>
            <w:vAlign w:val="top"/>
          </w:tcPr>
          <w:p>
            <w:r>
              <w:t>OQ-17</w:t>
            </w:r>
          </w:p>
        </w:tc>
        <w:tc>
          <w:tcPr>
            <w:tcW w:type="dxa" w:w="3360"/>
            <w:vAlign w:val="top"/>
          </w:tcPr>
          <w:p>
            <w:r>
              <w:t>Source Credibility = S1–S5</w:t>
            </w:r>
          </w:p>
        </w:tc>
      </w:tr>
      <w:tr>
        <w:tc>
          <w:tcPr>
            <w:tcW w:type="dxa" w:w="3360"/>
            <w:vAlign w:val="top"/>
          </w:tcPr>
          <w:p>
            <w:r>
              <w:t>CF-08</w:t>
            </w:r>
          </w:p>
        </w:tc>
        <w:tc>
          <w:tcPr>
            <w:tcW w:type="dxa" w:w="3360"/>
            <w:vAlign w:val="top"/>
          </w:tcPr>
          <w:p>
            <w:r>
              <w:t>OQ-24</w:t>
            </w:r>
          </w:p>
        </w:tc>
        <w:tc>
          <w:tcPr>
            <w:tcW w:type="dxa" w:w="3360"/>
            <w:vAlign w:val="top"/>
          </w:tcPr>
          <w:p>
            <w:r>
              <w:t>來源保存可稽核版本與 hash/snapshot metadata</w:t>
            </w:r>
          </w:p>
        </w:tc>
      </w:tr>
      <w:tr>
        <w:tc>
          <w:tcPr>
            <w:tcW w:type="dxa" w:w="3360"/>
            <w:vAlign w:val="top"/>
          </w:tcPr>
          <w:p>
            <w:r>
              <w:t>CF-09</w:t>
            </w:r>
          </w:p>
        </w:tc>
        <w:tc>
          <w:tcPr>
            <w:tcW w:type="dxa" w:w="3360"/>
            <w:vAlign w:val="top"/>
          </w:tcPr>
          <w:p>
            <w:r>
              <w:t>OQ-25</w:t>
            </w:r>
          </w:p>
        </w:tc>
        <w:tc>
          <w:tcPr>
            <w:tcW w:type="dxa" w:w="3360"/>
            <w:vAlign w:val="top"/>
          </w:tcPr>
          <w:p>
            <w:r>
              <w:t>MVP Public / Official First；保留 licensed source 架構</w:t>
            </w:r>
          </w:p>
        </w:tc>
      </w:tr>
      <w:tr>
        <w:tc>
          <w:tcPr>
            <w:tcW w:type="dxa" w:w="3360"/>
            <w:vAlign w:val="top"/>
          </w:tcPr>
          <w:p>
            <w:r>
              <w:t>CF-10</w:t>
            </w:r>
          </w:p>
        </w:tc>
        <w:tc>
          <w:tcPr>
            <w:tcW w:type="dxa" w:w="3360"/>
            <w:vAlign w:val="top"/>
          </w:tcPr>
          <w:p>
            <w:r>
              <w:t>OQ-26</w:t>
            </w:r>
          </w:p>
        </w:tc>
        <w:tc>
          <w:tcPr>
            <w:tcW w:type="dxa" w:w="3360"/>
            <w:vAlign w:val="top"/>
          </w:tcPr>
          <w:p>
            <w:r>
              <w:t>來源衝突依 Authority + Directness + Time + Specificity + Independence</w:t>
            </w:r>
          </w:p>
        </w:tc>
      </w:tr>
      <w:tr>
        <w:tc>
          <w:tcPr>
            <w:tcW w:type="dxa" w:w="3360"/>
            <w:vAlign w:val="top"/>
          </w:tcPr>
          <w:p>
            <w:r>
              <w:t>CF-11</w:t>
            </w:r>
          </w:p>
        </w:tc>
        <w:tc>
          <w:tcPr>
            <w:tcW w:type="dxa" w:w="3360"/>
            <w:vAlign w:val="top"/>
          </w:tcPr>
          <w:p>
            <w:r>
              <w:t>OQ-29</w:t>
            </w:r>
          </w:p>
        </w:tc>
        <w:tc>
          <w:tcPr>
            <w:tcW w:type="dxa" w:w="3360"/>
            <w:vAlign w:val="top"/>
          </w:tcPr>
          <w:p>
            <w:r>
              <w:t>Evidence 支援 SUPPORT / CONTRADICT / NEUTRAL-CONTEXT</w:t>
            </w:r>
          </w:p>
        </w:tc>
      </w:tr>
      <w:tr>
        <w:tc>
          <w:tcPr>
            <w:tcW w:type="dxa" w:w="3360"/>
            <w:vAlign w:val="top"/>
          </w:tcPr>
          <w:p>
            <w:r>
              <w:t>CF-12</w:t>
            </w:r>
          </w:p>
        </w:tc>
        <w:tc>
          <w:tcPr>
            <w:tcW w:type="dxa" w:w="3360"/>
            <w:vAlign w:val="top"/>
          </w:tcPr>
          <w:p>
            <w:r>
              <w:t>OQ-07</w:t>
            </w:r>
          </w:p>
        </w:tc>
        <w:tc>
          <w:tcPr>
            <w:tcW w:type="dxa" w:w="3360"/>
            <w:vAlign w:val="top"/>
          </w:tcPr>
          <w:p>
            <w:r>
              <w:t>Seco V1 六構面</w:t>
            </w:r>
          </w:p>
        </w:tc>
      </w:tr>
      <w:tr>
        <w:tc>
          <w:tcPr>
            <w:tcW w:type="dxa" w:w="3360"/>
            <w:vAlign w:val="top"/>
          </w:tcPr>
          <w:p>
            <w:r>
              <w:t>CF-13</w:t>
            </w:r>
          </w:p>
        </w:tc>
        <w:tc>
          <w:tcPr>
            <w:tcW w:type="dxa" w:w="3360"/>
            <w:vAlign w:val="top"/>
          </w:tcPr>
          <w:p>
            <w:r>
              <w:t>OQ-07</w:t>
            </w:r>
          </w:p>
        </w:tc>
        <w:tc>
          <w:tcPr>
            <w:tcW w:type="dxa" w:w="3360"/>
            <w:vAlign w:val="top"/>
          </w:tcPr>
          <w:p>
            <w:r>
              <w:t>Seco V1 權重 15/15/20/20/20/10，Expert Prior</w:t>
            </w:r>
          </w:p>
        </w:tc>
      </w:tr>
      <w:tr>
        <w:tc>
          <w:tcPr>
            <w:tcW w:type="dxa" w:w="3360"/>
            <w:vAlign w:val="top"/>
          </w:tcPr>
          <w:p>
            <w:r>
              <w:t>CF-14</w:t>
            </w:r>
          </w:p>
        </w:tc>
        <w:tc>
          <w:tcPr>
            <w:tcW w:type="dxa" w:w="3360"/>
            <w:vAlign w:val="top"/>
          </w:tcPr>
          <w:p>
            <w:r>
              <w:t>OQ-08</w:t>
            </w:r>
          </w:p>
        </w:tc>
        <w:tc>
          <w:tcPr>
            <w:tcW w:type="dxa" w:w="3360"/>
            <w:vAlign w:val="top"/>
          </w:tcPr>
          <w:p>
            <w:r>
              <w:t>Seco scale = 0–100</w:t>
            </w:r>
          </w:p>
        </w:tc>
      </w:tr>
      <w:tr>
        <w:tc>
          <w:tcPr>
            <w:tcW w:type="dxa" w:w="3360"/>
            <w:vAlign w:val="top"/>
          </w:tcPr>
          <w:p>
            <w:r>
              <w:t>CF-15</w:t>
            </w:r>
          </w:p>
        </w:tc>
        <w:tc>
          <w:tcPr>
            <w:tcW w:type="dxa" w:w="3360"/>
            <w:vAlign w:val="top"/>
          </w:tcPr>
          <w:p>
            <w:r>
              <w:t>OQ-08</w:t>
            </w:r>
          </w:p>
        </w:tc>
        <w:tc>
          <w:tcPr>
            <w:tcW w:type="dxa" w:w="3360"/>
            <w:vAlign w:val="top"/>
          </w:tcPr>
          <w:p>
            <w:r>
              <w:t>Seco 必須伴隨 Confidence</w:t>
            </w:r>
          </w:p>
        </w:tc>
      </w:tr>
      <w:tr>
        <w:tc>
          <w:tcPr>
            <w:tcW w:type="dxa" w:w="3360"/>
            <w:vAlign w:val="top"/>
          </w:tcPr>
          <w:p>
            <w:r>
              <w:t>CF-16</w:t>
            </w:r>
          </w:p>
        </w:tc>
        <w:tc>
          <w:tcPr>
            <w:tcW w:type="dxa" w:w="3360"/>
            <w:vAlign w:val="top"/>
          </w:tcPr>
          <w:p>
            <w:r>
              <w:t>OQ-27</w:t>
            </w:r>
          </w:p>
        </w:tc>
        <w:tc>
          <w:tcPr>
            <w:tcW w:type="dxa" w:w="3360"/>
            <w:vAlign w:val="top"/>
          </w:tcPr>
          <w:p>
            <w:r>
              <w:t>Seco 採 Point-in-Time / Bitemporal Versioning</w:t>
            </w:r>
          </w:p>
        </w:tc>
      </w:tr>
      <w:tr>
        <w:tc>
          <w:tcPr>
            <w:tcW w:type="dxa" w:w="3360"/>
            <w:vAlign w:val="top"/>
          </w:tcPr>
          <w:p>
            <w:r>
              <w:t>CF-17</w:t>
            </w:r>
          </w:p>
        </w:tc>
        <w:tc>
          <w:tcPr>
            <w:tcW w:type="dxa" w:w="3360"/>
            <w:vAlign w:val="top"/>
          </w:tcPr>
          <w:p>
            <w:r>
              <w:t>OQ-27</w:t>
            </w:r>
          </w:p>
        </w:tc>
        <w:tc>
          <w:tcPr>
            <w:tcW w:type="dxa" w:w="3360"/>
            <w:vAlign w:val="top"/>
          </w:tcPr>
          <w:p>
            <w:r>
              <w:t>Correction 與 New Evidence 分離，歷史版本保留</w:t>
            </w:r>
          </w:p>
        </w:tc>
      </w:tr>
      <w:tr>
        <w:tc>
          <w:tcPr>
            <w:tcW w:type="dxa" w:w="3360"/>
            <w:vAlign w:val="top"/>
          </w:tcPr>
          <w:p>
            <w:r>
              <w:t>CF-18</w:t>
            </w:r>
          </w:p>
        </w:tc>
        <w:tc>
          <w:tcPr>
            <w:tcW w:type="dxa" w:w="3360"/>
            <w:vAlign w:val="top"/>
          </w:tcPr>
          <w:p>
            <w:r>
              <w:t>OQ-09</w:t>
            </w:r>
          </w:p>
        </w:tc>
        <w:tc>
          <w:tcPr>
            <w:tcW w:type="dxa" w:w="3360"/>
            <w:vAlign w:val="top"/>
          </w:tcPr>
          <w:p>
            <w:r>
              <w:t>CMI V1 = C1–C5 五構面</w:t>
            </w:r>
          </w:p>
        </w:tc>
      </w:tr>
      <w:tr>
        <w:tc>
          <w:tcPr>
            <w:tcW w:type="dxa" w:w="3360"/>
            <w:vAlign w:val="top"/>
          </w:tcPr>
          <w:p>
            <w:r>
              <w:t>CF-19</w:t>
            </w:r>
          </w:p>
        </w:tc>
        <w:tc>
          <w:tcPr>
            <w:tcW w:type="dxa" w:w="3360"/>
            <w:vAlign w:val="top"/>
          </w:tcPr>
          <w:p>
            <w:r>
              <w:t>OQ-10</w:t>
            </w:r>
          </w:p>
        </w:tc>
        <w:tc>
          <w:tcPr>
            <w:tcW w:type="dxa" w:w="3360"/>
            <w:vAlign w:val="top"/>
          </w:tcPr>
          <w:p>
            <w:r>
              <w:t>CMI V1 等權 Expert Prior；Phase 2 統計校準</w:t>
            </w:r>
          </w:p>
        </w:tc>
      </w:tr>
      <w:tr>
        <w:tc>
          <w:tcPr>
            <w:tcW w:type="dxa" w:w="3360"/>
            <w:vAlign w:val="top"/>
          </w:tcPr>
          <w:p>
            <w:r>
              <w:t>CF-20</w:t>
            </w:r>
          </w:p>
        </w:tc>
        <w:tc>
          <w:tcPr>
            <w:tcW w:type="dxa" w:w="3360"/>
            <w:vAlign w:val="top"/>
          </w:tcPr>
          <w:p>
            <w:r>
              <w:t>OQ-11</w:t>
            </w:r>
          </w:p>
        </w:tc>
        <w:tc>
          <w:tcPr>
            <w:tcW w:type="dxa" w:w="3360"/>
            <w:vAlign w:val="top"/>
          </w:tcPr>
          <w:p>
            <w:r>
              <w:t>Event Window 採多窗口 + configurable [-N,+M]</w:t>
            </w:r>
          </w:p>
        </w:tc>
      </w:tr>
      <w:tr>
        <w:tc>
          <w:tcPr>
            <w:tcW w:type="dxa" w:w="3360"/>
            <w:vAlign w:val="top"/>
          </w:tcPr>
          <w:p>
            <w:r>
              <w:t>CF-21</w:t>
            </w:r>
          </w:p>
        </w:tc>
        <w:tc>
          <w:tcPr>
            <w:tcW w:type="dxa" w:w="3360"/>
            <w:vAlign w:val="top"/>
          </w:tcPr>
          <w:p>
            <w:r>
              <w:t>OQ-12</w:t>
            </w:r>
          </w:p>
        </w:tc>
        <w:tc>
          <w:tcPr>
            <w:tcW w:type="dxa" w:w="3360"/>
            <w:vAlign w:val="top"/>
          </w:tcPr>
          <w:p>
            <w:r>
              <w:t>Observed-Time + Event Trading Date Hierarchy；缺失時間不得猜測</w:t>
            </w:r>
          </w:p>
        </w:tc>
      </w:tr>
      <w:tr>
        <w:tc>
          <w:tcPr>
            <w:tcW w:type="dxa" w:w="3360"/>
            <w:vAlign w:val="top"/>
          </w:tcPr>
          <w:p>
            <w:r>
              <w:t>CF-21A</w:t>
            </w:r>
          </w:p>
        </w:tc>
        <w:tc>
          <w:tcPr>
            <w:tcW w:type="dxa" w:w="3360"/>
            <w:vAlign w:val="top"/>
          </w:tcPr>
          <w:p>
            <w:r>
              <w:t>OQ-12</w:t>
            </w:r>
          </w:p>
        </w:tc>
        <w:tc>
          <w:tcPr>
            <w:tcW w:type="dxa" w:w="3360"/>
            <w:vAlign w:val="top"/>
          </w:tcPr>
          <w:p>
            <w:r>
              <w:t>Event Study 保存 time_basis / time_precision / time_confidence</w:t>
            </w:r>
          </w:p>
        </w:tc>
      </w:tr>
      <w:tr>
        <w:tc>
          <w:tcPr>
            <w:tcW w:type="dxa" w:w="3360"/>
            <w:vAlign w:val="top"/>
          </w:tcPr>
          <w:p>
            <w:r>
              <w:t>CF-22</w:t>
            </w:r>
          </w:p>
        </w:tc>
        <w:tc>
          <w:tcPr>
            <w:tcW w:type="dxa" w:w="3360"/>
            <w:vAlign w:val="top"/>
          </w:tcPr>
          <w:p>
            <w:r>
              <w:t>OQ-13</w:t>
            </w:r>
          </w:p>
        </w:tc>
        <w:tc>
          <w:tcPr>
            <w:tcW w:type="dxa" w:w="3360"/>
            <w:vAlign w:val="top"/>
          </w:tcPr>
          <w:p>
            <w:r>
              <w:t>Trading-session Alignment + Conservative Alignment</w:t>
            </w:r>
          </w:p>
        </w:tc>
      </w:tr>
      <w:tr>
        <w:tc>
          <w:tcPr>
            <w:tcW w:type="dxa" w:w="3360"/>
            <w:vAlign w:val="top"/>
          </w:tcPr>
          <w:p>
            <w:r>
              <w:t>CF-23</w:t>
            </w:r>
          </w:p>
        </w:tc>
        <w:tc>
          <w:tcPr>
            <w:tcW w:type="dxa" w:w="3360"/>
            <w:vAlign w:val="top"/>
          </w:tcPr>
          <w:p>
            <w:r>
              <w:t>OQ-14</w:t>
            </w:r>
          </w:p>
        </w:tc>
        <w:tc>
          <w:tcPr>
            <w:tcW w:type="dxa" w:w="3360"/>
            <w:vAlign w:val="top"/>
          </w:tcPr>
          <w:p>
            <w:r>
              <w:t>AR/CAR 採版本化 Benchmark，至少 Market-adjusted + Market Model</w:t>
            </w:r>
          </w:p>
        </w:tc>
      </w:tr>
      <w:tr>
        <w:tc>
          <w:tcPr>
            <w:tcW w:type="dxa" w:w="3360"/>
            <w:vAlign w:val="top"/>
          </w:tcPr>
          <w:p>
            <w:r>
              <w:t>CF-24</w:t>
            </w:r>
          </w:p>
        </w:tc>
        <w:tc>
          <w:tcPr>
            <w:tcW w:type="dxa" w:w="3360"/>
            <w:vAlign w:val="top"/>
          </w:tcPr>
          <w:p>
            <w:r>
              <w:t>OQ-15</w:t>
            </w:r>
          </w:p>
        </w:tc>
        <w:tc>
          <w:tcPr>
            <w:tcW w:type="dxa" w:w="3360"/>
            <w:vAlign w:val="top"/>
          </w:tcPr>
          <w:p>
            <w:r>
              <w:t>Market Cap 使用 Point-in-Time Shares Outstanding</w:t>
            </w:r>
          </w:p>
        </w:tc>
      </w:tr>
      <w:tr>
        <w:tc>
          <w:tcPr>
            <w:tcW w:type="dxa" w:w="3360"/>
            <w:vAlign w:val="top"/>
          </w:tcPr>
          <w:p>
            <w:r>
              <w:t>CF-25</w:t>
            </w:r>
          </w:p>
        </w:tc>
        <w:tc>
          <w:tcPr>
            <w:tcW w:type="dxa" w:w="3360"/>
            <w:vAlign w:val="top"/>
          </w:tcPr>
          <w:p>
            <w:r>
              <w:t>OQ-23</w:t>
            </w:r>
          </w:p>
        </w:tc>
        <w:tc>
          <w:tcPr>
            <w:tcW w:type="dxa" w:w="3360"/>
            <w:vAlign w:val="top"/>
          </w:tcPr>
          <w:p>
            <w:r>
              <w:t>歷史起點採 Dataset-specific Earliest Reliable Date</w:t>
            </w:r>
          </w:p>
        </w:tc>
      </w:tr>
      <w:tr>
        <w:tc>
          <w:tcPr>
            <w:tcW w:type="dxa" w:w="3360"/>
            <w:vAlign w:val="top"/>
          </w:tcPr>
          <w:p>
            <w:r>
              <w:t>CF-26</w:t>
            </w:r>
          </w:p>
        </w:tc>
        <w:tc>
          <w:tcPr>
            <w:tcW w:type="dxa" w:w="3360"/>
            <w:vAlign w:val="top"/>
          </w:tcPr>
          <w:p>
            <w:r>
              <w:t>OQ-09/23</w:t>
            </w:r>
          </w:p>
        </w:tc>
        <w:tc>
          <w:tcPr>
            <w:tcW w:type="dxa" w:w="3360"/>
            <w:vAlign w:val="top"/>
          </w:tcPr>
          <w:p>
            <w:r>
              <w:t>TDCC/低頻資料依實際 availability time 進入 CMI，禁止 backward filling</w:t>
            </w:r>
          </w:p>
        </w:tc>
      </w:tr>
      <w:tr>
        <w:tc>
          <w:tcPr>
            <w:tcW w:type="dxa" w:w="3360"/>
            <w:vAlign w:val="top"/>
          </w:tcPr>
          <w:p>
            <w:r>
              <w:t>CF-27</w:t>
            </w:r>
          </w:p>
        </w:tc>
        <w:tc>
          <w:tcPr>
            <w:tcW w:type="dxa" w:w="3360"/>
            <w:vAlign w:val="top"/>
          </w:tcPr>
          <w:p>
            <w:r>
              <w:t>OQ-16</w:t>
            </w:r>
          </w:p>
        </w:tc>
        <w:tc>
          <w:tcPr>
            <w:tcW w:type="dxa" w:w="3360"/>
            <w:vAlign w:val="top"/>
          </w:tcPr>
          <w:p>
            <w:r>
              <w:t>Event 採 EV01–EV12 Taxonomy + Materiality Score 0–100</w:t>
            </w:r>
          </w:p>
        </w:tc>
      </w:tr>
      <w:tr>
        <w:tc>
          <w:tcPr>
            <w:tcW w:type="dxa" w:w="3360"/>
            <w:vAlign w:val="top"/>
          </w:tcPr>
          <w:p>
            <w:r>
              <w:t>CF-28</w:t>
            </w:r>
          </w:p>
        </w:tc>
        <w:tc>
          <w:tcPr>
            <w:tcW w:type="dxa" w:w="3360"/>
            <w:vAlign w:val="top"/>
          </w:tcPr>
          <w:p>
            <w:r>
              <w:t>OQ-16</w:t>
            </w:r>
          </w:p>
        </w:tc>
        <w:tc>
          <w:tcPr>
            <w:tcW w:type="dxa" w:w="3360"/>
            <w:vAlign w:val="top"/>
          </w:tcPr>
          <w:p>
            <w:r>
              <w:t>Event ≠ Material Event；CFL-04 控制升級</w:t>
            </w:r>
          </w:p>
        </w:tc>
      </w:tr>
      <w:tr>
        <w:tc>
          <w:tcPr>
            <w:tcW w:type="dxa" w:w="3360"/>
            <w:vAlign w:val="top"/>
          </w:tcPr>
          <w:p>
            <w:r>
              <w:t>CF-29</w:t>
            </w:r>
          </w:p>
        </w:tc>
        <w:tc>
          <w:tcPr>
            <w:tcW w:type="dxa" w:w="3360"/>
            <w:vAlign w:val="top"/>
          </w:tcPr>
          <w:p>
            <w:r>
              <w:t>OQ-18</w:t>
            </w:r>
          </w:p>
        </w:tc>
        <w:tc>
          <w:tcPr>
            <w:tcW w:type="dxa" w:w="3360"/>
            <w:vAlign w:val="top"/>
          </w:tcPr>
          <w:p>
            <w:r>
              <w:t>Confidence = CF1–CF5 Evidence-based，0–1</w:t>
            </w:r>
          </w:p>
        </w:tc>
      </w:tr>
      <w:tr>
        <w:tc>
          <w:tcPr>
            <w:tcW w:type="dxa" w:w="3360"/>
            <w:vAlign w:val="top"/>
          </w:tcPr>
          <w:p>
            <w:r>
              <w:t>CF-30</w:t>
            </w:r>
          </w:p>
        </w:tc>
        <w:tc>
          <w:tcPr>
            <w:tcW w:type="dxa" w:w="3360"/>
            <w:vAlign w:val="top"/>
          </w:tcPr>
          <w:p>
            <w:r>
              <w:t>OQ-18</w:t>
            </w:r>
          </w:p>
        </w:tc>
        <w:tc>
          <w:tcPr>
            <w:tcW w:type="dxa" w:w="3360"/>
            <w:vAlign w:val="top"/>
          </w:tcPr>
          <w:p>
            <w:r>
              <w:t>Confidence V1 Rule-based / Expert Prior；Phase 2 calibration</w:t>
            </w:r>
          </w:p>
        </w:tc>
      </w:tr>
      <w:tr>
        <w:tc>
          <w:tcPr>
            <w:tcW w:type="dxa" w:w="3360"/>
            <w:vAlign w:val="top"/>
          </w:tcPr>
          <w:p>
            <w:r>
              <w:t>CF-31</w:t>
            </w:r>
          </w:p>
        </w:tc>
        <w:tc>
          <w:tcPr>
            <w:tcW w:type="dxa" w:w="3360"/>
            <w:vAlign w:val="top"/>
          </w:tcPr>
          <w:p>
            <w:r>
              <w:t>OQ-19</w:t>
            </w:r>
          </w:p>
        </w:tc>
        <w:tc>
          <w:tcPr>
            <w:tcW w:type="dxa" w:w="3360"/>
            <w:vAlign w:val="top"/>
          </w:tcPr>
          <w:p>
            <w:r>
              <w:t>CFL = AUTO-PASS / REVIEW-REQUIRED / BLOCKED</w:t>
            </w:r>
          </w:p>
        </w:tc>
      </w:tr>
      <w:tr>
        <w:tc>
          <w:tcPr>
            <w:tcW w:type="dxa" w:w="3360"/>
            <w:vAlign w:val="top"/>
          </w:tcPr>
          <w:p>
            <w:r>
              <w:t>CF-32</w:t>
            </w:r>
          </w:p>
        </w:tc>
        <w:tc>
          <w:tcPr>
            <w:tcW w:type="dxa" w:w="3360"/>
            <w:vAlign w:val="top"/>
          </w:tcPr>
          <w:p>
            <w:r>
              <w:t>OQ-20</w:t>
            </w:r>
          </w:p>
        </w:tc>
        <w:tc>
          <w:tcPr>
            <w:tcW w:type="dxa" w:w="3360"/>
            <w:vAlign w:val="top"/>
          </w:tcPr>
          <w:p>
            <w:r>
              <w:t>Hybrid Human-AI Governance，高風險狀態需人工介入</w:t>
            </w:r>
          </w:p>
        </w:tc>
      </w:tr>
      <w:tr>
        <w:tc>
          <w:tcPr>
            <w:tcW w:type="dxa" w:w="3360"/>
            <w:vAlign w:val="top"/>
          </w:tcPr>
          <w:p>
            <w:r>
              <w:t>CF-33</w:t>
            </w:r>
          </w:p>
        </w:tc>
        <w:tc>
          <w:tcPr>
            <w:tcW w:type="dxa" w:w="3360"/>
            <w:vAlign w:val="top"/>
          </w:tcPr>
          <w:p>
            <w:r>
              <w:t>OQ-21</w:t>
            </w:r>
          </w:p>
        </w:tc>
        <w:tc>
          <w:tcPr>
            <w:tcW w:type="dxa" w:w="3360"/>
            <w:vAlign w:val="top"/>
          </w:tcPr>
          <w:p>
            <w:r>
              <w:t>Publication = Internal Auto / Material Review / External Approval</w:t>
            </w:r>
          </w:p>
        </w:tc>
      </w:tr>
      <w:tr>
        <w:tc>
          <w:tcPr>
            <w:tcW w:type="dxa" w:w="3360"/>
            <w:vAlign w:val="top"/>
          </w:tcPr>
          <w:p>
            <w:r>
              <w:t>CF-34R</w:t>
            </w:r>
          </w:p>
        </w:tc>
        <w:tc>
          <w:tcPr>
            <w:tcW w:type="dxa" w:w="3360"/>
            <w:vAlign w:val="top"/>
          </w:tcPr>
          <w:p>
            <w:r>
              <w:t>OQ-22</w:t>
            </w:r>
          </w:p>
        </w:tc>
        <w:tc>
          <w:tcPr>
            <w:tcW w:type="dxa" w:w="3360"/>
            <w:vAlign w:val="top"/>
          </w:tcPr>
          <w:p>
            <w:r>
              <w:t>Hybrid Monitoring + Batch AI Parsing；具體時間/成本參數 Deferred</w:t>
            </w:r>
          </w:p>
        </w:tc>
      </w:tr>
      <w:tr>
        <w:tc>
          <w:tcPr>
            <w:tcW w:type="dxa" w:w="3360"/>
            <w:vAlign w:val="top"/>
          </w:tcPr>
          <w:p>
            <w:r>
              <w:t>CF-35</w:t>
            </w:r>
          </w:p>
        </w:tc>
        <w:tc>
          <w:tcPr>
            <w:tcW w:type="dxa" w:w="3360"/>
            <w:vAlign w:val="top"/>
          </w:tcPr>
          <w:p>
            <w:r>
              <w:t>OQ-28</w:t>
            </w:r>
          </w:p>
        </w:tc>
        <w:tc>
          <w:tcPr>
            <w:tcW w:type="dxa" w:w="3360"/>
            <w:vAlign w:val="top"/>
          </w:tcPr>
          <w:p>
            <w:r>
              <w:t>Event = Immutable + Revision Chain</w:t>
            </w:r>
          </w:p>
        </w:tc>
      </w:tr>
      <w:tr>
        <w:tc>
          <w:tcPr>
            <w:tcW w:type="dxa" w:w="3360"/>
            <w:vAlign w:val="top"/>
          </w:tcPr>
          <w:p>
            <w:r>
              <w:t>CF-36</w:t>
            </w:r>
          </w:p>
        </w:tc>
        <w:tc>
          <w:tcPr>
            <w:tcW w:type="dxa" w:w="3360"/>
            <w:vAlign w:val="top"/>
          </w:tcPr>
          <w:p>
            <w:r>
              <w:t>OQ-28</w:t>
            </w:r>
          </w:p>
        </w:tc>
        <w:tc>
          <w:tcPr>
            <w:tcW w:type="dxa" w:w="3360"/>
            <w:vAlign w:val="top"/>
          </w:tcPr>
          <w:p>
            <w:r>
              <w:t>Event status = ACTIVE/CORRECTED/SUPERSEDED/WITHDRAWN/DISPUTED</w:t>
            </w:r>
          </w:p>
        </w:tc>
      </w:tr>
      <w:tr>
        <w:tc>
          <w:tcPr>
            <w:tcW w:type="dxa" w:w="3360"/>
            <w:vAlign w:val="top"/>
          </w:tcPr>
          <w:p>
            <w:r>
              <w:t>CF-37</w:t>
            </w:r>
          </w:p>
        </w:tc>
        <w:tc>
          <w:tcPr>
            <w:tcW w:type="dxa" w:w="3360"/>
            <w:vAlign w:val="top"/>
          </w:tcPr>
          <w:p>
            <w:r>
              <w:t>OQ-30</w:t>
            </w:r>
          </w:p>
        </w:tc>
        <w:tc>
          <w:tcPr>
            <w:tcW w:type="dxa" w:w="3360"/>
            <w:vAlign w:val="top"/>
          </w:tcPr>
          <w:p>
            <w:r>
              <w:t>Phase 3 採 L0–L4 Risk-based Agent Autonomy</w:t>
            </w:r>
          </w:p>
        </w:tc>
      </w:tr>
      <w:tr>
        <w:tc>
          <w:tcPr>
            <w:tcW w:type="dxa" w:w="3360"/>
            <w:vAlign w:val="top"/>
          </w:tcPr>
          <w:p>
            <w:r>
              <w:t>CF-38</w:t>
            </w:r>
          </w:p>
        </w:tc>
        <w:tc>
          <w:tcPr>
            <w:tcW w:type="dxa" w:w="3360"/>
            <w:vAlign w:val="top"/>
          </w:tcPr>
          <w:p>
            <w:r>
              <w:t>OQ-30</w:t>
            </w:r>
          </w:p>
        </w:tc>
        <w:tc>
          <w:tcPr>
            <w:tcW w:type="dxa" w:w="3360"/>
            <w:vAlign w:val="top"/>
          </w:tcPr>
          <w:p>
            <w:r>
              <w:t>L0 Deterministic Automation 可 Full Automation</w:t>
            </w:r>
          </w:p>
        </w:tc>
      </w:tr>
      <w:tr>
        <w:tc>
          <w:tcPr>
            <w:tcW w:type="dxa" w:w="3360"/>
            <w:vAlign w:val="top"/>
          </w:tcPr>
          <w:p>
            <w:r>
              <w:t>CF-39</w:t>
            </w:r>
          </w:p>
        </w:tc>
        <w:tc>
          <w:tcPr>
            <w:tcW w:type="dxa" w:w="3360"/>
            <w:vAlign w:val="top"/>
          </w:tcPr>
          <w:p>
            <w:r>
              <w:t>OQ-30</w:t>
            </w:r>
          </w:p>
        </w:tc>
        <w:tc>
          <w:tcPr>
            <w:tcW w:type="dxa" w:w="3360"/>
            <w:vAlign w:val="top"/>
          </w:tcPr>
          <w:p>
            <w:r>
              <w:t>L1 AI Extraction 可建立 Candidate；Candidate ≠ Fact</w:t>
            </w:r>
          </w:p>
        </w:tc>
      </w:tr>
      <w:tr>
        <w:tc>
          <w:tcPr>
            <w:tcW w:type="dxa" w:w="3360"/>
            <w:vAlign w:val="top"/>
          </w:tcPr>
          <w:p>
            <w:r>
              <w:t>CF-40</w:t>
            </w:r>
          </w:p>
        </w:tc>
        <w:tc>
          <w:tcPr>
            <w:tcW w:type="dxa" w:w="3360"/>
            <w:vAlign w:val="top"/>
          </w:tcPr>
          <w:p>
            <w:r>
              <w:t>OQ-30</w:t>
            </w:r>
          </w:p>
        </w:tc>
        <w:tc>
          <w:tcPr>
            <w:tcW w:type="dxa" w:w="3360"/>
            <w:vAlign w:val="top"/>
          </w:tcPr>
          <w:p>
            <w:r>
              <w:t>L2 AI Analysis 可 Recommendation；Recommendation ≠ Approval</w:t>
            </w:r>
          </w:p>
        </w:tc>
      </w:tr>
      <w:tr>
        <w:tc>
          <w:tcPr>
            <w:tcW w:type="dxa" w:w="3360"/>
            <w:vAlign w:val="top"/>
          </w:tcPr>
          <w:p>
            <w:r>
              <w:t>CF-41</w:t>
            </w:r>
          </w:p>
        </w:tc>
        <w:tc>
          <w:tcPr>
            <w:tcW w:type="dxa" w:w="3360"/>
            <w:vAlign w:val="top"/>
          </w:tcPr>
          <w:p>
            <w:r>
              <w:t>OQ-30</w:t>
            </w:r>
          </w:p>
        </w:tc>
        <w:tc>
          <w:tcPr>
            <w:tcW w:type="dxa" w:w="3360"/>
            <w:vAlign w:val="top"/>
          </w:tcPr>
          <w:p>
            <w:r>
              <w:t>L3 僅低風險、規則明確、Confidence 足夠時 Conditional Autonomous Decision</w:t>
            </w:r>
          </w:p>
        </w:tc>
      </w:tr>
      <w:tr>
        <w:tc>
          <w:tcPr>
            <w:tcW w:type="dxa" w:w="3360"/>
            <w:vAlign w:val="top"/>
          </w:tcPr>
          <w:p>
            <w:r>
              <w:t>CF-42</w:t>
            </w:r>
          </w:p>
        </w:tc>
        <w:tc>
          <w:tcPr>
            <w:tcW w:type="dxa" w:w="3360"/>
            <w:vAlign w:val="top"/>
          </w:tcPr>
          <w:p>
            <w:r>
              <w:t>OQ-30</w:t>
            </w:r>
          </w:p>
        </w:tc>
        <w:tc>
          <w:tcPr>
            <w:tcW w:type="dxa" w:w="3360"/>
            <w:vAlign w:val="top"/>
          </w:tcPr>
          <w:p>
            <w:r>
              <w:t>L4 = Reserved Human Authority</w:t>
            </w:r>
          </w:p>
        </w:tc>
      </w:tr>
      <w:tr>
        <w:tc>
          <w:tcPr>
            <w:tcW w:type="dxa" w:w="3360"/>
            <w:vAlign w:val="top"/>
          </w:tcPr>
          <w:p>
            <w:r>
              <w:t>CF-43</w:t>
            </w:r>
          </w:p>
        </w:tc>
        <w:tc>
          <w:tcPr>
            <w:tcW w:type="dxa" w:w="3360"/>
            <w:vAlign w:val="top"/>
          </w:tcPr>
          <w:p>
            <w:r>
              <w:t>OQ-30</w:t>
            </w:r>
          </w:p>
        </w:tc>
        <w:tc>
          <w:tcPr>
            <w:tcW w:type="dxa" w:w="3360"/>
            <w:vAlign w:val="top"/>
          </w:tcPr>
          <w:p>
            <w:r>
              <w:t>Core 升級、重大具名關係、Conflict、高 Materiality、Model Promotion、重大外部發布需 Human Approval</w:t>
            </w:r>
          </w:p>
        </w:tc>
      </w:tr>
      <w:tr>
        <w:tc>
          <w:tcPr>
            <w:tcW w:type="dxa" w:w="3360"/>
            <w:vAlign w:val="top"/>
          </w:tcPr>
          <w:p>
            <w:r>
              <w:t>CF-44</w:t>
            </w:r>
          </w:p>
        </w:tc>
        <w:tc>
          <w:tcPr>
            <w:tcW w:type="dxa" w:w="3360"/>
            <w:vAlign w:val="top"/>
          </w:tcPr>
          <w:p>
            <w:r>
              <w:t>OQ-30</w:t>
            </w:r>
          </w:p>
        </w:tc>
        <w:tc>
          <w:tcPr>
            <w:tcW w:type="dxa" w:w="3360"/>
            <w:vAlign w:val="top"/>
          </w:tcPr>
          <w:p>
            <w:r>
              <w:t>Agent 不得自行修改 Governance / Production Model / Autonomy</w:t>
            </w:r>
          </w:p>
        </w:tc>
      </w:tr>
      <w:tr>
        <w:tc>
          <w:tcPr>
            <w:tcW w:type="dxa" w:w="3360"/>
            <w:vAlign w:val="top"/>
          </w:tcPr>
          <w:p>
            <w:r>
              <w:t>CF-45</w:t>
            </w:r>
          </w:p>
        </w:tc>
        <w:tc>
          <w:tcPr>
            <w:tcW w:type="dxa" w:w="3360"/>
            <w:vAlign w:val="top"/>
          </w:tcPr>
          <w:p>
            <w:r>
              <w:t>OQ-30</w:t>
            </w:r>
          </w:p>
        </w:tc>
        <w:tc>
          <w:tcPr>
            <w:tcW w:type="dxa" w:w="3360"/>
            <w:vAlign w:val="top"/>
          </w:tcPr>
          <w:p>
            <w:r>
              <w:t>L1–L3 AI 行為必須保留完整 Audit Trail</w:t>
            </w:r>
          </w:p>
        </w:tc>
      </w:tr>
      <w:tr>
        <w:tc>
          <w:tcPr>
            <w:tcW w:type="dxa" w:w="3360"/>
            <w:vAlign w:val="top"/>
          </w:tcPr>
          <w:p>
            <w:r>
              <w:t>CF-46</w:t>
            </w:r>
          </w:p>
        </w:tc>
        <w:tc>
          <w:tcPr>
            <w:tcW w:type="dxa" w:w="3360"/>
            <w:vAlign w:val="top"/>
          </w:tcPr>
          <w:p>
            <w:r>
              <w:t>OQ-30</w:t>
            </w:r>
          </w:p>
        </w:tc>
        <w:tc>
          <w:tcPr>
            <w:tcW w:type="dxa" w:w="3360"/>
            <w:vAlign w:val="top"/>
          </w:tcPr>
          <w:p>
            <w:r>
              <w:t>Evidence / Analysis / Approval / Publication 四權分離</w:t>
            </w:r>
          </w:p>
        </w:tc>
      </w:tr>
    </w:tbl>
    <w:p>
      <w:pPr>
        <w:pStyle w:val="Heading1"/>
      </w:pPr>
      <w:r>
        <w:t>28. Governance Principles Register — GP-01～GP-21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  <w:vAlign w:val="center"/>
          </w:tcPr>
          <w:p>
            <w:r>
              <w:t>GP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t>治理原則</w:t>
            </w:r>
          </w:p>
        </w:tc>
      </w:tr>
      <w:tr>
        <w:tc>
          <w:tcPr>
            <w:tcW w:type="dxa" w:w="5040"/>
            <w:vAlign w:val="top"/>
          </w:tcPr>
          <w:p>
            <w:r>
              <w:t>GP-01</w:t>
            </w:r>
          </w:p>
        </w:tc>
        <w:tc>
          <w:tcPr>
            <w:tcW w:type="dxa" w:w="5040"/>
            <w:vAlign w:val="top"/>
          </w:tcPr>
          <w:p>
            <w:r>
              <w:t>CPO Label ≠ CPO Evidence</w:t>
            </w:r>
          </w:p>
        </w:tc>
      </w:tr>
      <w:tr>
        <w:tc>
          <w:tcPr>
            <w:tcW w:type="dxa" w:w="5040"/>
            <w:vAlign w:val="top"/>
          </w:tcPr>
          <w:p>
            <w:r>
              <w:t>GP-02</w:t>
            </w:r>
          </w:p>
        </w:tc>
        <w:tc>
          <w:tcPr>
            <w:tcW w:type="dxa" w:w="5040"/>
            <w:vAlign w:val="top"/>
          </w:tcPr>
          <w:p>
            <w:r>
              <w:t>Absence of Evidence ≠ Evidence of Absence</w:t>
            </w:r>
          </w:p>
        </w:tc>
      </w:tr>
      <w:tr>
        <w:tc>
          <w:tcPr>
            <w:tcW w:type="dxa" w:w="5040"/>
            <w:vAlign w:val="top"/>
          </w:tcPr>
          <w:p>
            <w:r>
              <w:t>GP-03</w:t>
            </w:r>
          </w:p>
        </w:tc>
        <w:tc>
          <w:tcPr>
            <w:tcW w:type="dxa" w:w="5040"/>
            <w:vAlign w:val="top"/>
          </w:tcPr>
          <w:p>
            <w:r>
              <w:t>Inference ≠ Evidence</w:t>
            </w:r>
          </w:p>
        </w:tc>
      </w:tr>
      <w:tr>
        <w:tc>
          <w:tcPr>
            <w:tcW w:type="dxa" w:w="5040"/>
            <w:vAlign w:val="top"/>
          </w:tcPr>
          <w:p>
            <w:r>
              <w:t>GP-04</w:t>
            </w:r>
          </w:p>
        </w:tc>
        <w:tc>
          <w:tcPr>
            <w:tcW w:type="dxa" w:w="5040"/>
            <w:vAlign w:val="top"/>
          </w:tcPr>
          <w:p>
            <w:r>
              <w:t>Seco ≠ Investment Recommendation</w:t>
            </w:r>
          </w:p>
        </w:tc>
      </w:tr>
      <w:tr>
        <w:tc>
          <w:tcPr>
            <w:tcW w:type="dxa" w:w="5040"/>
            <w:vAlign w:val="top"/>
          </w:tcPr>
          <w:p>
            <w:r>
              <w:t>GP-05</w:t>
            </w:r>
          </w:p>
        </w:tc>
        <w:tc>
          <w:tcPr>
            <w:tcW w:type="dxa" w:w="5040"/>
            <w:vAlign w:val="top"/>
          </w:tcPr>
          <w:p>
            <w:r>
              <w:t>Evidence Stage ≠ Seco</w:t>
            </w:r>
          </w:p>
        </w:tc>
      </w:tr>
      <w:tr>
        <w:tc>
          <w:tcPr>
            <w:tcW w:type="dxa" w:w="5040"/>
            <w:vAlign w:val="top"/>
          </w:tcPr>
          <w:p>
            <w:r>
              <w:t>GP-06</w:t>
            </w:r>
          </w:p>
        </w:tc>
        <w:tc>
          <w:tcPr>
            <w:tcW w:type="dxa" w:w="5040"/>
            <w:vAlign w:val="top"/>
          </w:tcPr>
          <w:p>
            <w:r>
              <w:t>Future Knowledge Must Not Rewrite Historical Knowledge</w:t>
            </w:r>
          </w:p>
        </w:tc>
      </w:tr>
      <w:tr>
        <w:tc>
          <w:tcPr>
            <w:tcW w:type="dxa" w:w="5040"/>
            <w:vAlign w:val="top"/>
          </w:tcPr>
          <w:p>
            <w:r>
              <w:t>GP-07</w:t>
            </w:r>
          </w:p>
        </w:tc>
        <w:tc>
          <w:tcPr>
            <w:tcW w:type="dxa" w:w="5040"/>
            <w:vAlign w:val="top"/>
          </w:tcPr>
          <w:p>
            <w:r>
              <w:t>Unknown Time Must Remain Unknown；研究 Event Date 依可靠 Time Evidence 推導</w:t>
            </w:r>
          </w:p>
        </w:tc>
      </w:tr>
      <w:tr>
        <w:tc>
          <w:tcPr>
            <w:tcW w:type="dxa" w:w="5040"/>
            <w:vAlign w:val="top"/>
          </w:tcPr>
          <w:p>
            <w:r>
              <w:t>GP-08</w:t>
            </w:r>
          </w:p>
        </w:tc>
        <w:tc>
          <w:tcPr>
            <w:tcW w:type="dxa" w:w="5040"/>
            <w:vAlign w:val="top"/>
          </w:tcPr>
          <w:p>
            <w:r>
              <w:t>No Future Data in CMI</w:t>
            </w:r>
          </w:p>
        </w:tc>
      </w:tr>
      <w:tr>
        <w:tc>
          <w:tcPr>
            <w:tcW w:type="dxa" w:w="5040"/>
            <w:vAlign w:val="top"/>
          </w:tcPr>
          <w:p>
            <w:r>
              <w:t>GP-09</w:t>
            </w:r>
          </w:p>
        </w:tc>
        <w:tc>
          <w:tcPr>
            <w:tcW w:type="dxa" w:w="5040"/>
            <w:vAlign w:val="top"/>
          </w:tcPr>
          <w:p>
            <w:r>
              <w:t>Effective Period ≠ Availability Time</w:t>
            </w:r>
          </w:p>
        </w:tc>
      </w:tr>
      <w:tr>
        <w:tc>
          <w:tcPr>
            <w:tcW w:type="dxa" w:w="5040"/>
            <w:vAlign w:val="top"/>
          </w:tcPr>
          <w:p>
            <w:r>
              <w:t>GP-10</w:t>
            </w:r>
          </w:p>
        </w:tc>
        <w:tc>
          <w:tcPr>
            <w:tcW w:type="dxa" w:w="5040"/>
            <w:vAlign w:val="top"/>
          </w:tcPr>
          <w:p>
            <w:r>
              <w:t>Model Version Must Travel With Result</w:t>
            </w:r>
          </w:p>
        </w:tc>
      </w:tr>
      <w:tr>
        <w:tc>
          <w:tcPr>
            <w:tcW w:type="dxa" w:w="5040"/>
            <w:vAlign w:val="top"/>
          </w:tcPr>
          <w:p>
            <w:r>
              <w:t>GP-11</w:t>
            </w:r>
          </w:p>
        </w:tc>
        <w:tc>
          <w:tcPr>
            <w:tcW w:type="dxa" w:w="5040"/>
            <w:vAlign w:val="top"/>
          </w:tcPr>
          <w:p>
            <w:r>
              <w:t>LLM Confidence ≠ Research Confidence</w:t>
            </w:r>
          </w:p>
        </w:tc>
      </w:tr>
      <w:tr>
        <w:tc>
          <w:tcPr>
            <w:tcW w:type="dxa" w:w="5040"/>
            <w:vAlign w:val="top"/>
          </w:tcPr>
          <w:p>
            <w:r>
              <w:t>GP-12</w:t>
            </w:r>
          </w:p>
        </w:tc>
        <w:tc>
          <w:tcPr>
            <w:tcW w:type="dxa" w:w="5040"/>
            <w:vAlign w:val="top"/>
          </w:tcPr>
          <w:p>
            <w:r>
              <w:t>Materiality ≠ Truth</w:t>
            </w:r>
          </w:p>
        </w:tc>
      </w:tr>
      <w:tr>
        <w:tc>
          <w:tcPr>
            <w:tcW w:type="dxa" w:w="5040"/>
            <w:vAlign w:val="top"/>
          </w:tcPr>
          <w:p>
            <w:r>
              <w:t>GP-13</w:t>
            </w:r>
          </w:p>
        </w:tc>
        <w:tc>
          <w:tcPr>
            <w:tcW w:type="dxa" w:w="5040"/>
            <w:vAlign w:val="top"/>
          </w:tcPr>
          <w:p>
            <w:r>
              <w:t>AI May Recommend; Governance Decides</w:t>
            </w:r>
          </w:p>
        </w:tc>
      </w:tr>
      <w:tr>
        <w:tc>
          <w:tcPr>
            <w:tcW w:type="dxa" w:w="5040"/>
            <w:vAlign w:val="top"/>
          </w:tcPr>
          <w:p>
            <w:r>
              <w:t>GP-14</w:t>
            </w:r>
          </w:p>
        </w:tc>
        <w:tc>
          <w:tcPr>
            <w:tcW w:type="dxa" w:w="5040"/>
            <w:vAlign w:val="top"/>
          </w:tcPr>
          <w:p>
            <w:r>
              <w:t>Publication Is a Separate State Transition</w:t>
            </w:r>
          </w:p>
        </w:tc>
      </w:tr>
      <w:tr>
        <w:tc>
          <w:tcPr>
            <w:tcW w:type="dxa" w:w="5040"/>
            <w:vAlign w:val="top"/>
          </w:tcPr>
          <w:p>
            <w:r>
              <w:t>GP-15</w:t>
            </w:r>
          </w:p>
        </w:tc>
        <w:tc>
          <w:tcPr>
            <w:tcW w:type="dxa" w:w="5040"/>
            <w:vAlign w:val="top"/>
          </w:tcPr>
          <w:p>
            <w:r>
              <w:t>History Is Immutable; Interpretation Is Versioned</w:t>
            </w:r>
          </w:p>
        </w:tc>
      </w:tr>
      <w:tr>
        <w:tc>
          <w:tcPr>
            <w:tcW w:type="dxa" w:w="5040"/>
            <w:vAlign w:val="top"/>
          </w:tcPr>
          <w:p>
            <w:r>
              <w:t>GP-16</w:t>
            </w:r>
          </w:p>
        </w:tc>
        <w:tc>
          <w:tcPr>
            <w:tcW w:type="dxa" w:w="5040"/>
            <w:vAlign w:val="top"/>
          </w:tcPr>
          <w:p>
            <w:r>
              <w:t>Deterministic First, AI When Needed</w:t>
            </w:r>
          </w:p>
        </w:tc>
      </w:tr>
      <w:tr>
        <w:tc>
          <w:tcPr>
            <w:tcW w:type="dxa" w:w="5040"/>
            <w:vAlign w:val="top"/>
          </w:tcPr>
          <w:p>
            <w:r>
              <w:t>GP-17</w:t>
            </w:r>
          </w:p>
        </w:tc>
        <w:tc>
          <w:tcPr>
            <w:tcW w:type="dxa" w:w="5040"/>
            <w:vAlign w:val="top"/>
          </w:tcPr>
          <w:p>
            <w:r>
              <w:t>Candidate ≠ Fact</w:t>
            </w:r>
          </w:p>
        </w:tc>
      </w:tr>
      <w:tr>
        <w:tc>
          <w:tcPr>
            <w:tcW w:type="dxa" w:w="5040"/>
            <w:vAlign w:val="top"/>
          </w:tcPr>
          <w:p>
            <w:r>
              <w:t>GP-18</w:t>
            </w:r>
          </w:p>
        </w:tc>
        <w:tc>
          <w:tcPr>
            <w:tcW w:type="dxa" w:w="5040"/>
            <w:vAlign w:val="top"/>
          </w:tcPr>
          <w:p>
            <w:r>
              <w:t>Recommendation ≠ Approval</w:t>
            </w:r>
          </w:p>
        </w:tc>
      </w:tr>
      <w:tr>
        <w:tc>
          <w:tcPr>
            <w:tcW w:type="dxa" w:w="5040"/>
            <w:vAlign w:val="top"/>
          </w:tcPr>
          <w:p>
            <w:r>
              <w:t>GP-19</w:t>
            </w:r>
          </w:p>
        </w:tc>
        <w:tc>
          <w:tcPr>
            <w:tcW w:type="dxa" w:w="5040"/>
            <w:vAlign w:val="top"/>
          </w:tcPr>
          <w:p>
            <w:r>
              <w:t>Autonomy Decreases as Risk Increases</w:t>
            </w:r>
          </w:p>
        </w:tc>
      </w:tr>
      <w:tr>
        <w:tc>
          <w:tcPr>
            <w:tcW w:type="dxa" w:w="5040"/>
            <w:vAlign w:val="top"/>
          </w:tcPr>
          <w:p>
            <w:r>
              <w:t>GP-20</w:t>
            </w:r>
          </w:p>
        </w:tc>
        <w:tc>
          <w:tcPr>
            <w:tcW w:type="dxa" w:w="5040"/>
            <w:vAlign w:val="top"/>
          </w:tcPr>
          <w:p>
            <w:r>
              <w:t>Agents Cannot Govern Themselves</w:t>
            </w:r>
          </w:p>
        </w:tc>
      </w:tr>
      <w:tr>
        <w:tc>
          <w:tcPr>
            <w:tcW w:type="dxa" w:w="5040"/>
            <w:vAlign w:val="top"/>
          </w:tcPr>
          <w:p>
            <w:r>
              <w:t>GP-21</w:t>
            </w:r>
          </w:p>
        </w:tc>
        <w:tc>
          <w:tcPr>
            <w:tcW w:type="dxa" w:w="5040"/>
            <w:vAlign w:val="top"/>
          </w:tcPr>
          <w:p>
            <w:r>
              <w:t>Evidence, Analysis, Approval and Publication Must Be Separable</w:t>
            </w:r>
          </w:p>
        </w:tc>
      </w:tr>
    </w:tbl>
    <w:p>
      <w:pPr>
        <w:pStyle w:val="Heading1"/>
      </w:pPr>
      <w:r>
        <w:t>29. Deferred Decisions</w:t>
      </w:r>
    </w:p>
    <w:p>
      <w:r>
        <w:rPr>
          <w:b w:val="0"/>
          <w:i w:val="0"/>
        </w:rPr>
        <w:t>下列項目不是未完成需求，而是刻意延後至更適合的下游規格階段決定。Work 必須保留 Deferred 狀態，不得將候選值誤視為 Frozen。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  <w:vAlign w:val="center"/>
          </w:tcPr>
          <w:p>
            <w:r>
              <w:t>Deferred Item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t>預定決策階段</w:t>
            </w:r>
          </w:p>
        </w:tc>
      </w:tr>
      <w:tr>
        <w:tc>
          <w:tcPr>
            <w:tcW w:type="dxa" w:w="5040"/>
            <w:vAlign w:val="top"/>
          </w:tcPr>
          <w:p>
            <w:r>
              <w:t>LLM Wake-up Window（23:00、06:00 僅候選）</w:t>
            </w:r>
          </w:p>
        </w:tc>
        <w:tc>
          <w:tcPr>
            <w:tcW w:type="dxa" w:w="5040"/>
            <w:vAlign w:val="top"/>
          </w:tcPr>
          <w:p>
            <w:r>
              <w:t>Operations Specification</w:t>
            </w:r>
          </w:p>
        </w:tc>
      </w:tr>
      <w:tr>
        <w:tc>
          <w:tcPr>
            <w:tcW w:type="dxa" w:w="5040"/>
            <w:vAlign w:val="top"/>
          </w:tcPr>
          <w:p>
            <w:r>
              <w:t>Daily Snapshot 產生時間</w:t>
            </w:r>
          </w:p>
        </w:tc>
        <w:tc>
          <w:tcPr>
            <w:tcW w:type="dxa" w:w="5040"/>
            <w:vAlign w:val="top"/>
          </w:tcPr>
          <w:p>
            <w:r>
              <w:t>Operations Specification</w:t>
            </w:r>
          </w:p>
        </w:tc>
      </w:tr>
      <w:tr>
        <w:tc>
          <w:tcPr>
            <w:tcW w:type="dxa" w:w="5040"/>
            <w:vAlign w:val="top"/>
          </w:tcPr>
          <w:p>
            <w:r>
              <w:t>Batch Size / Queue Policy</w:t>
            </w:r>
          </w:p>
        </w:tc>
        <w:tc>
          <w:tcPr>
            <w:tcW w:type="dxa" w:w="5040"/>
            <w:vAlign w:val="top"/>
          </w:tcPr>
          <w:p>
            <w:r>
              <w:t>Operations Specification</w:t>
            </w:r>
          </w:p>
        </w:tc>
      </w:tr>
      <w:tr>
        <w:tc>
          <w:tcPr>
            <w:tcW w:type="dxa" w:w="5040"/>
            <w:vAlign w:val="top"/>
          </w:tcPr>
          <w:p>
            <w:r>
              <w:t>Priority Wake-up Trigger / Threshold</w:t>
            </w:r>
          </w:p>
        </w:tc>
        <w:tc>
          <w:tcPr>
            <w:tcW w:type="dxa" w:w="5040"/>
            <w:vAlign w:val="top"/>
          </w:tcPr>
          <w:p>
            <w:r>
              <w:t>Operations Specification</w:t>
            </w:r>
          </w:p>
        </w:tc>
      </w:tr>
      <w:tr>
        <w:tc>
          <w:tcPr>
            <w:tcW w:type="dxa" w:w="5040"/>
            <w:vAlign w:val="top"/>
          </w:tcPr>
          <w:p>
            <w:r>
              <w:t>Token Budget / Daily Ceiling / Cost Alert</w:t>
            </w:r>
          </w:p>
        </w:tc>
        <w:tc>
          <w:tcPr>
            <w:tcW w:type="dxa" w:w="5040"/>
            <w:vAlign w:val="top"/>
          </w:tcPr>
          <w:p>
            <w:r>
              <w:t>Operations Specification</w:t>
            </w:r>
          </w:p>
        </w:tc>
      </w:tr>
      <w:tr>
        <w:tc>
          <w:tcPr>
            <w:tcW w:type="dxa" w:w="5040"/>
            <w:vAlign w:val="top"/>
          </w:tcPr>
          <w:p>
            <w:r>
              <w:t>資料集實際完整歷史起點</w:t>
            </w:r>
          </w:p>
        </w:tc>
        <w:tc>
          <w:tcPr>
            <w:tcW w:type="dxa" w:w="5040"/>
            <w:vAlign w:val="top"/>
          </w:tcPr>
          <w:p>
            <w:r>
              <w:t>Data Availability Audit / Technical Specification</w:t>
            </w:r>
          </w:p>
        </w:tc>
      </w:tr>
      <w:tr>
        <w:tc>
          <w:tcPr>
            <w:tcW w:type="dxa" w:w="5040"/>
            <w:vAlign w:val="top"/>
          </w:tcPr>
          <w:p>
            <w:r>
              <w:t>Confidence 精確權重／校準方式</w:t>
            </w:r>
          </w:p>
        </w:tc>
        <w:tc>
          <w:tcPr>
            <w:tcW w:type="dxa" w:w="5040"/>
            <w:vAlign w:val="top"/>
          </w:tcPr>
          <w:p>
            <w:r>
              <w:t>Phase 2 Model Calibration</w:t>
            </w:r>
          </w:p>
        </w:tc>
      </w:tr>
      <w:tr>
        <w:tc>
          <w:tcPr>
            <w:tcW w:type="dxa" w:w="5040"/>
            <w:vAlign w:val="top"/>
          </w:tcPr>
          <w:p>
            <w:r>
              <w:t>Materiality 精確權重／threshold 校準</w:t>
            </w:r>
          </w:p>
        </w:tc>
        <w:tc>
          <w:tcPr>
            <w:tcW w:type="dxa" w:w="5040"/>
            <w:vAlign w:val="top"/>
          </w:tcPr>
          <w:p>
            <w:r>
              <w:t>Phase 2 Model Calibration</w:t>
            </w:r>
          </w:p>
        </w:tc>
      </w:tr>
      <w:tr>
        <w:tc>
          <w:tcPr>
            <w:tcW w:type="dxa" w:w="5040"/>
            <w:vAlign w:val="top"/>
          </w:tcPr>
          <w:p>
            <w:r>
              <w:t>Seco / CMI 統計校準後新權重</w:t>
            </w:r>
          </w:p>
        </w:tc>
        <w:tc>
          <w:tcPr>
            <w:tcW w:type="dxa" w:w="5040"/>
            <w:vAlign w:val="top"/>
          </w:tcPr>
          <w:p>
            <w:r>
              <w:t>Phase 2；需新 Model Version</w:t>
            </w:r>
          </w:p>
        </w:tc>
      </w:tr>
    </w:tbl>
    <w:p>
      <w:pPr>
        <w:pStyle w:val="Heading1"/>
      </w:pPr>
      <w:r>
        <w:t>30. Explicit Non-Assumptions</w:t>
      </w:r>
    </w:p>
    <w:p>
      <w:pPr>
        <w:pStyle w:val="ListBullet"/>
      </w:pPr>
      <w:r>
        <w:t>不得假設所有 Source 都有 occurred_at、published_at 或 market_known_at。</w:t>
      </w:r>
    </w:p>
    <w:p>
      <w:pPr>
        <w:pStyle w:val="ListBullet"/>
      </w:pPr>
      <w:r>
        <w:t>不得假設 retrieved_at 等於市場首次知道時間。</w:t>
      </w:r>
    </w:p>
    <w:p>
      <w:pPr>
        <w:pStyle w:val="ListBullet"/>
      </w:pPr>
      <w:r>
        <w:t>不得假設新聞提及等於供應鏈 Confirmed。</w:t>
      </w:r>
    </w:p>
    <w:p>
      <w:pPr>
        <w:pStyle w:val="ListBullet"/>
      </w:pPr>
      <w:r>
        <w:t>不得假設匿名客戶可由 AI 自動具名。</w:t>
      </w:r>
    </w:p>
    <w:p>
      <w:pPr>
        <w:pStyle w:val="ListBullet"/>
      </w:pPr>
      <w:r>
        <w:t>不得假設 S1 Source 的所有 Claim 都必然正確；仍需 Directness、Time、Specificity 與 Conflict 檢查。</w:t>
      </w:r>
    </w:p>
    <w:p>
      <w:pPr>
        <w:pStyle w:val="ListBullet"/>
      </w:pPr>
      <w:r>
        <w:t>不得假設 Event 高 Materiality 就等於高 Truth Confidence。</w:t>
      </w:r>
    </w:p>
    <w:p>
      <w:pPr>
        <w:pStyle w:val="ListBullet"/>
      </w:pPr>
      <w:r>
        <w:t>不得假設 Seco、CMI、AR/CAR 直接構成投資建議。</w:t>
      </w:r>
    </w:p>
    <w:p>
      <w:pPr>
        <w:pStyle w:val="ListBullet"/>
      </w:pPr>
      <w:r>
        <w:t>不得假設 Phase 3 代表 AI 可自行核准或外部發布。</w:t>
      </w:r>
    </w:p>
    <w:p>
      <w:pPr>
        <w:pStyle w:val="ListBullet"/>
      </w:pPr>
      <w:r>
        <w:t>不得假設 23:00／06:00 已成為正式排程。</w:t>
      </w:r>
    </w:p>
    <w:p>
      <w:pPr>
        <w:pStyle w:val="ListBullet"/>
      </w:pPr>
      <w:r>
        <w:t>不得假設 Work 或 Codex 有權重寫 Frozen Charter。</w:t>
      </w:r>
    </w:p>
    <w:p>
      <w:pPr>
        <w:pStyle w:val="Heading1"/>
      </w:pPr>
      <w:r>
        <w:t>31. Change Control</w:t>
      </w:r>
    </w:p>
    <w:p>
      <w:r>
        <w:rPr>
          <w:b w:val="0"/>
          <w:i w:val="0"/>
        </w:rPr>
        <w:t>任何影響 Universe、Taxonomy、Evidence Stage、Source Tier、Relationship Confirmation、Seco、CMI、Event Timing、Event Window、Confidence、CFL、Publication Policy 或 Agent Autonomy 的重大變更，必須提交 Change Request，說明原因、影響、向後相容性、資料重算需求與驗收方式。</w:t>
      </w:r>
    </w:p>
    <w:p>
      <w:r>
        <w:rPr>
          <w:b w:val="0"/>
          <w:i w:val="0"/>
        </w:rPr>
        <w:t>小幅且不改變研究契約的調整可升版為 V1.1；改變核心研究邏輯、模型定義或治理邊界者應升版為 V2.0。不得覆寫 V1.0 歷史文件。</w:t>
      </w:r>
    </w:p>
    <w:p>
      <w:pPr>
        <w:pStyle w:val="Heading1"/>
      </w:pPr>
      <w:r>
        <w:t>32. Work-1 Handoff Contract</w:t>
      </w:r>
    </w:p>
    <w:p>
      <w:r>
        <w:rPr>
          <w:b w:val="0"/>
          <w:i w:val="0"/>
        </w:rPr>
        <w:t>Work-1 的任務是把本 Charter 工程化為 Technical Specification Baseline V1，而不是重新定義研究需求。Work-1 必須逐項對應 CF、GP、Scope、Objects、CFL、Point-in-Time、Versioning、Auditability 與 Deferred Items，並產生可供 Work-2 Contract Freeze 的技術基線。</w:t>
      </w:r>
    </w:p>
    <w:p>
      <w:r>
        <w:rPr>
          <w:b w:val="0"/>
          <w:i w:val="0"/>
        </w:rPr>
        <w:t>Work-1 可以提出 Technical Question / Risk / Alternative，但不得靜默修改 Frozen Decision。若技術限制迫使研究契約變更，必須回到 Charter Change Control。</w:t>
      </w:r>
    </w:p>
    <w:p>
      <w:r>
        <w:rPr>
          <w:b w:val="0"/>
          <w:i w:val="0"/>
        </w:rPr>
        <w:t>建議後續管線：Chat Charter Freeze V1.0 → Work-1 Technical Specification Baseline V1 → Work-2 Contract Freeze → Work-3 Implementation Blueprint + Acceptance Criteria → AGENTS.md → Codex Phase 1 Repository/Contracts/Skeleton/Tests → Codex Phase 2 Module Implementation/Integration/Verification。</w:t>
      </w:r>
    </w:p>
    <w:p>
      <w:pPr>
        <w:pStyle w:val="Heading1"/>
      </w:pPr>
      <w:r>
        <w:t>33. Final Freeze Statement</w:t>
      </w:r>
    </w:p>
    <w:p>
      <w:r>
        <w:rPr>
          <w:b w:val="0"/>
          <w:i w:val="0"/>
        </w:rPr>
        <w:t>截至 V1.0，OQ-01～OQ-30 已完成決策或明確 Deferred。CF-01～CF-46（含 CF-21A 與修正版 CF-34R）以及 GP-01～GP-21 構成 CPO AI 的正式研究與治理基準。</w:t>
      </w:r>
    </w:p>
    <w:p>
      <w:r>
        <w:rPr>
          <w:b w:val="0"/>
          <w:i w:val="0"/>
        </w:rPr>
        <w:t>本 Charter Freeze 的最高原則為：Evidence-first、Point-in-Time、No Future Data、Versioned Research、Risk-based Autonomy、Human Authority for High-risk Decisions，以及 Deterministic First / AI When Needed。</w:t>
      </w:r>
    </w:p>
    <w:p>
      <w:r>
        <w:rPr>
          <w:b/>
          <w:i w:val="0"/>
        </w:rPr>
        <w:t>批准本文件後，下一個正式 Gate 為 Work-1 — Technical Specification Baseline V1。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CPO AI Project Charter Freeze V1.0  |  FROZEN  |  2026-09-05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