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00"/>
        <w:jc w:val="center"/>
      </w:pPr>
      <w:r>
        <w:rPr>
          <w:rFonts w:ascii="Microsoft JhengHei" w:cs="Microsoft JhengHei" w:eastAsia="Microsoft JhengHei" w:hAnsi="Microsoft JhengHei"/>
          <w:color w:val="595959"/>
          <w:sz w:val="24"/>
          <w:szCs w:val="24"/>
        </w:rPr>
        <w:t xml:space="preserve">CPO AI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台灣 CPO／矽光子產業情報、公司事件、生態系卡位與市值重估 AI Agent System</w:t>
      </w:r>
    </w:p>
    <w:p>
      <w:pPr>
        <w:spacing w:after="160" w:befor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5F"/>
          <w:sz w:val="38"/>
          <w:szCs w:val="38"/>
        </w:rPr>
        <w:t xml:space="preserve">WORK-3 — IMPLEMENTATION BLUEPRINT</w:t>
      </w:r>
    </w:p>
    <w:p>
      <w:pPr>
        <w:spacing w:after="300"/>
        <w:jc w:val="center"/>
      </w:pPr>
      <w:r>
        <w:rPr>
          <w:rFonts w:ascii="Microsoft JhengHei" w:cs="Microsoft JhengHei" w:eastAsia="Microsoft JhengHei" w:hAnsi="Microsoft JhengHei"/>
          <w:color w:val="595959"/>
          <w:sz w:val="22"/>
          <w:szCs w:val="22"/>
        </w:rPr>
        <w:t xml:space="preserve">Dependency DAG／WBS／Acceptance Criteria／技術選型決議／CLAUDE.md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Status: DRAFT（待 Research Director／Executive User 驗收）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Upstream: CPO AI Work-2 Contract Freeze V1.0；Work-1 Technical Specification Baseline V1；Project Charter Freeze V1.0（FROZEN）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版本：V1.0　　日期：2026-09-10　　Next Gate: Claude Code-1 — Repository Foundation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0. 文件控制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文件名稱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 AI Work-3 Implementation Blueprint + Acceptance Criteria V1.0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文件性質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把 Work-2 已凍結之 Data／Event／API／CFL／Agent Contract 轉譯為可交棒 Claude Code 的工程工作包；不產出程式碼、不建立 repository skeleton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版本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V1.0（Draft for Implementation Blueprint）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狀態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DRAFT — 待 Research Director／Executive User 驗收後方可進入 Claude Code-1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上游來源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CPO AI Work-2 Contract Freeze V1.0（2026-09-10）；Work-1 Technical Specification Baseline V1；Project Charter Freeze V1.0（FROZEN，2026-09-05）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隨附文件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CLAUDE.md（另立檔案，供 Claude Code 開啟 repository 時讀取）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下游動作</w:t>
            </w:r>
          </w:p>
        </w:tc>
        <w:tc>
          <w:tcPr>
            <w:tcW w:type="dxa" w:w="7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Claude Code-1：建骨架、Schema、共用契約（只建 Foundation，不准一次寫完整系統）</w:t>
            </w:r>
          </w:p>
        </w:tc>
      </w:tr>
      <w:tr>
        <w:tc>
          <w:tcPr>
            <w:tcW w:type="dxa" w:w="22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變更原則</w:t>
            </w:r>
          </w:p>
        </w:tc>
        <w:tc>
          <w:tcPr>
            <w:tcW w:type="dxa" w:w="7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本文件不得靜默修改 Charter Frozen Decision（CF-01～46、GP-01～21）或 Work-2 已凍結之契約欄位；如需變更須回到 Charter §31 Change Control。</w:t>
            </w:r>
          </w:p>
        </w:tc>
      </w:tr>
    </w:tbl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1. 目的與範圍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本文件為 SOP 治理階段④（Projects-3 / Work-3）之產出。依 Work-2 §12 Handoff Contract 要求，須完成：Dependency DAG 與施工順序、WBS 工作包定義、ACCEPTANCE_TESTS.md、I04／I05 技術選型決議（TQ-02），以及 CLAUDE.md。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範圍內：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2 節：Dependency DAG 與十三批施工順序（對應 SOP 步驟 11 之通用順序，展開為 CPO AI 實際模組）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3 節：WBS 工作包定義（每批次 1–3 個高度相關模組，含輸入、輸出、驗收關卡）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4 節：Acceptance Tests 大綱（ACCEPTANCE_TESTS.md 內容）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5 節：I04（工作流程引擎）／I05（向量／語意儲存）技術選型決議（TQ-02）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 6 節：CLAUDE.md 定位與重點摘要（完整內容見隨附 CLAUDE.md 檔案）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範圍外：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實際程式碼與 repository 骨架（留待 Claude Code-1）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Wake-up Window、Batch 參數、Token Budget 等 Deferred Items（延續 Work-1 §8／Work-2 §9，本文件不解除該延遲決策）</w:t>
      </w:r>
    </w:p>
    <w:p>
      <w:pPr>
        <w:pBdr>
          <w:top w:val="single" w:color="E0A94A" w:sz="4"/>
          <w:bottom w:val="single" w:color="E0A94A" w:sz="4"/>
          <w:left w:val="single" w:color="E0A94A" w:sz="4"/>
          <w:right w:val="single" w:color="E0A94A" w:sz="4"/>
        </w:pBdr>
        <w:shd w:fill="FDF3E7" w:val="clear"/>
        <w:spacing w:after="200" w:before="120"/>
      </w:pPr>
      <w:r>
        <w:rPr>
          <w:rFonts w:ascii="Microsoft JhengHei" w:cs="Microsoft JhengHei" w:eastAsia="Microsoft JhengHei" w:hAnsi="Microsoft JhengHei"/>
          <w:i/>
          <w:iCs/>
          <w:color w:val="8A5A00"/>
          <w:sz w:val="20"/>
          <w:szCs w:val="20"/>
        </w:rPr>
        <w:t xml:space="preserve">【治理提醒】本文件是「規格→工程」之間最後一份治理文件。完成本文件並經驗收後，Claude Code 才可開始撰寫程式碼；且第一個 Claude Code 任務仍是「只讀規格、列出矛盾與缺口」，不是直接實作（SOP 步驟 10）。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2. Dependency DAG 與施工順序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SOP 步驟 11 建議之通用順序（Shared Contracts → 資料庫 → Source Registry → Ingestion → 知識庫 → 分析引擎 → Agent → 工作流程引擎 → API → UI → Reporting → Governance → Tests），展開為 CPO AI 十層模組之實際施工批次如下。每一批完成後須執行單元／整合／migration 測試與 lint／型別檢查，通過後才可 commit 並進入下一批。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5100"/>
        <w:gridCol w:w="1400"/>
      </w:tblGrid>
      <w:tr>
        <w:trPr>
          <w:tblHeader/>
        </w:trPr>
        <w:tc>
          <w:tcPr>
            <w:tcW w:type="dxa" w:w="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批次</w:t>
            </w:r>
          </w:p>
        </w:tc>
        <w:tc>
          <w:tcPr>
            <w:tcW w:type="dxa" w:w="1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5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涵蓋模組</w:t>
            </w:r>
          </w:p>
        </w:tc>
        <w:tc>
          <w:tcPr>
            <w:tcW w:type="dxa" w:w="1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依賴前置批次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B0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Shared Contracts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全部契約文件（DATA_MODEL／EVENT_CONTRACT／CFL_CONTRACT／API_SPEC／AGENT_SPEC）＋本文件 CLAUDE.md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無（治理文件，非程式碼）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資料庫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I01 關聯式資料庫、I02 物件／快照儲存（K01–K06 schema migration）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B0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Source Registry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D01–D08 來源登錄、P03 快照／版本控制器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Ingestion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P01 擷取器、P02 去重器、P04 時間標準化、P05 可信度評分器、P06 交易日對齊器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B2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B4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知識庫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K01 公司、K02 技術／Taxonomy、K03 產品、K04 關係、K05 事件、K06 證據；G04 版本註冊中心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B3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B5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分析引擎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M01 Evidence Stage、M02 Confidence、M03 Seco、M04 CMI、M05 Materiality、M06 事件窗口／AR-CAR、M07 PIT 市值、M08 穩健性檢核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B4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B6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A01 抽取、A02 分類、A03 關係／矛盾、A04 Seco/CMI 分析、A05 比較分析、A06 審查、A07 協調、A08 人工介接閘道；G02 自治權控制器、G05 RBAC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B5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B7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工作流程引擎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W01–W06（排程、佇列、Fan-out/Fan-in、每日管線、重試、Batch Parsing）；I04 部署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B6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B8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治理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CFL 規則引擎、G03 稽核日誌、G06 發布狀態機、G07 Change Control、G08 合規監控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B7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B9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API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U05 匯出／API 層；第 4 節端點清單全數實作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B8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B10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UI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U01 儀表板、U02 搜尋、U03 詳情頁、U04 人工審查主控台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B9</w:t>
            </w:r>
          </w:p>
        </w:tc>
      </w:tr>
      <w:tr>
        <w:tc>
          <w:tcPr>
            <w:tcW w:type="dxa" w:w="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B11</w:t>
            </w:r>
          </w:p>
        </w:tc>
        <w:tc>
          <w:tcPr>
            <w:tcW w:type="dxa" w:w="1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Reporting</w:t>
            </w:r>
          </w:p>
        </w:tc>
        <w:tc>
          <w:tcPr>
            <w:tcW w:type="dxa" w:w="5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R01–R06 全部報告輸出</w:t>
            </w:r>
          </w:p>
        </w:tc>
        <w:tc>
          <w:tcPr>
            <w:tcW w:type="dxa" w:w="1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B10</w:t>
            </w:r>
          </w:p>
        </w:tc>
      </w:tr>
      <w:tr>
        <w:tc>
          <w:tcPr>
            <w:tcW w:type="dxa" w:w="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B12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Tests／Hardening</w:t>
            </w:r>
          </w:p>
        </w:tc>
        <w:tc>
          <w:tcPr>
            <w:tcW w:type="dxa" w:w="5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跨模組整合測試、E2E 每日管線測試、CFL 全流程測試、負載與異常演練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B0–B11 全部完成</w:t>
            </w:r>
          </w:p>
        </w:tc>
      </w:tr>
    </w:tbl>
    <w:p>
      <w:pPr>
        <w:pBdr>
          <w:top w:val="single" w:color="E0A94A" w:sz="4"/>
          <w:bottom w:val="single" w:color="E0A94A" w:sz="4"/>
          <w:left w:val="single" w:color="E0A94A" w:sz="4"/>
          <w:right w:val="single" w:color="E0A94A" w:sz="4"/>
        </w:pBdr>
        <w:shd w:fill="FDF3E7" w:val="clear"/>
        <w:spacing w:after="200" w:before="120"/>
      </w:pPr>
      <w:r>
        <w:rPr>
          <w:rFonts w:ascii="Microsoft JhengHei" w:cs="Microsoft JhengHei" w:eastAsia="Microsoft JhengHei" w:hAnsi="Microsoft JhengHei"/>
          <w:i/>
          <w:iCs/>
          <w:color w:val="8A5A00"/>
          <w:sz w:val="20"/>
          <w:szCs w:val="20"/>
        </w:rPr>
        <w:t xml:space="preserve">【常見錯誤提醒】不建議從漂亮的 Dashboard（U01）開始施工，也不要一次同時開工超過 1–3 個高度相關模組（SOP 步驟 11）；I04 技術選型須先於 B7 前定案，見第 5 節。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3. WBS 工作包定義（Work Breakdown Structure）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每個 WBS 工作包對應第 2 節之批次，展開為「輸入（依賴之規格章節）／產出／驗收關卡」三欄，供 Claude Code 逐批領取任務。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800"/>
        <w:gridCol w:w="2900"/>
      </w:tblGrid>
      <w:tr>
        <w:trPr>
          <w:tblHeader/>
        </w:trPr>
        <w:tc>
          <w:tcPr>
            <w:tcW w:type="dxa" w:w="10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WBS</w:t>
            </w:r>
          </w:p>
        </w:tc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輸入（規格依據）</w:t>
            </w:r>
          </w:p>
        </w:tc>
        <w:tc>
          <w:tcPr>
            <w:tcW w:type="dxa" w:w="28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產出</w:t>
            </w:r>
          </w:p>
        </w:tc>
        <w:tc>
          <w:tcPr>
            <w:tcW w:type="dxa" w:w="29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驗收關卡（進入下一批前）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§2 DATA_MODEL.md（K01–K06 欄位）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K01–K06 資料表 migration、通用稽核欄位、G04 版本註冊表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Migration 測試通過；欄位命名與 DATA_MODEL.md 逐一比對無落差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WBS-B2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Work-1 §3.1 D01–D08；Work-2 §2.7 K06 source_id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來源登錄資料表、P03 快照／hash／版本控制器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任一來源可回溯至 content_hash 與 snapshot_ref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WBS-B3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§2.1 通用時間欄位；§3 Event Contract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P01–P06 擷取管線，輸出符合 Event Contract 欄位之標準化資料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缺失時間欄位保持 NULL（非猜測值）；交易日對齊規則測試通過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WBS-B4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§2.2–2.7 K01–K06 Schema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知識庫 CRUD／查詢層，含 Bitemporal（valid_from/valid_to）與 Event Revision Chain 實作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K05 Event 修正鏈測試：CORRECTED 不覆寫 ACTIVE 舊版本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WBS-B5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Work-1 §3.4 M01–M08；CF-05/12-30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Seco／CMI／Materiality／Confidence／AR-CAR／PIT 市值計算模組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M04 CMI 無 backward filling（GP-08）；M07 使用 PIT Shares Outstanding（CF-24）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WBS-B6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Work-1 §5 Autonomy L0–L4；Work-2 §6 AGENT_SPEC.md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A01–A08 Agent 實作、G02 自治權控制器、G05 RBAC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四權分離測試：任一 Agent 角色不得同時具 Evidence 與 Approval/Publication 權（GP-21）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WBS-B7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SOP 步驟 12；第 5 節 I04 決議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W01–W06 工作流程、Fan-out/Fan-in 編排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重試／逾時／Fan-in 匯流整合測試通過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WBS-B8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§5 CFL_CONTRACT.md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G01 CFL 狀態機、G03 稽核日誌、G06 發布狀態機、G07/G08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CFL-07 矛盾資料不得 Auto-pass；CFL-08 未核准不得進入 PUBLISHED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WBS-B9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§4 API_SPEC.yaml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U05／API 層，第 4.2 節端點全數實作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所有寫入 cfl_status 之端點皆經 G01；錯誤碼格式符合 4.3 節規範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WBS-B10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Work-1 §3.9 U01–U05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儀表板、搜尋、詳情頁、Admin 審查主控台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U04 可完整操作 CFL Queue 核准／駁回流程</w:t>
            </w:r>
          </w:p>
        </w:tc>
      </w:tr>
      <w:tr>
        <w:tc>
          <w:tcPr>
            <w:tcW w:type="dxa" w:w="1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WBS-B11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Work-1 §3.7 R01–R06</w:t>
            </w:r>
          </w:p>
        </w:tc>
        <w:tc>
          <w:tcPr>
            <w:tcW w:type="dxa" w:w="28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全部報告輸出（含 Internal Auto／Material Review／External Approval 三層）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R06 正式外部發布須先通過 CFL-08</w:t>
            </w:r>
          </w:p>
        </w:tc>
      </w:tr>
      <w:tr>
        <w:tc>
          <w:tcPr>
            <w:tcW w:type="dxa" w:w="10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WBS-B12</w:t>
            </w:r>
          </w:p>
        </w:tc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4 節 Acceptance Tests 全表</w:t>
            </w:r>
          </w:p>
        </w:tc>
        <w:tc>
          <w:tcPr>
            <w:tcW w:type="dxa" w:w="28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跨模組整合與 E2E 測試套件</w:t>
            </w:r>
          </w:p>
        </w:tc>
        <w:tc>
          <w:tcPr>
            <w:tcW w:type="dxa" w:w="29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4 節全部測項通過，回 Projects 進行 Acceptance（SOP 第四節）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4. Acceptance Tests 大綱（ACCEPTANCE_TESTS.md）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下列測項為每批交付與最終 Projects 驗收時之必要檢核，逐項對應 Work-1／Work-2 之 CF／GP 與契約章節，作為 ACCEPTANCE_TESTS.md 之骨架。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100"/>
      </w:tblGrid>
      <w:tr>
        <w:trPr>
          <w:tblHeader/>
        </w:trPr>
        <w:tc>
          <w:tcPr>
            <w:tcW w:type="dxa" w:w="1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測項編號</w:t>
            </w:r>
          </w:p>
        </w:tc>
        <w:tc>
          <w:tcPr>
            <w:tcW w:type="dxa" w:w="5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測試內容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TEST-DATA-01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K01–K06 各實體之欄位命名、型別與 DATA_MODEL.md 完全一致，無同義異名欄位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§2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TEST-DATA-02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缺失之 occurred_at／published_at／market_known_at 等時間欄位保持 NULL，未被虛假精度填補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CF-21；GP-07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TEST-EVENT-01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事件狀態機僅能依 DISCOVERED→…→PUBLISHED 順序推進，非法跳轉須被拒絕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§3.2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TEST-EVENT-02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K05 Event 為 Immutable：CORRECTED／SUPERSEDED 狀態變更以新 revision 寫入，不覆寫原始事件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CF-35/36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TEST-CFL-01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CFL-07 矛盾資料（CONTRADICT Evidence）不得被系統自動核准（Auto-pass）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§5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TEST-CFL-02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CFL-08 未通過人工核准前，事件無法進入 PUBLISHED 狀態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CF-33；G06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TEST-CFL-03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任一模組嘗試繞過 G01 直接寫入 cfl_status 須被拒絕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§5.2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TEST-RBAC-01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任一 Agent／使用者角色不得同時擁有 Evidence 寫入與 Approval／Publication 權限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GP-21；G02/G05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TEST-CMI-01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M04 CMI 計算不得使用尚未達 availability time 的未來資料（No Future Data）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GP-08；CF-26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TEST-PIT-01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M07 市值計算使用對應時間點之 Point-in-Time Shares Outstanding，而非目前最新值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CF-24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TEST-VER-01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Seco／CMI／Materiality／Confidence 任一模型權重變更須產生新 Model Version，不得覆寫既有結果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GP-10；G04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TEST-EVID-01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Evidence 之 evidence_type（SUPPORT／CONTRADICT／NEUTRAL-CONTEXT）與 source_credibility_tier（S1–S5）皆有值且可追溯至 content_hash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CF-07/08/11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TEST-WF-01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W05 重試／逾時工作流：模擬下游失敗後可正確重試且不重複寫入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Charter §22 Auditability</w:t>
            </w:r>
          </w:p>
        </w:tc>
      </w:tr>
      <w:tr>
        <w:tc>
          <w:tcPr>
            <w:tcW w:type="dxa" w:w="1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TEST-API-01</w:t>
            </w:r>
          </w:p>
        </w:tc>
        <w:tc>
          <w:tcPr>
            <w:tcW w:type="dxa" w:w="5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第 4.2 節所列端點回應皆含 version 與 cfl_status 欄位；4xx 錯誤含統一 error_code 格式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Work-2 §4</w:t>
            </w:r>
          </w:p>
        </w:tc>
      </w:tr>
      <w:tr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TEST-E2E-01</w:t>
            </w:r>
          </w:p>
        </w:tc>
        <w:tc>
          <w:tcPr>
            <w:tcW w:type="dxa" w:w="5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完整跑一次每日研究管線（Discover→…→Publish），Completion Report 與各測項結果一併送回 Projects 驗收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SOP 第四節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 I04／I05 技術選型決議（TQ-02）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Work-1 §9 TQ-02 指出 2026-08-28 參考文件建議之工作流程引擎與向量儲存屬技術參考而非 Frozen Decision，須於 Work-3 正式選型。以下為建議決議，仍待團隊技術能力與成本最終確認後生效。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5.1 I04：工作流程引擎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1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3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優點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疑慮／成本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Temporal（自架或 Temporal Cloud）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原生支援 Fan-out／Fan-in、長時間執行、重試與版本化 Workflow，與 W01–W06 需求高度吻合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學習曲線較高；自架需額外維運人力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Apache Airflow</w:t>
            </w:r>
          </w:p>
        </w:tc>
        <w:tc>
          <w:tcPr>
            <w:tcW w:type="dxa" w:w="3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團隊熟悉度可能較高、生態成熟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偏批次排程設計，長時間人工核准等待（CFL Review）與動態 Fan-out 支援較弱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AWS Step Functions（或等效雲端服務）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免自架維運，與雲端資源整合快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廠商綁定；複雜分支邏輯之維護成本較高</w:t>
            </w:r>
          </w:p>
        </w:tc>
      </w:tr>
    </w:tbl>
    <w:p>
      <w:pPr>
        <w:pBdr>
          <w:top w:val="single" w:color="3F7A5C" w:sz="4"/>
          <w:bottom w:val="single" w:color="3F7A5C" w:sz="4"/>
          <w:left w:val="single" w:color="3F7A5C" w:sz="4"/>
          <w:right w:val="single" w:color="3F7A5C" w:sz="4"/>
        </w:pBdr>
        <w:shd w:fill="E8F0EC" w:val="clear"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244C39"/>
          <w:sz w:val="20"/>
          <w:szCs w:val="20"/>
        </w:rPr>
        <w:t xml:space="preserve">【決議】I04 建議採用 Temporal 作為工作流程引擎，理由：W03 Fan-out／Fan-in、W05 重試／逾時、W06 Batch AI Parsing 三者皆需要原生的長時間執行與版本化工作流支援，Temporal 最貼合此需求；若團隊評估自架維運成本過高，可改用 Temporal Cloud 託管版本，介面與程式碼不需變更。此決議待技術團隊於 Claude Code-1 開工前最終確認。</w:t>
      </w:r>
    </w:p>
    <w:p>
      <w:pPr>
        <w:pStyle w:val="Heading2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5.2 I05：向量／語意儲存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2100"/>
      </w:tblGrid>
      <w:tr>
        <w:trPr>
          <w:tblHeader/>
        </w:trPr>
        <w:tc>
          <w:tcPr>
            <w:tcW w:type="dxa" w:w="26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方案</w:t>
            </w:r>
          </w:p>
        </w:tc>
        <w:tc>
          <w:tcPr>
            <w:tcW w:type="dxa" w:w="34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優點</w:t>
            </w:r>
          </w:p>
        </w:tc>
        <w:tc>
          <w:tcPr>
            <w:tcW w:type="dxa" w:w="2100"/>
            <w:shd w:fill="1F4E5F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疑慮／成本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pgvector（PostgreSQL 擴充套件）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與 I01 關聯式資料庫共用同一套維運，降低基礎設施複雜度，V1 資料量下效能足夠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極大規模語意檢索時效能不如專用向量資料庫</w:t>
            </w:r>
          </w:p>
        </w:tc>
      </w:tr>
      <w:tr>
        <w:tc>
          <w:tcPr>
            <w:tcW w:type="dxa" w:w="26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Pinecone／Weaviate／Milvus（專用向量資料庫）</w:t>
            </w:r>
          </w:p>
        </w:tc>
        <w:tc>
          <w:tcPr>
            <w:tcW w:type="dxa" w:w="34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檢索效能與擴充性佳</w:t>
            </w:r>
          </w:p>
        </w:tc>
        <w:tc>
          <w:tcPr>
            <w:tcW w:type="dxa" w:w="2100"/>
            <w:shd w:fill="F5F8F9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新增一套需維運的基礎設施，V1 階段成本效益不明顯</w:t>
            </w:r>
          </w:p>
        </w:tc>
      </w:tr>
    </w:tbl>
    <w:p>
      <w:pPr>
        <w:pBdr>
          <w:top w:val="single" w:color="3F7A5C" w:sz="4"/>
          <w:bottom w:val="single" w:color="3F7A5C" w:sz="4"/>
          <w:left w:val="single" w:color="3F7A5C" w:sz="4"/>
          <w:right w:val="single" w:color="3F7A5C" w:sz="4"/>
        </w:pBdr>
        <w:shd w:fill="E8F0EC" w:val="clear"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244C39"/>
          <w:sz w:val="20"/>
          <w:szCs w:val="20"/>
        </w:rPr>
        <w:t xml:space="preserve">【決議】I05 建議 V1 採用 pgvector，供 P02 去重與 K04 關係／實體語意相似度比對使用；待資料量與查詢量成長至專用向量資料庫效益明確時，再評估遷移（不影響上層 Data／Event Contract）。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i/>
          <w:iCs/>
          <w:sz w:val="22"/>
          <w:szCs w:val="22"/>
        </w:rPr>
        <w:t xml:space="preserve">以上兩項決議回應 Work-1 TQ-02，不構成 Charter Frozen Decision 之變更，僅為 Work-3 階段之工程實作選型。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6. CLAUDE.md 定位與重點摘要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CLAUDE.md 是 Claude Code 開啟 repository 時主動讀取的工作邊界文件，完整內容另立檔案（CLAUDE.md）隨附提供，需與 Work-1／Work-2 規格文件一併放入 /docs 目錄。其重點摘要如下：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允許操作：依規格實作模組、撰寫並執行測試、建立可回溯之 migration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明確禁止：修改已凍結契約文件、刪除既有 migration、跳過測試、繞過 G01 CFL 狀態機、違反四權分離（GP-21）、CMI 使用未來資料（GP-08）、覆寫既有 Model Version（GP-10）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分批施工規則：一次僅實作第 2 節所定義之 1 個批次（1–3 個高度相關模組），完成後才進入下一批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何時必須停下詢問人類：規格文件間出現矛盾、CFL 判定為 REVIEW-REQUIRED／BLOCKED、任何觸及 Frozen Decision（CF/GP）變更之情形</w:t>
      </w:r>
    </w:p>
    <w:p>
      <w:pPr>
        <w:pBdr>
          <w:top w:val="single" w:color="E0A94A" w:sz="4"/>
          <w:bottom w:val="single" w:color="E0A94A" w:sz="4"/>
          <w:left w:val="single" w:color="E0A94A" w:sz="4"/>
          <w:right w:val="single" w:color="E0A94A" w:sz="4"/>
        </w:pBdr>
        <w:shd w:fill="FDF3E7" w:val="clear"/>
        <w:spacing w:after="200" w:before="120"/>
      </w:pPr>
      <w:r>
        <w:rPr>
          <w:rFonts w:ascii="Microsoft JhengHei" w:cs="Microsoft JhengHei" w:eastAsia="Microsoft JhengHei" w:hAnsi="Microsoft JhengHei"/>
          <w:i/>
          <w:iCs/>
          <w:color w:val="8A5A00"/>
          <w:sz w:val="20"/>
          <w:szCs w:val="20"/>
        </w:rPr>
        <w:t xml:space="preserve">【檔案位置提醒】完整版 CLAUDE.md 請見隨附檔案，於 Claude Code-1 開工前，需與本文件、Work-1、Work-2 一併放入 repository 之 /docs 目錄（SOP 步驟 9）。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7. Work-3 驗收標準（Acceptance Criteria）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Dependency DAG（第 2 節）涵蓋 Work-1 十層模組全數，批次順序符合 SOP 步驟 11 通用原則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WBS 工作包（第 3 節）每批次皆有明確輸入、產出與驗收關卡，且批次規模為 1–3 個高度相關模組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Acceptance Tests（第 4 節）逐一對應 Work-1／Work-2 之 CF／GP 與契約章節，涵蓋 Data／Event／CFL／RBAC／API 各面向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I04／I05 技術選型決議（第 5 節）已提出並說明理由，不構成 Frozen Decision 變更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CLAUDE.md（隨附檔案）已涵蓋允許／禁止操作、分批施工規則與人工介入時機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本文件與隨附 CLAUDE.md 未產出任何 business code 或 repository 骨架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 Research Director／Executive User 依本標準審閱通過後，方可進入 Claude Code-1</w:t>
      </w:r>
    </w:p>
    <w:p>
      <w:pPr>
        <w:pStyle w:val="Heading1"/>
        <w:spacing w:after="160" w:before="320"/>
      </w:pPr>
      <w:r>
        <w:rPr>
          <w:rFonts w:ascii="Microsoft JhengHei" w:cs="Microsoft JhengHei" w:eastAsia="Microsoft JhengHei" w:hAnsi="Microsoft JhengHei"/>
          <w:b/>
          <w:bCs/>
        </w:rPr>
        <w:t xml:space="preserve">8. Claude Code-1 Handoff（下一步）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SOP 步驟 9、10，Claude Code-1 之首要任務並非直接實作，而是：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先將 /docs 全部規格文件（Charter、Work-1、Work-2、本文件、CLAUDE.md）放入 repository，不進行任何程式碼撰寫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第一個任務指令：讀取 /docs 全部規格，不修改任何檔案；列出模組依賴圖、實作順序、規格矛盾、缺少的 environment variables、外部 API 與 database migration；確認後再開始 implementation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確認無矛盾後，依第 2 節批次順序，從 WBS-B1（資料庫／Shared Contracts 落地）開始，只建立 Foundation，不准一次寫完整系統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i/>
          <w:iCs/>
          <w:sz w:val="22"/>
          <w:szCs w:val="22"/>
        </w:rPr>
        <w:t xml:space="preserve">本文件為 Work-3 草稿，待驗收通過後方可進入 Claude Code-1 — Repository Foundation。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2026-09-10T13:04:27.588Z</dcterms:created>
  <dcterms:modified xsi:type="dcterms:W3CDTF">2026-09-10T13:04:27.600Z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