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1F497D"/>
          <w:sz w:val="36"/>
          <w:szCs w:val="36"/>
        </w:rPr>
        <w:t xml:space="preserve">風專筆試複習30題 — 20260513</w:t>
      </w:r>
    </w:p>
    <w:p>
      <w:pPr>
        <w:spacing w:after="300" w:before="0"/>
        <w:jc w:val="center"/>
      </w:pPr>
      <w:r>
        <w:rPr>
          <w:i/>
          <w:iCs/>
          <w:color w:val="595959"/>
          <w:sz w:val="20"/>
          <w:szCs w:val="20"/>
        </w:rPr>
        <w:t xml:space="preserve">依 2019–2024 六年考古題出題比例選題（~600題統計）</w:t>
      </w: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基礎免疫學（2題）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Q1（2022 考古）</w:t>
      </w:r>
    </w:p>
    <w:p>
      <w:pPr>
        <w:spacing w:after="60" w:before="0"/>
      </w:pPr>
      <w:r>
        <w:rPr>
          <w:sz w:val="22"/>
          <w:szCs w:val="22"/>
        </w:rPr>
        <w:t xml:space="preserve">關於T細胞亞群與其主要分泌細胞激素的配對，以下何者</w:t>
      </w:r>
      <w:r>
        <w:rPr>
          <w:b/>
          <w:bCs/>
          <w:sz w:val="22"/>
          <w:szCs w:val="22"/>
        </w:rPr>
        <w:t xml:space="preserve">錯誤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Th1 → IFN-γ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Th2 → IL-4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Tfh → IL-17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Treg → TGF-β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Q2（2024 考古）</w:t>
      </w:r>
    </w:p>
    <w:p>
      <w:pPr>
        <w:spacing w:after="60" w:before="0"/>
      </w:pPr>
      <w:r>
        <w:rPr>
          <w:sz w:val="22"/>
          <w:szCs w:val="22"/>
        </w:rPr>
        <w:t xml:space="preserve">下列哪個細胞激素</w:t>
      </w:r>
      <w:r>
        <w:rPr>
          <w:b/>
          <w:bCs/>
          <w:sz w:val="22"/>
          <w:szCs w:val="22"/>
        </w:rPr>
        <w:t xml:space="preserve">不會</w:t>
      </w:r>
      <w:r>
        <w:rPr>
          <w:sz w:val="22"/>
          <w:szCs w:val="22"/>
        </w:rPr>
        <w:t xml:space="preserve">透過JAK1 / JAK2訊號路徑進行傳遞？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IL-2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IL-5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TNF-α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IL-10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SLE / Lupus Nephritis / APS（3題）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Q3（2023 考古）</w:t>
      </w:r>
    </w:p>
    <w:p>
      <w:pPr>
        <w:spacing w:after="60" w:before="0"/>
      </w:pPr>
      <w:r>
        <w:rPr>
          <w:sz w:val="22"/>
          <w:szCs w:val="22"/>
        </w:rPr>
        <w:t xml:space="preserve">20歲女性，出現發燒、WBC 2,500/μL、Hb 8 g/dL（直接Coombs試驗陽性）、血小板 8,000/μL，其餘檢查皆正常。依2019 ACR/EULAR SLE分類標準，以下何者</w:t>
      </w:r>
      <w:r>
        <w:rPr>
          <w:b/>
          <w:bCs/>
          <w:sz w:val="22"/>
          <w:szCs w:val="22"/>
        </w:rPr>
        <w:t xml:space="preserve">正確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13分，符合SLE診斷標準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13分，不符合SLE診斷標準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6分，符合SLE診斷標準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6分，不符合SLE診斷標準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Q4（2024 考古）</w:t>
      </w:r>
    </w:p>
    <w:p>
      <w:pPr>
        <w:spacing w:after="60" w:before="0"/>
      </w:pPr>
      <w:r>
        <w:rPr>
          <w:sz w:val="22"/>
          <w:szCs w:val="22"/>
        </w:rPr>
        <w:t xml:space="preserve">關於狼瘡性腎炎（Lupus Nephritis），以下何者</w:t>
      </w:r>
      <w:r>
        <w:rPr>
          <w:b/>
          <w:bCs/>
          <w:sz w:val="22"/>
          <w:szCs w:val="22"/>
        </w:rPr>
        <w:t xml:space="preserve">正確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若每日蛋白尿達0.5 g，不需腎切片即可直接分類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尿液檢查不一定出現血尿或管型（cast）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Class IV LN定義為超過50%腎小球出現瀰漫性病變（diffuse）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Creatinine是追蹤LN活性最可靠的指標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Q5（2024 考古）</w:t>
      </w:r>
    </w:p>
    <w:p>
      <w:pPr>
        <w:spacing w:after="60" w:before="0"/>
      </w:pPr>
      <w:r>
        <w:rPr>
          <w:sz w:val="22"/>
          <w:szCs w:val="22"/>
        </w:rPr>
        <w:t xml:space="preserve">40歲女性，SLE多年，長期使用類固醇10–40 mg/d，一個月內漸進性呼吸困難，理學檢查P2亢進、雙側下肢水腫，後突然猝死。以下何項最可能是導致猝死的原因？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心臟超音波顯示 RVSP 60 mmHg（符合重度肺高壓）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HRCT顯示肺間質纖維化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UPCR 20 g/g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Anti-ribosomal P 抗體陽性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SpA / AS / PsA（3題）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Q6（2024 考古）</w:t>
      </w:r>
    </w:p>
    <w:p>
      <w:pPr>
        <w:spacing w:after="60" w:before="0"/>
      </w:pPr>
      <w:r>
        <w:rPr>
          <w:sz w:val="22"/>
          <w:szCs w:val="22"/>
        </w:rPr>
        <w:t xml:space="preserve">關於中軸型脊椎關節炎（Axial SpA），以下何者</w:t>
      </w:r>
      <w:r>
        <w:rPr>
          <w:b/>
          <w:bCs/>
          <w:sz w:val="22"/>
          <w:szCs w:val="22"/>
        </w:rPr>
        <w:t xml:space="preserve">錯誤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不建議以全身性類固醇作為主要治療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mSASS評分宜每年追蹤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可使用BASFI評估疾病活性程度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NSAID是中軸SpA的首選藥物治療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Q7（2024 考古）</w:t>
      </w:r>
    </w:p>
    <w:p>
      <w:pPr>
        <w:spacing w:after="60" w:before="0"/>
      </w:pPr>
      <w:r>
        <w:rPr>
          <w:sz w:val="22"/>
          <w:szCs w:val="22"/>
        </w:rPr>
        <w:t xml:space="preserve">中年男性，診斷乾癬性關節炎（PsA），且有長期抽菸史，請問以下何種生物製劑</w:t>
      </w:r>
      <w:r>
        <w:rPr>
          <w:b/>
          <w:bCs/>
          <w:sz w:val="22"/>
          <w:szCs w:val="22"/>
        </w:rPr>
        <w:t xml:space="preserve">最適合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TNFi（如 adalimumab）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IL-17i（如 secukinumab）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IL-23i（如 guselkumab）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JAKi（如 tofacitinib）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Q8（2021/2023 考古）</w:t>
      </w:r>
    </w:p>
    <w:p>
      <w:pPr>
        <w:spacing w:after="60" w:before="0"/>
      </w:pPr>
      <w:r>
        <w:rPr>
          <w:sz w:val="22"/>
          <w:szCs w:val="22"/>
        </w:rPr>
        <w:t xml:space="preserve">關於脊椎關節炎（SpA）的診斷特徵，以下何者</w:t>
      </w:r>
      <w:r>
        <w:rPr>
          <w:b/>
          <w:bCs/>
          <w:sz w:val="22"/>
          <w:szCs w:val="22"/>
        </w:rPr>
        <w:t xml:space="preserve">不是</w:t>
      </w:r>
      <w:r>
        <w:rPr>
          <w:sz w:val="22"/>
          <w:szCs w:val="22"/>
        </w:rPr>
        <w:t xml:space="preserve">SpA的典型表現？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炎性下背痛（inflammatory back pain）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HLA-B27陽性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服用NSAID後症狀顯著改善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服用NSAID後症狀</w:t>
      </w:r>
      <w:r>
        <w:rPr>
          <w:b/>
          <w:bCs/>
          <w:sz w:val="22"/>
          <w:szCs w:val="22"/>
        </w:rPr>
        <w:t xml:space="preserve">無明顯反應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類風濕性關節炎（RA）（3題）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Q9（2023 考古）</w:t>
      </w:r>
    </w:p>
    <w:p>
      <w:pPr>
        <w:spacing w:after="60" w:before="0"/>
      </w:pPr>
      <w:r>
        <w:rPr>
          <w:sz w:val="22"/>
          <w:szCs w:val="22"/>
        </w:rPr>
        <w:t xml:space="preserve">Carbamylated protein的post-translational modification，是將哪個胺基酸轉化為哪個胺基酸？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Arginine → Citrulline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Lysine → Homocitrulline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Glutamine → Asparagine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Tyrosine → Phosphotyrosine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Q10（2023 考古）</w:t>
      </w:r>
    </w:p>
    <w:p>
      <w:pPr>
        <w:spacing w:after="60" w:before="0"/>
      </w:pPr>
      <w:r>
        <w:rPr>
          <w:sz w:val="22"/>
          <w:szCs w:val="22"/>
        </w:rPr>
        <w:t xml:space="preserve">一位RA患者，血清Creatinine 1.6 mg/dL，下列哪種DMARD最</w:t>
      </w:r>
      <w:r>
        <w:rPr>
          <w:b/>
          <w:bCs/>
          <w:sz w:val="22"/>
          <w:szCs w:val="22"/>
        </w:rPr>
        <w:t xml:space="preserve">不適合</w:t>
      </w:r>
      <w:r>
        <w:rPr>
          <w:sz w:val="22"/>
          <w:szCs w:val="22"/>
        </w:rPr>
        <w:t xml:space="preserve">使用？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Leflunomide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Methotrexate（MTX）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低劑量類固醇（Glucocorticoids）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TNF抑制劑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Q11（2020 考古）</w:t>
      </w:r>
    </w:p>
    <w:p>
      <w:pPr>
        <w:spacing w:after="60" w:before="0"/>
      </w:pPr>
      <w:r>
        <w:rPr>
          <w:sz w:val="22"/>
          <w:szCs w:val="22"/>
        </w:rPr>
        <w:t xml:space="preserve">RA患者頸椎atlanto-axial joint subluxation的定義，以下何者</w:t>
      </w:r>
      <w:r>
        <w:rPr>
          <w:b/>
          <w:bCs/>
          <w:sz w:val="22"/>
          <w:szCs w:val="22"/>
        </w:rPr>
        <w:t xml:space="preserve">正確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頸椎屈曲（flexion）時C1–C2前間距 &gt; 3 mm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頸椎屈曲時C1–C2前間距 &gt; 10 mm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頸椎伸展（extension）時C1–C2前間距 &gt; 3 mm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靜止直立位時C1–C2前間距 &gt; 5 mm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藥物學（3題）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Q12（2020/2023 考古）</w:t>
      </w:r>
    </w:p>
    <w:p>
      <w:pPr>
        <w:spacing w:after="60" w:before="0"/>
      </w:pPr>
      <w:r>
        <w:rPr>
          <w:sz w:val="22"/>
          <w:szCs w:val="22"/>
        </w:rPr>
        <w:t xml:space="preserve">以下生物製劑與其作用機轉的配對，何者</w:t>
      </w:r>
      <w:r>
        <w:rPr>
          <w:b/>
          <w:bCs/>
          <w:sz w:val="22"/>
          <w:szCs w:val="22"/>
        </w:rPr>
        <w:t xml:space="preserve">有誤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Denosumab — anti-RANK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Tocilizumab — anti-IL-6 receptor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Dupilumab — anti-IL-4Rα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Etanercept — TNF receptor fusion protein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Q13（2024 考古）</w:t>
      </w:r>
    </w:p>
    <w:p>
      <w:pPr>
        <w:spacing w:after="60" w:before="0"/>
      </w:pPr>
      <w:r>
        <w:rPr>
          <w:sz w:val="22"/>
          <w:szCs w:val="22"/>
        </w:rPr>
        <w:t xml:space="preserve">關於藥物與眼部副作用的配對，以下何者</w:t>
      </w:r>
      <w:r>
        <w:rPr>
          <w:b/>
          <w:bCs/>
          <w:sz w:val="22"/>
          <w:szCs w:val="22"/>
        </w:rPr>
        <w:t xml:space="preserve">錯誤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Hydroxychloroquine → retinal maculopathy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Adalimumab → 造成葡萄膜炎（uveitis）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Dupilumab → conjunctivitis（結膜炎）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Cevimeline → 可能加重青光眼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Q14（2020/2022 考古）</w:t>
      </w:r>
    </w:p>
    <w:p>
      <w:pPr>
        <w:spacing w:after="60" w:before="0"/>
      </w:pPr>
      <w:r>
        <w:rPr>
          <w:sz w:val="22"/>
          <w:szCs w:val="22"/>
        </w:rPr>
        <w:t xml:space="preserve">針對Fibromyalgia的藥物治療，以下何者</w:t>
      </w:r>
      <w:r>
        <w:rPr>
          <w:b/>
          <w:bCs/>
          <w:sz w:val="22"/>
          <w:szCs w:val="22"/>
        </w:rPr>
        <w:t xml:space="preserve">不屬於</w:t>
      </w:r>
      <w:r>
        <w:rPr>
          <w:sz w:val="22"/>
          <w:szCs w:val="22"/>
        </w:rPr>
        <w:t xml:space="preserve">Level I A等級的推薦用藥？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Gabapentin / Pregabalin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SSRI（如 fluoxetine）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Opioid（如 tramadol）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TCA（如 amitriptyline）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發炎性肌病（IIM）（3題）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Q15（2024 考古）</w:t>
      </w:r>
    </w:p>
    <w:p>
      <w:pPr>
        <w:spacing w:after="60" w:before="0"/>
      </w:pPr>
      <w:r>
        <w:rPr>
          <w:sz w:val="22"/>
          <w:szCs w:val="22"/>
        </w:rPr>
        <w:t xml:space="preserve">關於Anti-MDA5 antibody，以下敘述何者</w:t>
      </w:r>
      <w:r>
        <w:rPr>
          <w:b/>
          <w:bCs/>
          <w:sz w:val="22"/>
          <w:szCs w:val="22"/>
        </w:rPr>
        <w:t xml:space="preserve">不正確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臨床上常有典型、明顯的肌肉無力症狀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臨床常伴有皮膚潰瘍（cutaneous ulcerations）與掌面紅斑（palmar erythema）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在亞洲族群中，陽性者與rapidly progressive ILD（RP-ILD）有關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血中ferritin升高代表預後較差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Q16（2024 考古）</w:t>
      </w:r>
    </w:p>
    <w:p>
      <w:pPr>
        <w:spacing w:after="60" w:before="0"/>
      </w:pPr>
      <w:r>
        <w:rPr>
          <w:sz w:val="22"/>
          <w:szCs w:val="22"/>
        </w:rPr>
        <w:t xml:space="preserve">關於各類IIM的肌肉切片特徵，以下何者</w:t>
      </w:r>
      <w:r>
        <w:rPr>
          <w:b/>
          <w:bCs/>
          <w:sz w:val="22"/>
          <w:szCs w:val="22"/>
        </w:rPr>
        <w:t xml:space="preserve">錯誤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Dermatomyositis（DM）：主要浸潤細胞為CD4+ T cells，可見perifascicular atrophy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Polymyositis（PM）：主要浸潤細胞為CD8+ T cells，侵入正常肌纖維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Inclusion body myositis（IBM）：可見rimmed vacuoles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DM：主要浸潤細胞為</w:t>
      </w:r>
      <w:r>
        <w:rPr>
          <w:b/>
          <w:bCs/>
          <w:sz w:val="22"/>
          <w:szCs w:val="22"/>
        </w:rPr>
        <w:t xml:space="preserve">CD8+</w:t>
      </w:r>
      <w:r>
        <w:rPr>
          <w:sz w:val="22"/>
          <w:szCs w:val="22"/>
        </w:rPr>
        <w:t xml:space="preserve"> T cells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Q17（2024 考古）</w:t>
      </w:r>
    </w:p>
    <w:p>
      <w:pPr>
        <w:spacing w:after="60" w:before="0"/>
      </w:pPr>
      <w:r>
        <w:rPr>
          <w:sz w:val="22"/>
          <w:szCs w:val="22"/>
        </w:rPr>
        <w:t xml:space="preserve">關於2017 EULAR/ACR IIM分類標準，以下何者</w:t>
      </w:r>
      <w:r>
        <w:rPr>
          <w:b/>
          <w:bCs/>
          <w:sz w:val="22"/>
          <w:szCs w:val="22"/>
        </w:rPr>
        <w:t xml:space="preserve">為非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症狀發作年齡≥40歲（作為分類標準計分項目）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頸部屈肌（neck flexors）相對弱於頸部伸肌（neck extensors）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Gottron papules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肌肉切片出現rimmed vacuoles（IBM特徵，不計入IIM共同標準得分）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全身性硬化症（SSc）（2題）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Q18（2024 考古）</w:t>
      </w:r>
    </w:p>
    <w:p>
      <w:pPr>
        <w:spacing w:after="60" w:before="0"/>
      </w:pPr>
      <w:r>
        <w:rPr>
          <w:sz w:val="22"/>
          <w:szCs w:val="22"/>
        </w:rPr>
        <w:t xml:space="preserve">35歲女性出現雷諾氏現象（Raynaud's phenomenon），以下何者</w:t>
      </w:r>
      <w:r>
        <w:rPr>
          <w:b/>
          <w:bCs/>
          <w:sz w:val="22"/>
          <w:szCs w:val="22"/>
        </w:rPr>
        <w:t xml:space="preserve">不支持</w:t>
      </w:r>
      <w:r>
        <w:rPr>
          <w:sz w:val="22"/>
          <w:szCs w:val="22"/>
        </w:rPr>
        <w:t xml:space="preserve">繼發性（secondary）RP的診斷？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年齡 &gt; 35歲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雙側對稱性發作（bilateral symmetric involvement）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合併指尖潰瘍（digital pitting ulcer）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四季皆有發作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Q19（2023 考古）</w:t>
      </w:r>
    </w:p>
    <w:p>
      <w:pPr>
        <w:spacing w:after="60" w:before="0"/>
      </w:pPr>
      <w:r>
        <w:rPr>
          <w:sz w:val="22"/>
          <w:szCs w:val="22"/>
        </w:rPr>
        <w:t xml:space="preserve">關於SSc合併肺高壓（SSc-PAH）的篩查，以下何者</w:t>
      </w:r>
      <w:r>
        <w:rPr>
          <w:b/>
          <w:bCs/>
          <w:sz w:val="22"/>
          <w:szCs w:val="22"/>
        </w:rPr>
        <w:t xml:space="preserve">錯誤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DLCO &lt; 55%是篩查PAH的重要指標之一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Anti-centromere Ab（ACA）、Anti-Th/To、Anti-U3-RNP與SSc-PAH風險相關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右心導管 mean PAP ≥20 mmHg 且 PCWP ≤15 mmHg 可確診PAH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DLCO &lt; 80%即需積極安排右心導管確診PAH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血管炎（2題）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Q20（2024 考古）</w:t>
      </w:r>
    </w:p>
    <w:p>
      <w:pPr>
        <w:spacing w:after="60" w:before="0"/>
      </w:pPr>
      <w:r>
        <w:rPr>
          <w:sz w:val="22"/>
          <w:szCs w:val="22"/>
        </w:rPr>
        <w:t xml:space="preserve">關於血管炎疾病特徵，以下哪種組合</w:t>
      </w:r>
      <w:r>
        <w:rPr>
          <w:b/>
          <w:bCs/>
          <w:sz w:val="22"/>
          <w:szCs w:val="22"/>
        </w:rPr>
        <w:t xml:space="preserve">正確</w:t>
      </w:r>
      <w:r>
        <w:rPr>
          <w:sz w:val="22"/>
          <w:szCs w:val="22"/>
        </w:rPr>
        <w:t xml:space="preserve">？</w:t>
      </w:r>
    </w:p>
    <w:p>
      <w:pPr>
        <w:spacing w:after="60" w:before="0"/>
      </w:pPr>
      <w:r>
        <w:rPr>
          <w:sz w:val="22"/>
          <w:szCs w:val="22"/>
        </w:rPr>
        <w:t xml:space="preserve">（1）GPA → c-ANCA（+）</w:t>
      </w:r>
    </w:p>
    <w:p>
      <w:pPr>
        <w:spacing w:after="60" w:before="0"/>
      </w:pPr>
      <w:r>
        <w:rPr>
          <w:sz w:val="22"/>
          <w:szCs w:val="22"/>
        </w:rPr>
        <w:t xml:space="preserve">（2）Henoch-Schönlein Purpura → elevated IgE</w:t>
      </w:r>
    </w:p>
    <w:p>
      <w:pPr>
        <w:spacing w:after="60" w:before="0"/>
      </w:pPr>
      <w:r>
        <w:rPr>
          <w:sz w:val="22"/>
          <w:szCs w:val="22"/>
        </w:rPr>
        <w:t xml:space="preserve">（3）Polyarteritis nodosa → paranasal sinusitis</w:t>
      </w:r>
    </w:p>
    <w:p>
      <w:pPr>
        <w:spacing w:after="60" w:before="0"/>
      </w:pPr>
      <w:r>
        <w:rPr>
          <w:sz w:val="22"/>
          <w:szCs w:val="22"/>
        </w:rPr>
        <w:t xml:space="preserve">（4）Takayasu's arteritis → pulseless disease</w:t>
      </w:r>
    </w:p>
    <w:p>
      <w:pPr>
        <w:spacing w:after="60" w:before="0"/>
      </w:pPr>
      <w:r>
        <w:rPr>
          <w:sz w:val="22"/>
          <w:szCs w:val="22"/>
        </w:rPr>
        <w:t xml:space="preserve">（5）Leukocytoclastic vasculitis → p-ANCA（+）</w:t>
      </w:r>
    </w:p>
    <w:p>
      <w:pPr>
        <w:spacing w:after="60" w:before="0"/>
      </w:pPr>
      <w:r>
        <w:rPr>
          <w:sz w:val="22"/>
          <w:szCs w:val="22"/>
        </w:rPr>
        <w:t xml:space="preserve">（6）EGPA（Churg-Strauss） → allergic disorder</w:t>
      </w:r>
    </w:p>
    <w:p>
      <w:pPr>
        <w:spacing w:after="60" w:before="0"/>
      </w:pPr>
      <w:r>
        <w:rPr>
          <w:sz w:val="22"/>
          <w:szCs w:val="22"/>
        </w:rPr>
        <w:t xml:space="preserve">（7）Giant cell arteritis → elevated IgA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1 + 4 + 6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1 + 2 + 3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2 + 6 + 7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3 + 5 + 7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Q21（2024 考古）</w:t>
      </w:r>
    </w:p>
    <w:p>
      <w:pPr>
        <w:spacing w:after="60" w:before="0"/>
      </w:pPr>
      <w:r>
        <w:rPr>
          <w:sz w:val="22"/>
          <w:szCs w:val="22"/>
        </w:rPr>
        <w:t xml:space="preserve">關於AAV維持治療，以下何者</w:t>
      </w:r>
      <w:r>
        <w:rPr>
          <w:b/>
          <w:bCs/>
          <w:sz w:val="22"/>
          <w:szCs w:val="22"/>
        </w:rPr>
        <w:t xml:space="preserve">錯誤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MAINRITSAN試驗顯示RTX維持治療的sustained remission率</w:t>
      </w:r>
      <w:r>
        <w:rPr>
          <w:b/>
          <w:bCs/>
          <w:sz w:val="22"/>
          <w:szCs w:val="22"/>
        </w:rPr>
        <w:t xml:space="preserve">優於</w:t>
      </w:r>
      <w:r>
        <w:rPr>
          <w:sz w:val="22"/>
          <w:szCs w:val="22"/>
        </w:rPr>
        <w:t xml:space="preserve">Azathioprine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Avacopan是C5a receptor antagonist，可輔助GPA/MPA治療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MAINRITSAN試驗中RTX維持組的sustained remission率</w:t>
      </w:r>
      <w:r>
        <w:rPr>
          <w:b/>
          <w:bCs/>
          <w:sz w:val="22"/>
          <w:szCs w:val="22"/>
        </w:rPr>
        <w:t xml:space="preserve">低於</w:t>
      </w:r>
      <w:r>
        <w:rPr>
          <w:sz w:val="22"/>
          <w:szCs w:val="22"/>
        </w:rPr>
        <w:t xml:space="preserve">AZA組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Cyclophosphamide與Rituximab均可用於AAV的induction治療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痛風 / 晶體關節炎（2題）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Q22（2024 考古）</w:t>
      </w:r>
    </w:p>
    <w:p>
      <w:pPr>
        <w:spacing w:after="60" w:before="0"/>
      </w:pPr>
      <w:r>
        <w:rPr>
          <w:sz w:val="22"/>
          <w:szCs w:val="22"/>
        </w:rPr>
        <w:t xml:space="preserve">關於鈣焦磷酸沉積症（CPPD），以下何者</w:t>
      </w:r>
      <w:r>
        <w:rPr>
          <w:b/>
          <w:bCs/>
          <w:sz w:val="22"/>
          <w:szCs w:val="22"/>
        </w:rPr>
        <w:t xml:space="preserve">正確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好發於中年肥胖男性，發作模式類似痛風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偏振光顯微鏡下呈strong </w:t>
      </w:r>
      <w:r>
        <w:rPr>
          <w:b/>
          <w:bCs/>
          <w:sz w:val="22"/>
          <w:szCs w:val="22"/>
        </w:rPr>
        <w:t xml:space="preserve">negative</w:t>
      </w:r>
      <w:r>
        <w:rPr>
          <w:sz w:val="22"/>
          <w:szCs w:val="22"/>
        </w:rPr>
        <w:t xml:space="preserve"> birefringence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結晶外觀為菱形（rhomboid），呈strong </w:t>
      </w:r>
      <w:r>
        <w:rPr>
          <w:b/>
          <w:bCs/>
          <w:sz w:val="22"/>
          <w:szCs w:val="22"/>
        </w:rPr>
        <w:t xml:space="preserve">positive</w:t>
      </w:r>
      <w:r>
        <w:rPr>
          <w:sz w:val="22"/>
          <w:szCs w:val="22"/>
        </w:rPr>
        <w:t xml:space="preserve"> birefringence；與hyperparathyroidism等鈣代謝異常有關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與嘌呤代謝異常（hyperuricemia）密切相關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Q23（2024 考古）</w:t>
      </w:r>
    </w:p>
    <w:p>
      <w:pPr>
        <w:spacing w:after="60" w:before="0"/>
      </w:pPr>
      <w:r>
        <w:rPr>
          <w:sz w:val="22"/>
          <w:szCs w:val="22"/>
        </w:rPr>
        <w:t xml:space="preserve">一位45歲男性，有SLE、APS及Gout病史，eGFR 45 mL/min，有泌尿道結石及allopurinol過敏史。關於降尿酸藥物選擇，以下何者</w:t>
      </w:r>
      <w:r>
        <w:rPr>
          <w:b/>
          <w:bCs/>
          <w:sz w:val="22"/>
          <w:szCs w:val="22"/>
        </w:rPr>
        <w:t xml:space="preserve">正確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Febuxostat為首選，且可安心與Azathioprine合用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Febuxostat與Warfarin有交互作用，容易造成Warfarin過量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Pegloticase為recombinant uricase，使用前需注意病人是否有G6PD缺乏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Probenecid適用於腎功能不全且有腎結石的患者，每日劑量約3,000–4,000 mg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超音波影像（2題）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Q24（2023 考古）</w:t>
      </w:r>
    </w:p>
    <w:p>
      <w:pPr>
        <w:spacing w:after="60" w:before="0"/>
      </w:pPr>
      <w:r>
        <w:rPr>
          <w:sz w:val="22"/>
          <w:szCs w:val="22"/>
        </w:rPr>
        <w:t xml:space="preserve">關於肌肉骨骼超音波評估MCP/PIP關節，以下何者</w:t>
      </w:r>
      <w:r>
        <w:rPr>
          <w:b/>
          <w:bCs/>
          <w:sz w:val="22"/>
          <w:szCs w:val="22"/>
        </w:rPr>
        <w:t xml:space="preserve">正確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建議使用7.5 MHz低頻探頭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受檢手指應採握拳姿勢（fist position）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探頭與皮膚之間應保留耦合凝膠（coupling gel）以避免acoustic artifact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若dorsal view正常，即無需再做palmar view評估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Q25（2021/2024 考古）</w:t>
      </w:r>
    </w:p>
    <w:p>
      <w:pPr>
        <w:spacing w:after="60" w:before="0"/>
      </w:pPr>
      <w:r>
        <w:rPr>
          <w:sz w:val="22"/>
          <w:szCs w:val="22"/>
        </w:rPr>
        <w:t xml:space="preserve">關於RA超音波評估，以下何者</w:t>
      </w:r>
      <w:r>
        <w:rPr>
          <w:b/>
          <w:bCs/>
          <w:sz w:val="22"/>
          <w:szCs w:val="22"/>
        </w:rPr>
        <w:t xml:space="preserve">正確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Power Doppler（PD）信號可評估滑膜血管增生，但無法輔助減藥決策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臨床緩解（clinical remission）時超音波必然無異常發現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超音波可偵測clinical remission時仍存在的subclinical synovitis，有助於預測復發及指導減藥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MCP關節超音波應使用3–5 MHz低頻探頭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骨質疏鬆（1題）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Q26（2021 考古）</w:t>
      </w:r>
    </w:p>
    <w:p>
      <w:pPr>
        <w:spacing w:after="60" w:before="0"/>
      </w:pPr>
      <w:r>
        <w:rPr>
          <w:sz w:val="22"/>
          <w:szCs w:val="22"/>
        </w:rPr>
        <w:t xml:space="preserve">關於糖皮質固醇誘發骨質疏鬆症（GIOP）的治療，以下何者</w:t>
      </w:r>
      <w:r>
        <w:rPr>
          <w:b/>
          <w:bCs/>
          <w:sz w:val="22"/>
          <w:szCs w:val="22"/>
        </w:rPr>
        <w:t xml:space="preserve">正確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Bisphosphonate為大多數患者的第一線治療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Denosumab停藥後不需銜接其他骨質疏鬆藥物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Teriparatide適合低骨折風險的患者作為初始治療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SERM（如Raloxifene）常造成顎骨壞死（ONJ），需謹慎使用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Fibromyalgia（1題）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Q27（2024 考古）</w:t>
      </w:r>
    </w:p>
    <w:p>
      <w:pPr>
        <w:spacing w:after="60" w:before="0"/>
      </w:pPr>
      <w:r>
        <w:rPr>
          <w:sz w:val="22"/>
          <w:szCs w:val="22"/>
        </w:rPr>
        <w:t xml:space="preserve">關於纖維肌痛症（Fibromyalgia, FM），以下何者</w:t>
      </w:r>
      <w:r>
        <w:rPr>
          <w:b/>
          <w:bCs/>
          <w:sz w:val="22"/>
          <w:szCs w:val="22"/>
        </w:rPr>
        <w:t xml:space="preserve">錯誤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風濕免疫疾病（RMD）患者合併FM的比例高於一般族群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RMD患者若同時有FM，疾病活性評估的準確性較差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FM患者對重壓（heavy pressure）感到疼痛，但對輕觸（light touch）不會感到疼痛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FM患者即便降低局部炎症活性，也不能完全改善全身性疼痛症狀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骨關節炎 / 復健（1題）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Q28（2024 考古）</w:t>
      </w:r>
    </w:p>
    <w:p>
      <w:pPr>
        <w:spacing w:after="60" w:before="0"/>
      </w:pPr>
      <w:r>
        <w:rPr>
          <w:sz w:val="22"/>
          <w:szCs w:val="22"/>
        </w:rPr>
        <w:t xml:space="preserve">下列針對骨關節炎（OA）的治療，目前有</w:t>
      </w:r>
      <w:r>
        <w:rPr>
          <w:b/>
          <w:bCs/>
          <w:sz w:val="22"/>
          <w:szCs w:val="22"/>
        </w:rPr>
        <w:t xml:space="preserve">最多實證支持</w:t>
      </w:r>
      <w:r>
        <w:rPr>
          <w:sz w:val="22"/>
          <w:szCs w:val="22"/>
        </w:rPr>
        <w:t xml:space="preserve">（evidence-based）者為何？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完全關節休息、避免承重活動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超音波熱療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肌力訓練（strengthening exercise）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關節腔玻尿酸注射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乾燥症（Sjogren's Syndrome）（1題）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Q29（2024 考古）</w:t>
      </w:r>
    </w:p>
    <w:p>
      <w:pPr>
        <w:spacing w:after="60" w:before="0"/>
      </w:pPr>
      <w:r>
        <w:rPr>
          <w:sz w:val="22"/>
          <w:szCs w:val="22"/>
        </w:rPr>
        <w:t xml:space="preserve">關於乾燥症唇腺切片（labial salivary gland biopsy）的病理表現，以下何者</w:t>
      </w:r>
      <w:r>
        <w:rPr>
          <w:b/>
          <w:bCs/>
          <w:sz w:val="22"/>
          <w:szCs w:val="22"/>
        </w:rPr>
        <w:t xml:space="preserve">錯誤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主要浸潤細胞以CD4+ T cells及B cells為主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主要浸潤細胞以CD8+ T cells及B cells為主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少數浸潤細胞可見Plasma cells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少數浸潤細胞可見Natural killer cells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2"/>
        <w:spacing w:after="100" w:before="300"/>
      </w:pPr>
      <w:r>
        <w:rPr>
          <w:b/>
          <w:bCs/>
          <w:color w:val="1F497D"/>
          <w:sz w:val="28"/>
          <w:szCs w:val="28"/>
        </w:rPr>
        <w:t xml:space="preserve">SLE — Neonatal Lupus（1題）</w:t>
      </w:r>
    </w:p>
    <w:p>
      <w:pPr>
        <w:spacing w:after="60" w:before="200"/>
      </w:pPr>
      <w:r>
        <w:rPr>
          <w:b/>
          <w:bCs/>
          <w:color w:val="2E75B6"/>
          <w:sz w:val="22"/>
          <w:szCs w:val="22"/>
        </w:rPr>
        <w:t xml:space="preserve">Q30（2022 考古）</w:t>
      </w:r>
    </w:p>
    <w:p>
      <w:pPr>
        <w:spacing w:after="60" w:before="0"/>
      </w:pPr>
      <w:r>
        <w:rPr>
          <w:sz w:val="22"/>
          <w:szCs w:val="22"/>
        </w:rPr>
        <w:t xml:space="preserve">關於Neonatal Lupus與先天性心臟傳導阻斷（Congenital Heart Block, CHB），以下何者</w:t>
      </w:r>
      <w:r>
        <w:rPr>
          <w:b/>
          <w:bCs/>
          <w:sz w:val="22"/>
          <w:szCs w:val="22"/>
        </w:rPr>
        <w:t xml:space="preserve">正確</w:t>
      </w:r>
      <w:r>
        <w:rPr>
          <w:sz w:val="22"/>
          <w:szCs w:val="22"/>
        </w:rPr>
        <w:t xml:space="preserve">？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A. 母親SSA/Ro抗體陽性者，子女發生CHB的機率約為20–25%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B. 母親有SSA/SSB抗體陽性者，新生兒狼瘡的發生率約為2%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C. 確診第三度CHB後，靜脈類固醇可完全逆轉心臟傳導異常</w:t>
      </w:r>
    </w:p>
    <w:p>
      <w:pPr>
        <w:spacing w:after="40" w:before="0"/>
        <w:ind w:left="360"/>
      </w:pPr>
      <w:r>
        <w:rPr>
          <w:sz w:val="22"/>
          <w:szCs w:val="22"/>
        </w:rPr>
        <w:t xml:space="preserve">D. 曾生過CHB寶寶的母親，再次懷孕時複發率 &lt; 5%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200" w:before="400"/>
      </w:pPr>
      <w:r>
        <w:rPr>
          <w:b/>
          <w:bCs/>
          <w:color w:val="1F497D"/>
          <w:sz w:val="32"/>
          <w:szCs w:val="32"/>
        </w:rPr>
        <w:t xml:space="preserve">✅  解答 &amp; 重點解析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7760"/>
      </w:tblGrid>
      <w:tr>
        <w:trPr>
          <w:tblHeader/>
        </w:trP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題號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答案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核心考點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Tfh → </w:t>
            </w:r>
            <w:r>
              <w:rPr>
                <w:b/>
                <w:bCs/>
                <w:sz w:val="20"/>
                <w:szCs w:val="20"/>
              </w:rPr>
              <w:t xml:space="preserve">IL-21</w:t>
            </w:r>
            <w:r>
              <w:rPr>
                <w:sz w:val="20"/>
                <w:szCs w:val="20"/>
              </w:rPr>
              <w:t xml:space="preserve">（非IL-17）；IL-17是Th17分泌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Q2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TNF-α 走TRAF/NFκB，</w:t>
            </w:r>
            <w:r>
              <w:rPr>
                <w:b/>
                <w:bCs/>
                <w:sz w:val="20"/>
                <w:szCs w:val="20"/>
              </w:rPr>
              <w:t xml:space="preserve">不走JAK-STAT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Q3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Fever 2分 + Autoimmune hemolysis 4分 = 6分，需≥10分才符合標準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Q4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LN尿沉渣可以正常，不一定有血尿或管型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Q5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RVSP 60 mmHg = 重度PAH，是突發猝死最可能原因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Q6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BASFI評估</w:t>
            </w:r>
            <w:r>
              <w:rPr>
                <w:b/>
                <w:bCs/>
                <w:sz w:val="20"/>
                <w:szCs w:val="20"/>
              </w:rPr>
              <w:t xml:space="preserve">功能</w:t>
            </w:r>
            <w:r>
              <w:rPr>
                <w:sz w:val="20"/>
                <w:szCs w:val="20"/>
              </w:rPr>
              <w:t xml:space="preserve">，不是疾病活性；ASDAS/BASDAI才是活性評估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Q7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PsA + 抽菸（CV risk）→ 避免JAKi；IL-17i為適合選擇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Q8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SpA特徵是對NSAID</w:t>
            </w:r>
            <w:r>
              <w:rPr>
                <w:b/>
                <w:bCs/>
                <w:sz w:val="20"/>
                <w:szCs w:val="20"/>
              </w:rPr>
              <w:t xml:space="preserve">有反應</w:t>
            </w:r>
            <w:r>
              <w:rPr>
                <w:sz w:val="20"/>
                <w:szCs w:val="20"/>
              </w:rPr>
              <w:t xml:space="preserve">；無反應不是典型表現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Q9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Carbamylation：</w:t>
            </w:r>
            <w:r>
              <w:rPr>
                <w:b/>
                <w:bCs/>
                <w:sz w:val="20"/>
                <w:szCs w:val="20"/>
              </w:rPr>
              <w:t xml:space="preserve">Lysine → Homocitrulline</w:t>
            </w:r>
            <w:r>
              <w:rPr>
                <w:sz w:val="20"/>
                <w:szCs w:val="20"/>
              </w:rPr>
              <w:t xml:space="preserve">；ACPA：Arginine → Citrulline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Q10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MTX經腎排泄，Cr &gt; 1.6 mg/dL需避免使用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Q11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Atlanto-axial subluxation：flexion時前間距 </w:t>
            </w:r>
            <w:r>
              <w:rPr>
                <w:b/>
                <w:bCs/>
                <w:sz w:val="20"/>
                <w:szCs w:val="20"/>
              </w:rPr>
              <w:t xml:space="preserve">&gt; 3 mm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Q12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Denosumab靶點是</w:t>
            </w:r>
            <w:r>
              <w:rPr>
                <w:b/>
                <w:bCs/>
                <w:sz w:val="20"/>
                <w:szCs w:val="20"/>
              </w:rPr>
              <w:t xml:space="preserve">RANKL</w:t>
            </w:r>
            <w:r>
              <w:rPr>
                <w:sz w:val="20"/>
                <w:szCs w:val="20"/>
              </w:rPr>
              <w:t xml:space="preserve">，不是RANK本身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Q13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Adalimumab（TNFi）實際上是</w:t>
            </w:r>
            <w:r>
              <w:rPr>
                <w:b/>
                <w:bCs/>
                <w:sz w:val="20"/>
                <w:szCs w:val="20"/>
              </w:rPr>
              <w:t xml:space="preserve">治療</w:t>
            </w:r>
            <w:r>
              <w:rPr>
                <w:sz w:val="20"/>
                <w:szCs w:val="20"/>
              </w:rPr>
              <w:t xml:space="preserve">uveitis，不是造成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Q14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Opioid </w:t>
            </w:r>
            <w:r>
              <w:rPr>
                <w:b/>
                <w:bCs/>
                <w:sz w:val="20"/>
                <w:szCs w:val="20"/>
              </w:rPr>
              <w:t xml:space="preserve">不是</w:t>
            </w:r>
            <w:r>
              <w:rPr>
                <w:sz w:val="20"/>
                <w:szCs w:val="20"/>
              </w:rPr>
              <w:t xml:space="preserve"> FM的Level IA用藥；TCA/SNRI/Pregabalin才是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Q15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Anti-MDA5 → amyopathic DM，肌肉無力往往</w:t>
            </w:r>
            <w:r>
              <w:rPr>
                <w:b/>
                <w:bCs/>
                <w:sz w:val="20"/>
                <w:szCs w:val="20"/>
              </w:rPr>
              <w:t xml:space="preserve">輕微或缺乏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Q16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DM主要浸潤細胞是</w:t>
            </w:r>
            <w:r>
              <w:rPr>
                <w:b/>
                <w:bCs/>
                <w:sz w:val="20"/>
                <w:szCs w:val="20"/>
              </w:rPr>
              <w:t xml:space="preserve">CD4+</w:t>
            </w:r>
            <w:r>
              <w:rPr>
                <w:sz w:val="20"/>
                <w:szCs w:val="20"/>
              </w:rPr>
              <w:t xml:space="preserve">（非CD8+），合併perifascicular atrophy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Q17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2017 EULAR/ACR IIM標準中，age ≥40 years不是單獨計分項目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Q18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雙側對稱</w:t>
            </w:r>
            <w:r>
              <w:rPr>
                <w:sz w:val="20"/>
                <w:szCs w:val="20"/>
              </w:rPr>
              <w:t xml:space="preserve">發作 = primary RP的特徵；secondary RP常為不對稱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Q19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SSc-PAH篩查切點：DLCO </w:t>
            </w:r>
            <w:r>
              <w:rPr>
                <w:b/>
                <w:bCs/>
                <w:sz w:val="20"/>
                <w:szCs w:val="20"/>
              </w:rPr>
              <w:t xml:space="preserve">&lt; 55%</w:t>
            </w:r>
            <w:r>
              <w:rPr>
                <w:sz w:val="20"/>
                <w:szCs w:val="20"/>
              </w:rPr>
              <w:t xml:space="preserve">（非&lt;80%）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Q20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正確：(1)GPA→cANCA ✓ (4)Takayasu→pulseless ✓ (6)EGPA→allergic ✓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Q21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MAINRITSAN：RTX維持治療</w:t>
            </w:r>
            <w:r>
              <w:rPr>
                <w:b/>
                <w:bCs/>
                <w:sz w:val="20"/>
                <w:szCs w:val="20"/>
              </w:rPr>
              <w:t xml:space="preserve">優於</w:t>
            </w:r>
            <w:r>
              <w:rPr>
                <w:sz w:val="20"/>
                <w:szCs w:val="20"/>
              </w:rPr>
              <w:t xml:space="preserve">AZA，C的說法相反故錯誤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Q22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CPPD：rhomboid shape，</w:t>
            </w:r>
            <w:r>
              <w:rPr>
                <w:b/>
                <w:bCs/>
                <w:sz w:val="20"/>
                <w:szCs w:val="20"/>
              </w:rPr>
              <w:t xml:space="preserve">strong positive</w:t>
            </w:r>
            <w:r>
              <w:rPr>
                <w:sz w:val="20"/>
                <w:szCs w:val="20"/>
              </w:rPr>
              <w:t xml:space="preserve"> birefringence；與鈣代謝異常相關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Q23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Pegloticase使用前須篩查</w:t>
            </w:r>
            <w:r>
              <w:rPr>
                <w:b/>
                <w:bCs/>
                <w:sz w:val="20"/>
                <w:szCs w:val="20"/>
              </w:rPr>
              <w:t xml:space="preserve">G6PD缺乏</w:t>
            </w:r>
            <w:r>
              <w:rPr>
                <w:sz w:val="20"/>
                <w:szCs w:val="20"/>
              </w:rPr>
              <w:t xml:space="preserve">（可引發溶血）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Q24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探頭與皮膚間需耦合凝膠；需雙側dorsal + palmar view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Q25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超音波可偵測subclinical synovitis，指導減藥決策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Q26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GIOP第一線 = </w:t>
            </w:r>
            <w:r>
              <w:rPr>
                <w:b/>
                <w:bCs/>
                <w:sz w:val="20"/>
                <w:szCs w:val="20"/>
              </w:rPr>
              <w:t xml:space="preserve">Bisphosphonate</w:t>
            </w:r>
            <w:r>
              <w:rPr>
                <w:sz w:val="20"/>
                <w:szCs w:val="20"/>
              </w:rPr>
              <w:t xml:space="preserve">；高骨折風險→Teriparatide；Denosumab停藥需銜接BP；SERM不造成ONJ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Q27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FM有</w:t>
            </w:r>
            <w:r>
              <w:rPr>
                <w:b/>
                <w:bCs/>
                <w:sz w:val="20"/>
                <w:szCs w:val="20"/>
              </w:rPr>
              <w:t xml:space="preserve">allodynia</w:t>
            </w:r>
            <w:r>
              <w:rPr>
                <w:sz w:val="20"/>
                <w:szCs w:val="20"/>
              </w:rPr>
              <w:t xml:space="preserve">，輕觸也會引發疼痛（非「輕觸不會痛」）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Q28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肌力訓練</w:t>
            </w:r>
            <w:r>
              <w:rPr>
                <w:sz w:val="20"/>
                <w:szCs w:val="20"/>
              </w:rPr>
              <w:t xml:space="preserve">是OA唯一有強力evidence支持的非藥物治療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Q29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SjS唇腺切片主要是</w:t>
            </w:r>
            <w:r>
              <w:rPr>
                <w:b/>
                <w:bCs/>
                <w:sz w:val="20"/>
                <w:szCs w:val="20"/>
              </w:rPr>
              <w:t xml:space="preserve">CD4+</w:t>
            </w:r>
            <w:r>
              <w:rPr>
                <w:sz w:val="20"/>
                <w:szCs w:val="20"/>
              </w:rPr>
              <w:t xml:space="preserve"> T cells和B cells，不是CD8+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Q30</w:t>
            </w:r>
          </w:p>
        </w:tc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7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Neonatal lupus CHB發生率約</w:t>
            </w:r>
            <w:r>
              <w:rPr>
                <w:b/>
                <w:bCs/>
                <w:sz w:val="20"/>
                <w:szCs w:val="20"/>
              </w:rPr>
              <w:t xml:space="preserve">2%</w:t>
            </w:r>
            <w:r>
              <w:rPr>
                <w:sz w:val="20"/>
                <w:szCs w:val="20"/>
              </w:rPr>
              <w:t xml:space="preserve">（母親SSA/SSB(+)）；複發率</w:t>
            </w:r>
            <w:r>
              <w:rPr>
                <w:b/>
                <w:bCs/>
                <w:sz w:val="20"/>
                <w:szCs w:val="20"/>
              </w:rPr>
              <w:t xml:space="preserve">18–20%</w:t>
            </w:r>
          </w:p>
        </w:tc>
      </w:tr>
    </w:tbl>
    <w:p>
      <w:pPr>
        <w:pStyle w:val="Heading1"/>
        <w:spacing w:after="200" w:before="500"/>
      </w:pPr>
      <w:r>
        <w:rPr>
          <w:b/>
          <w:bCs/>
          <w:color w:val="C00000"/>
          <w:sz w:val="32"/>
          <w:szCs w:val="32"/>
        </w:rPr>
        <w:t xml:space="preserve">⚡  高頻陷阱速查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陷阱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正確答案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Tfh分泌何種cytokine？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IL-21</w:t>
            </w:r>
            <w:r>
              <w:rPr>
                <w:sz w:val="20"/>
                <w:szCs w:val="20"/>
              </w:rPr>
              <w:t xml:space="preserve">（非IL-17）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TNF-α走JAK-STAT嗎？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不走</w:t>
            </w:r>
            <w:r>
              <w:rPr>
                <w:sz w:val="20"/>
                <w:szCs w:val="20"/>
              </w:rPr>
              <w:t xml:space="preserve">，走TRAF/NFκB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BASFI評估什麼？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  <w:r>
              <w:rPr>
                <w:sz w:val="20"/>
                <w:szCs w:val="20"/>
              </w:rPr>
              <w:t xml:space="preserve">（非疾病活性）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Denosumab靶點？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RANKL</w:t>
            </w:r>
            <w:r>
              <w:rPr>
                <w:sz w:val="20"/>
                <w:szCs w:val="20"/>
              </w:rPr>
              <w:t xml:space="preserve">（非RANK）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Adalimumab與uveitis關係？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治療</w:t>
            </w:r>
            <w:r>
              <w:rPr>
                <w:sz w:val="20"/>
                <w:szCs w:val="20"/>
              </w:rPr>
              <w:t xml:space="preserve">uveitis（非造成）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DM肌肉切片主要細胞？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CD4+</w:t>
            </w:r>
            <w:r>
              <w:rPr>
                <w:sz w:val="20"/>
                <w:szCs w:val="20"/>
              </w:rPr>
              <w:t xml:space="preserve">（非CD8+）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Bilateral symmetric RP →？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Primary</w:t>
            </w:r>
            <w:r>
              <w:rPr>
                <w:sz w:val="20"/>
                <w:szCs w:val="20"/>
              </w:rPr>
              <w:t xml:space="preserve"> RP（非secondary）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SSc-PAH篩查DLCO切點？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&lt; 55%</w:t>
            </w:r>
            <w:r>
              <w:rPr>
                <w:sz w:val="20"/>
                <w:szCs w:val="20"/>
              </w:rPr>
              <w:t xml:space="preserve">（非&lt;80%）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CPPD birefringence？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Strong positive</w:t>
            </w:r>
            <w:r>
              <w:rPr>
                <w:sz w:val="20"/>
                <w:szCs w:val="20"/>
              </w:rPr>
              <w:t xml:space="preserve">（MSU為strong negative）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Neonatal lupus CHB發生率？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2%</w:t>
            </w:r>
            <w:r>
              <w:rPr>
                <w:sz w:val="20"/>
                <w:szCs w:val="20"/>
              </w:rPr>
              <w:t xml:space="preserve">，複發率</w:t>
            </w:r>
            <w:r>
              <w:rPr>
                <w:b/>
                <w:bCs/>
                <w:sz w:val="20"/>
                <w:szCs w:val="20"/>
              </w:rPr>
              <w:t xml:space="preserve">18–20%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FM對輕觸有無反應？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有</w:t>
            </w:r>
            <w:r>
              <w:rPr>
                <w:sz w:val="20"/>
                <w:szCs w:val="20"/>
              </w:rPr>
              <w:t xml:space="preserve">（allodynia，輕觸即可引發疼痛）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Opioid是FM的IA用藥嗎？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否</w:t>
            </w:r>
            <w:r>
              <w:rPr>
                <w:sz w:val="20"/>
                <w:szCs w:val="20"/>
              </w:rPr>
              <w:t xml:space="preserve">（TCA/SNRI/Pregabalin才是）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mSASS滿分？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72分</w:t>
            </w:r>
          </w:p>
        </w:tc>
      </w:tr>
      <w:tr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ACPA vs Carbamylated protein修飾？</w:t>
            </w:r>
          </w:p>
        </w:tc>
        <w:tc>
          <w:tcPr>
            <w:tcW w:type="dxa" w:w="5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ACPA：Arg→Citrulline；Carbamyl：</w:t>
            </w:r>
            <w:r>
              <w:rPr>
                <w:b/>
                <w:bCs/>
                <w:sz w:val="20"/>
                <w:szCs w:val="20"/>
              </w:rPr>
              <w:t xml:space="preserve">Lys→Homocitrulline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風專筆試複習30題 — 20260513   |   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2026-05-13T03:19:57.549Z</dcterms:created>
  <dcterms:modified xsi:type="dcterms:W3CDTF">2026-05-13T03:19:57.551Z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