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2ης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14/03/2023, 16:00-18:00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Αμφιθέατρο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Όλη η ομάδα έργου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5-10' 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σχετικά με τους εμπλεκόμενους και το εύρος του έργου, 70-80'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Οριστικοποίηση των εμπλεκομένων και του εύρους του έργου, 20-30'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Κλείσιμο-Επομενη συνάντηση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