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6E0DFAD" w:rsidR="000C67E9" w:rsidRPr="00F214F6" w:rsidRDefault="00C720B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720B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Boardman, R v [2015] EWCA Crim 175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3CAA9639" w:rsidR="000C67E9" w:rsidRPr="00F214F6" w:rsidRDefault="006D50FB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  <w:t>030215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AD615D0" w:rsidR="000C67E9" w:rsidRPr="00F214F6" w:rsidRDefault="00D62FC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2DEEB892" w:rsidR="00F214F6" w:rsidRPr="00F214F6" w:rsidRDefault="008F4C73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2CD7063" w:rsidR="000C67E9" w:rsidRPr="00F214F6" w:rsidRDefault="00691F55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71C2CA91" w:rsidR="00D970E4" w:rsidRPr="00F214F6" w:rsidRDefault="008F4C7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1B4CA123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66FBBA7" w:rsidR="00D970E4" w:rsidRPr="00F214F6" w:rsidRDefault="006D50F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02109037" w:rsidR="00D970E4" w:rsidRPr="00F214F6" w:rsidRDefault="00D62FCA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115AC0B" w:rsidR="00D970E4" w:rsidRPr="00F214F6" w:rsidRDefault="00D62FC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3779FA2" w:rsidR="00D970E4" w:rsidRPr="00F214F6" w:rsidRDefault="00D62FC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13EF3F36" w:rsidR="00D970E4" w:rsidRPr="00F214F6" w:rsidRDefault="00D62FCA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6C522ED" w:rsidR="00D970E4" w:rsidRPr="00F214F6" w:rsidRDefault="009D25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5E509BD" w:rsidR="00D970E4" w:rsidRPr="00F214F6" w:rsidRDefault="009D25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12D6DDB4" w:rsidR="00D970E4" w:rsidRPr="00F214F6" w:rsidRDefault="009D255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04F45A4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994C77D" w:rsidR="00D970E4" w:rsidRPr="00F214F6" w:rsidRDefault="009D255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55D7C1A" w:rsidR="00D970E4" w:rsidRPr="00F214F6" w:rsidRDefault="003923A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056C7F15" w:rsidR="00D970E4" w:rsidRPr="00F214F6" w:rsidRDefault="003923A8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0E924B5D" w:rsidR="00D970E4" w:rsidRPr="00F214F6" w:rsidRDefault="001A2D8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(1) </w:t>
            </w:r>
            <w:r w:rsidR="004D1D66" w:rsidRPr="004D1D66">
              <w:rPr>
                <w:rFonts w:ascii="Arial Nova Light" w:hAnsi="Arial Nova Light" w:cstheme="majorBidi"/>
                <w:color w:val="000000" w:themeColor="text1"/>
                <w:szCs w:val="24"/>
              </w:rPr>
              <w:t>That the judge took into account matters that were irrelevant to the consideration of the evidential issues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; (2) that the judge</w:t>
            </w:r>
            <w:r w:rsidR="004D1D66" w:rsidRPr="004D1D6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failed to take into account the fact that an </w:t>
            </w:r>
            <w:r w:rsidR="004D1D66" w:rsidRPr="004D1D66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adjournment would cause no prejudice to the defendan</w:t>
            </w:r>
            <w:r w:rsidR="00F5647D">
              <w:rPr>
                <w:rFonts w:ascii="Arial Nova Light" w:hAnsi="Arial Nova Light" w:cstheme="majorBidi"/>
                <w:color w:val="000000" w:themeColor="text1"/>
                <w:szCs w:val="24"/>
              </w:rPr>
              <w:t>t, and: (3)</w:t>
            </w:r>
            <w:r w:rsidR="004D1D66" w:rsidRPr="004D1D66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as a consequence, that the judge was wrong to exclude the whole of the telephone evidence.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3D472791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986E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52B16A12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986E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472C12C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FC55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307ED2A6" w:rsidR="00D7225E" w:rsidRPr="00F214F6" w:rsidRDefault="0096290A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DDC6995" w:rsidR="00D970E4" w:rsidRPr="00F214F6" w:rsidRDefault="00931D6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67D34B4F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16F401FF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4C073A7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496500AC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3385E83B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15B5D5BB" w:rsidR="00D970E4" w:rsidRPr="00F214F6" w:rsidRDefault="006E2010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60BF1FBA" w:rsidR="00C77DBF" w:rsidRPr="00F214F6" w:rsidRDefault="006E2010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2D87EEF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724C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7C" w14:textId="00FEC91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724CC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797499CE" w:rsidR="005515E1" w:rsidRPr="00F214F6" w:rsidRDefault="00AC3F1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24F4C67" w:rsidR="005515E1" w:rsidRPr="00F214F6" w:rsidRDefault="00AC3F1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3D9EE3B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AC3F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7A7F035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AC3F1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6718B" w:rsidRPr="00F214F6" w14:paraId="766F2C89" w14:textId="77777777" w:rsidTr="00D970E4">
        <w:tc>
          <w:tcPr>
            <w:tcW w:w="6345" w:type="dxa"/>
          </w:tcPr>
          <w:p w14:paraId="766F2C87" w14:textId="017C3604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0873200B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8C" w14:textId="77777777" w:rsidTr="00D970E4">
        <w:tc>
          <w:tcPr>
            <w:tcW w:w="6345" w:type="dxa"/>
          </w:tcPr>
          <w:p w14:paraId="766F2C8A" w14:textId="1277A9B4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117869AB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8F" w14:textId="77777777" w:rsidTr="00D970E4">
        <w:tc>
          <w:tcPr>
            <w:tcW w:w="6345" w:type="dxa"/>
          </w:tcPr>
          <w:p w14:paraId="766F2C8D" w14:textId="4CA87E6F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1B912158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92" w14:textId="77777777" w:rsidTr="00D970E4">
        <w:tc>
          <w:tcPr>
            <w:tcW w:w="6345" w:type="dxa"/>
          </w:tcPr>
          <w:p w14:paraId="766F2C90" w14:textId="6D4F9DB8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36A3AEC6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95" w14:textId="77777777" w:rsidTr="00D970E4">
        <w:tc>
          <w:tcPr>
            <w:tcW w:w="6345" w:type="dxa"/>
          </w:tcPr>
          <w:p w14:paraId="766F2C93" w14:textId="3893F1F0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4C45E057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6718B" w:rsidRPr="00F214F6" w14:paraId="766F2C98" w14:textId="77777777" w:rsidTr="00D970E4">
        <w:tc>
          <w:tcPr>
            <w:tcW w:w="6345" w:type="dxa"/>
          </w:tcPr>
          <w:p w14:paraId="766F2C96" w14:textId="305D9346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63BF263B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9B" w14:textId="77777777" w:rsidTr="00D970E4">
        <w:tc>
          <w:tcPr>
            <w:tcW w:w="6345" w:type="dxa"/>
          </w:tcPr>
          <w:p w14:paraId="766F2C99" w14:textId="24FF944D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3B01940E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6718B" w:rsidRPr="00F214F6" w14:paraId="766F2C9E" w14:textId="77777777" w:rsidTr="00D970E4">
        <w:tc>
          <w:tcPr>
            <w:tcW w:w="6345" w:type="dxa"/>
          </w:tcPr>
          <w:p w14:paraId="766F2C9C" w14:textId="3867623B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6B2E2CA5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6718B" w:rsidRPr="00F214F6" w14:paraId="766F2CA1" w14:textId="77777777" w:rsidTr="00D970E4">
        <w:tc>
          <w:tcPr>
            <w:tcW w:w="6345" w:type="dxa"/>
          </w:tcPr>
          <w:p w14:paraId="766F2C9F" w14:textId="625D69C7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204DFB94" w:rsidR="00E6718B" w:rsidRPr="00F214F6" w:rsidRDefault="00E6718B" w:rsidP="00E6718B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1FCF7A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7458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73A43FF2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bookmarkStart w:id="0" w:name="para30"/>
            <w:r w:rsidR="00F5647D"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Quinn [1990] Crim LR 581</w:t>
            </w:r>
            <w:bookmarkEnd w:id="0"/>
            <w:r w:rsidR="00F5647D"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R v Jisl [2004] EWCA Crim 464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226E77A" w:rsidR="00CC3B33" w:rsidRPr="00BF356D" w:rsidRDefault="00BF356D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Judge </w:t>
            </w:r>
            <w:r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Brian Leveson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Mr Justice Andrew Smith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</w:t>
            </w:r>
            <w:r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nd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Judge </w:t>
            </w:r>
            <w:r w:rsidRPr="00BF356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Phillips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0DA67B4" w:rsidR="00CC3B33" w:rsidRPr="00F214F6" w:rsidRDefault="0007269E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BF35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Ian Unsworth for the Appellant</w:t>
            </w:r>
            <w:r w:rsidR="00C11B0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Pr="00BF356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Miss Frances Willmott for the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01DB8589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FCA3AF1" w:rsidR="00CC3B33" w:rsidRPr="00F214F6" w:rsidRDefault="000B0DBC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030713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8BA0113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66212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491C5431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6621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1B6B7455" w:rsidR="00CC3B33" w:rsidRPr="00F214F6" w:rsidRDefault="00B342F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07833F78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E17E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9" w14:textId="252FC383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E17E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F24C24E" w:rsidR="004A44C9" w:rsidRPr="00F214F6" w:rsidRDefault="0072118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4D473C52" w:rsidR="00CC3B33" w:rsidRPr="00F214F6" w:rsidRDefault="00BC243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Stalking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38117562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BC24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48AA2D79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BC24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CCTV footage; </w:t>
            </w:r>
            <w:r w:rsidR="00597A3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Intelligence analyst </w:t>
            </w:r>
            <w:r w:rsidR="00BC243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cell site analysis</w:t>
            </w:r>
            <w:r w:rsidR="0023062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which included a distribution map</w:t>
            </w:r>
            <w:r w:rsidR="00E45A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of the cell sites used by phones</w:t>
            </w:r>
            <w:r w:rsidR="00136A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call data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281798E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136A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6B89E08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136A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Statements from the police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34F1B934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E17E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3623546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E17E8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0EB07BE" w:rsidR="00CC3B33" w:rsidRPr="00F214F6" w:rsidRDefault="00BB11F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19E4484E" w:rsidR="00D7225E" w:rsidRPr="00F214F6" w:rsidRDefault="006D50F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18A2266" w:rsidR="00CC3B33" w:rsidRPr="00F214F6" w:rsidRDefault="00E45A0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45A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Dutton </w:t>
            </w:r>
            <w:r w:rsidR="00745850" w:rsidRPr="00E45A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Judge </w:t>
            </w:r>
            <w:r w:rsidR="00721187" w:rsidRPr="00E45A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Elgan Edwards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CEBE4CE" w:rsidR="00CC3B33" w:rsidRPr="00F214F6" w:rsidRDefault="001B662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24CDB1B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4C1CE504" w14:textId="77777777" w:rsidR="00CC3B33" w:rsidRDefault="00E45A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0B8AABF0" w:rsidR="00E610F8" w:rsidRPr="00F214F6" w:rsidRDefault="00E610F8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78BF7E2A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E45A0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6C15CAE5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8F41E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1B159354" w:rsidR="00E610F8" w:rsidRPr="00F214F6" w:rsidRDefault="00E610F8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3EC05A7F" w:rsidR="00CC3B33" w:rsidRPr="00F214F6" w:rsidRDefault="008F41E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C35EB8F" w:rsidR="00CC3B33" w:rsidRPr="00F214F6" w:rsidRDefault="008F41E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1BA28E9F" w:rsidR="00CC3B33" w:rsidRPr="00F214F6" w:rsidRDefault="008F41E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139E880F" w:rsidR="00D92554" w:rsidRPr="00F214F6" w:rsidRDefault="00A20EA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12C3F841" w:rsidR="00CC3B33" w:rsidRPr="00F214F6" w:rsidRDefault="00A20E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3982C290" w:rsidR="00CC3B33" w:rsidRPr="00F214F6" w:rsidRDefault="00A20E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C0A148A" w:rsidR="00CC3B33" w:rsidRPr="00F214F6" w:rsidRDefault="00597A3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F99A230" w:rsidR="00CC3B33" w:rsidRPr="00F214F6" w:rsidRDefault="00A20E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406D177" w:rsidR="00CC3B33" w:rsidRPr="00F214F6" w:rsidRDefault="00A20EA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190F4C19" w:rsidR="00CC3B33" w:rsidRPr="00F214F6" w:rsidRDefault="00A20EAC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3E19DFC" w14:textId="77777777" w:rsidR="00CC3B33" w:rsidRDefault="00A20EA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04" w14:textId="217694B4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35EA7355" w14:textId="77777777" w:rsidR="00CC3B33" w:rsidRDefault="00A20EAC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7E5760B6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1AEA7414" w14:textId="77777777" w:rsidR="00CC3B33" w:rsidRDefault="00A20EA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D0A" w14:textId="2F73DB63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45CCA40" w14:textId="77777777" w:rsidR="00CC3B33" w:rsidRDefault="0028599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66C7B81D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A9E1DE2" w14:textId="77777777" w:rsidR="00CC3B33" w:rsidRDefault="0028599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1EED6AFA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6303EA50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2859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770466E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859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294AD20A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4D5B1FB0" w:rsidR="00CC3B33" w:rsidRPr="00F214F6" w:rsidRDefault="0028599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E3E6EE6" w:rsidR="00CC3B33" w:rsidRPr="00F214F6" w:rsidRDefault="0028599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A8A5756" w14:textId="77777777" w:rsidR="00CC3B33" w:rsidRDefault="0028599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1C" w14:textId="18454B6C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5223AC66" w:rsidR="00CC3B33" w:rsidRPr="00F214F6" w:rsidRDefault="0028599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2F184B1F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05FD845" w14:textId="77777777" w:rsidR="0029680B" w:rsidRDefault="0028599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766F2D29" w14:textId="17F899FF" w:rsidR="00E610F8" w:rsidRPr="00F214F6" w:rsidRDefault="00E610F8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FBEA829" w14:textId="77777777" w:rsidR="00CC3B33" w:rsidRDefault="0028599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2C" w14:textId="504634BD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33F99259" w14:textId="77777777" w:rsidR="00CC3B33" w:rsidRDefault="0028599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8703DC5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0ACC7DF6" w14:textId="77777777" w:rsidR="00CC3B33" w:rsidRDefault="0028599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2" w14:textId="6208F353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2DDA0FB" w14:textId="77777777" w:rsidR="00CC3B33" w:rsidRDefault="00386E1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2B756FB0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EFE8B57" w14:textId="77777777" w:rsidR="00CC3B33" w:rsidRDefault="00386E1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38" w14:textId="5F7B6612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12FB7914" w14:textId="77777777" w:rsidR="00CC3B33" w:rsidRDefault="00386E1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5460A8A4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5E873FF3" w:rsidR="00CC3B33" w:rsidRPr="00F214F6" w:rsidRDefault="00386E1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243E2BA6" w:rsidR="00CC3B33" w:rsidRPr="00F214F6" w:rsidRDefault="00386E1E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443CCBA7" w14:textId="77777777" w:rsidR="00CC3B33" w:rsidRDefault="00386E1E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6B5DAD11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6A61EF7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D750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C6ACF36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D7505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89C30D1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594F448" w:rsidR="00EB79EB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6EE02E61" w:rsidR="00CC3B33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20DA88E8" w:rsidR="00EB79EB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1DF9248" w:rsidR="00F02664" w:rsidRPr="00F214F6" w:rsidRDefault="00510E84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502ACB61" w:rsidR="00CC3B33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60F05D04" w:rsidR="00C77DBF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41DA8128" w14:textId="77777777" w:rsidR="00CC3B33" w:rsidRDefault="00510E8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7699BA50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7E8FA7EC" w14:textId="77777777" w:rsidR="00CC3B33" w:rsidRDefault="0072118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5F" w14:textId="6829F454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C967D35" w14:textId="77777777" w:rsidR="00CC3B33" w:rsidRDefault="00597A30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D62" w14:textId="244E373E" w:rsidR="00E610F8" w:rsidRPr="00F214F6" w:rsidRDefault="00E610F8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610F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  <w:bookmarkStart w:id="1" w:name="_GoBack"/>
            <w:bookmarkEnd w:id="1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198BDBC" w:rsidR="00A35D9A" w:rsidRPr="00F214F6" w:rsidRDefault="00510E8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1AED2F83" w:rsidR="00CC3B33" w:rsidRPr="00F214F6" w:rsidRDefault="00D22C8B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359A66D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EE0945" w:rsidRPr="00F214F6" w14:paraId="6E40CE34" w14:textId="77777777" w:rsidTr="00AD1A27">
        <w:tc>
          <w:tcPr>
            <w:tcW w:w="6345" w:type="dxa"/>
          </w:tcPr>
          <w:p w14:paraId="034FB51C" w14:textId="6CDAE5B2" w:rsidR="00EE0945" w:rsidRPr="00F214F6" w:rsidRDefault="00EE0945" w:rsidP="00EE094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48F78C04" w14:textId="4D7EC88D" w:rsidR="00EE0945" w:rsidRDefault="00EE0945" w:rsidP="00EE0945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Q102. 2</w:t>
            </w:r>
          </w:p>
          <w:p w14:paraId="23E39E68" w14:textId="18A4DD63" w:rsidR="00EE0945" w:rsidRPr="00F214F6" w:rsidRDefault="00EE0945" w:rsidP="00EE0945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7BC5FAA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041F9E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0F0790CE" w:rsidR="00907A59" w:rsidRPr="00F214F6" w:rsidRDefault="0078109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1B13D48D" w:rsidR="00907A59" w:rsidRPr="00F214F6" w:rsidRDefault="00781098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34F8459D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3B6785D5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693234FE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024B86FE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146E0EE9" w:rsidR="000F5116" w:rsidRPr="00F214F6" w:rsidRDefault="000F5116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5F61DB68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07C602A8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1B0B11E" w:rsidR="000F5116" w:rsidRPr="00F214F6" w:rsidRDefault="003C04D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17CD2443" w:rsidR="000F5116" w:rsidRPr="00F214F6" w:rsidRDefault="0078109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52F6C707" w:rsidR="000F5116" w:rsidRPr="00F214F6" w:rsidRDefault="00781098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162814" w:rsidRPr="00F214F6" w14:paraId="41CE5FE0" w14:textId="77777777" w:rsidTr="008F4B0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D506" w14:textId="47C3CCED" w:rsidR="00162814" w:rsidRPr="00F214F6" w:rsidRDefault="00162814" w:rsidP="0016281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6EEC" w14:textId="77777777" w:rsidR="00162814" w:rsidRDefault="00162814" w:rsidP="00162814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14:paraId="4612297C" w14:textId="424130DF" w:rsidR="00162814" w:rsidRDefault="00162814" w:rsidP="0016281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99</w:t>
            </w:r>
          </w:p>
        </w:tc>
      </w:tr>
      <w:tr w:rsidR="00162814" w:rsidRPr="00F214F6" w14:paraId="362E2330" w14:textId="77777777" w:rsidTr="008F4B0C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577A" w14:textId="59FCAC62" w:rsidR="00162814" w:rsidRPr="00F214F6" w:rsidRDefault="00162814" w:rsidP="0016281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0F7B" w14:textId="77777777" w:rsidR="00162814" w:rsidRDefault="00162814" w:rsidP="0016281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14:paraId="37EDBB10" w14:textId="1254C065" w:rsidR="00162814" w:rsidRDefault="00162814" w:rsidP="0016281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78" w14:textId="723AB408" w:rsidR="00D22C8B" w:rsidRPr="00F214F6" w:rsidRDefault="00FC55B3" w:rsidP="00480D92">
            <w:pPr>
              <w:pStyle w:val="ParaLevel1"/>
              <w:numPr>
                <w:ilvl w:val="0"/>
                <w:numId w:val="0"/>
              </w:numPr>
              <w:spacing w:before="0" w:after="0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</w:t>
            </w:r>
            <w:r w:rsidRPr="00FC55B3">
              <w:rPr>
                <w:rFonts w:ascii="Arial Nova Light" w:hAnsi="Arial Nova Light"/>
                <w:color w:val="000000" w:themeColor="text1"/>
              </w:rPr>
              <w:t>he respondent was due to face trial on an indictment alleging a number of counts of stalking</w:t>
            </w:r>
            <w:r w:rsidR="00D17D09">
              <w:rPr>
                <w:rFonts w:ascii="Arial Nova Light" w:hAnsi="Arial Nova Light"/>
                <w:color w:val="000000" w:themeColor="text1"/>
              </w:rPr>
              <w:t>. T</w:t>
            </w:r>
            <w:r w:rsidRPr="00FC55B3">
              <w:rPr>
                <w:rFonts w:ascii="Arial Nova Light" w:hAnsi="Arial Nova Light"/>
                <w:color w:val="000000" w:themeColor="text1"/>
              </w:rPr>
              <w:t>he judge was faced with an application by the respondent to adjourn on the grounds that significant material had only been served a few days before and required expert analysis which would take three weeks. The prosecution agreed that it was appropriate to adjourn the trial</w:t>
            </w:r>
            <w:r w:rsidR="00D00A86">
              <w:rPr>
                <w:rFonts w:ascii="Arial Nova Light" w:hAnsi="Arial Nova Light"/>
                <w:color w:val="000000" w:themeColor="text1"/>
              </w:rPr>
              <w:t>, albeit the trial judge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00A86">
              <w:rPr>
                <w:rFonts w:ascii="Arial Nova Light" w:hAnsi="Arial Nova Light"/>
                <w:color w:val="000000" w:themeColor="text1"/>
              </w:rPr>
              <w:t>did not agree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t>. He ruled that due to delay on the part of the prosecution, evidence of telephone call data records and telephone cell site data would be excluded</w:t>
            </w:r>
            <w:r w:rsidR="00DE686A">
              <w:rPr>
                <w:rFonts w:ascii="Arial Nova Light" w:hAnsi="Arial Nova Light"/>
                <w:color w:val="000000" w:themeColor="text1"/>
              </w:rPr>
              <w:t xml:space="preserve"> which would most probably extinguish the 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t>prosecution</w:t>
            </w:r>
            <w:r w:rsidR="00DE686A">
              <w:rPr>
                <w:rFonts w:ascii="Arial Nova Light" w:hAnsi="Arial Nova Light"/>
                <w:color w:val="000000" w:themeColor="text1"/>
              </w:rPr>
              <w:t>’s case</w:t>
            </w:r>
            <w:r w:rsidR="002E4F40">
              <w:rPr>
                <w:rFonts w:ascii="Arial Nova Light" w:hAnsi="Arial Nova Light"/>
                <w:color w:val="000000" w:themeColor="text1"/>
              </w:rPr>
              <w:t>. A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t>s a result, the Crown Prosecution Service (CPS) appl</w:t>
            </w:r>
            <w:r w:rsidR="002E4F40">
              <w:rPr>
                <w:rFonts w:ascii="Arial Nova Light" w:hAnsi="Arial Nova Light"/>
                <w:color w:val="000000" w:themeColor="text1"/>
              </w:rPr>
              <w:t>ied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t xml:space="preserve"> for leave </w:t>
            </w:r>
            <w:r w:rsidR="00D17D09" w:rsidRPr="00D17D09">
              <w:rPr>
                <w:rFonts w:ascii="Arial Nova Light" w:hAnsi="Arial Nova Light"/>
                <w:color w:val="000000" w:themeColor="text1"/>
              </w:rPr>
              <w:lastRenderedPageBreak/>
              <w:t>to appeal the terminating ruling</w:t>
            </w:r>
            <w:r w:rsidR="00D75050">
              <w:rPr>
                <w:rFonts w:ascii="Arial Nova Light" w:hAnsi="Arial Nova Light"/>
                <w:color w:val="000000" w:themeColor="text1"/>
              </w:rPr>
              <w:t>.</w:t>
            </w:r>
            <w:r w:rsidR="00480D92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D75050">
              <w:rPr>
                <w:rFonts w:ascii="Arial Nova Light" w:hAnsi="Arial Nova Light"/>
                <w:color w:val="000000" w:themeColor="text1"/>
              </w:rPr>
              <w:t xml:space="preserve">Para 14. </w:t>
            </w:r>
            <w:r w:rsidR="00510E84">
              <w:rPr>
                <w:rFonts w:ascii="Arial Nova Light" w:hAnsi="Arial Nova Light"/>
                <w:color w:val="000000" w:themeColor="text1"/>
              </w:rPr>
              <w:t xml:space="preserve">An inference was made based on </w:t>
            </w:r>
            <w:r w:rsidR="00510E84" w:rsidRPr="00510E84">
              <w:rPr>
                <w:rFonts w:ascii="Arial Nova Light" w:hAnsi="Arial Nova Light"/>
                <w:color w:val="000000" w:themeColor="text1"/>
              </w:rPr>
              <w:t>the distribution map prepared by the analyst of the cell sites utilised by both phones to make calls: this was on the basis that the same cell sites were being used by the two phones in roughly the same proportions.</w:t>
            </w:r>
            <w:r w:rsidR="00480D92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8473C1">
              <w:rPr>
                <w:rFonts w:ascii="Arial Nova Light" w:hAnsi="Arial Nova Light"/>
                <w:color w:val="000000" w:themeColor="text1"/>
              </w:rPr>
              <w:t xml:space="preserve">Defence pressed for the trial to be adjourned because their expert had only had the call data in its original format </w:t>
            </w:r>
            <w:r w:rsidR="00276892">
              <w:rPr>
                <w:rFonts w:ascii="Arial Nova Light" w:hAnsi="Arial Nova Light"/>
                <w:color w:val="000000" w:themeColor="text1"/>
              </w:rPr>
              <w:t>that week of the hearing and had recommended a full sell site survey and there had been no opportunity to take their client through the recent material.</w:t>
            </w: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82668" w14:textId="77777777" w:rsidR="007345F3" w:rsidRDefault="007345F3" w:rsidP="00187203">
      <w:pPr>
        <w:spacing w:after="0" w:line="240" w:lineRule="auto"/>
      </w:pPr>
      <w:r>
        <w:separator/>
      </w:r>
    </w:p>
  </w:endnote>
  <w:endnote w:type="continuationSeparator" w:id="0">
    <w:p w14:paraId="1EE0E32F" w14:textId="77777777" w:rsidR="007345F3" w:rsidRDefault="007345F3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51C7" w14:textId="77777777" w:rsidR="007345F3" w:rsidRDefault="007345F3" w:rsidP="00187203">
      <w:pPr>
        <w:spacing w:after="0" w:line="240" w:lineRule="auto"/>
      </w:pPr>
      <w:r>
        <w:separator/>
      </w:r>
    </w:p>
  </w:footnote>
  <w:footnote w:type="continuationSeparator" w:id="0">
    <w:p w14:paraId="4658AB0D" w14:textId="77777777" w:rsidR="007345F3" w:rsidRDefault="007345F3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33F18"/>
    <w:rsid w:val="00034807"/>
    <w:rsid w:val="00041F9E"/>
    <w:rsid w:val="00044E5D"/>
    <w:rsid w:val="00050B46"/>
    <w:rsid w:val="00054A86"/>
    <w:rsid w:val="00055EF0"/>
    <w:rsid w:val="0007269E"/>
    <w:rsid w:val="00083FFE"/>
    <w:rsid w:val="0009515D"/>
    <w:rsid w:val="00097755"/>
    <w:rsid w:val="000A4EC3"/>
    <w:rsid w:val="000B0DBC"/>
    <w:rsid w:val="000C67E9"/>
    <w:rsid w:val="000E65C1"/>
    <w:rsid w:val="000F5116"/>
    <w:rsid w:val="0011134F"/>
    <w:rsid w:val="001221BE"/>
    <w:rsid w:val="00127BBA"/>
    <w:rsid w:val="00132143"/>
    <w:rsid w:val="00136ABA"/>
    <w:rsid w:val="00141779"/>
    <w:rsid w:val="00154B87"/>
    <w:rsid w:val="00162814"/>
    <w:rsid w:val="0018382A"/>
    <w:rsid w:val="00184214"/>
    <w:rsid w:val="00187203"/>
    <w:rsid w:val="00196060"/>
    <w:rsid w:val="00197B70"/>
    <w:rsid w:val="001A2D1E"/>
    <w:rsid w:val="001A2D8B"/>
    <w:rsid w:val="001B3245"/>
    <w:rsid w:val="001B6629"/>
    <w:rsid w:val="001C0D45"/>
    <w:rsid w:val="001C4D47"/>
    <w:rsid w:val="001D6D26"/>
    <w:rsid w:val="001F335E"/>
    <w:rsid w:val="00223810"/>
    <w:rsid w:val="002278BF"/>
    <w:rsid w:val="00230626"/>
    <w:rsid w:val="00250C4F"/>
    <w:rsid w:val="00255E5F"/>
    <w:rsid w:val="00274535"/>
    <w:rsid w:val="00276892"/>
    <w:rsid w:val="0028308F"/>
    <w:rsid w:val="00285994"/>
    <w:rsid w:val="0029602E"/>
    <w:rsid w:val="0029680B"/>
    <w:rsid w:val="002A0936"/>
    <w:rsid w:val="002B7601"/>
    <w:rsid w:val="002D3EDC"/>
    <w:rsid w:val="002E4F40"/>
    <w:rsid w:val="002E75B4"/>
    <w:rsid w:val="00301AE4"/>
    <w:rsid w:val="00332ACD"/>
    <w:rsid w:val="0033791C"/>
    <w:rsid w:val="003420D0"/>
    <w:rsid w:val="00351578"/>
    <w:rsid w:val="00353568"/>
    <w:rsid w:val="00354D14"/>
    <w:rsid w:val="00356023"/>
    <w:rsid w:val="00386E1E"/>
    <w:rsid w:val="003923A8"/>
    <w:rsid w:val="003A29C8"/>
    <w:rsid w:val="003B1314"/>
    <w:rsid w:val="003C04D3"/>
    <w:rsid w:val="003D0993"/>
    <w:rsid w:val="003D6522"/>
    <w:rsid w:val="003D7AE4"/>
    <w:rsid w:val="003E1548"/>
    <w:rsid w:val="00416404"/>
    <w:rsid w:val="00417F03"/>
    <w:rsid w:val="00426926"/>
    <w:rsid w:val="00432A9E"/>
    <w:rsid w:val="00440933"/>
    <w:rsid w:val="00463D75"/>
    <w:rsid w:val="00470DD4"/>
    <w:rsid w:val="00480D92"/>
    <w:rsid w:val="004A33E6"/>
    <w:rsid w:val="004A44C9"/>
    <w:rsid w:val="004B32DB"/>
    <w:rsid w:val="004C51D2"/>
    <w:rsid w:val="004D1D32"/>
    <w:rsid w:val="004D1D66"/>
    <w:rsid w:val="004D1DE0"/>
    <w:rsid w:val="004E3100"/>
    <w:rsid w:val="004F1CFE"/>
    <w:rsid w:val="004F5DA4"/>
    <w:rsid w:val="00500E52"/>
    <w:rsid w:val="00505881"/>
    <w:rsid w:val="00506BC8"/>
    <w:rsid w:val="00510E84"/>
    <w:rsid w:val="00517475"/>
    <w:rsid w:val="005263CF"/>
    <w:rsid w:val="00536DD4"/>
    <w:rsid w:val="00540327"/>
    <w:rsid w:val="0054055B"/>
    <w:rsid w:val="00541F85"/>
    <w:rsid w:val="005515E1"/>
    <w:rsid w:val="005544E2"/>
    <w:rsid w:val="00555108"/>
    <w:rsid w:val="00597A30"/>
    <w:rsid w:val="005C1ABD"/>
    <w:rsid w:val="005E6686"/>
    <w:rsid w:val="00621FE2"/>
    <w:rsid w:val="00650F5E"/>
    <w:rsid w:val="0066212A"/>
    <w:rsid w:val="00691F55"/>
    <w:rsid w:val="00694917"/>
    <w:rsid w:val="00695A7F"/>
    <w:rsid w:val="006B0518"/>
    <w:rsid w:val="006B1ED2"/>
    <w:rsid w:val="006B3E2B"/>
    <w:rsid w:val="006B67A6"/>
    <w:rsid w:val="006D50FB"/>
    <w:rsid w:val="006D71C4"/>
    <w:rsid w:val="006D7C30"/>
    <w:rsid w:val="006E2010"/>
    <w:rsid w:val="006F3EB0"/>
    <w:rsid w:val="006F48BE"/>
    <w:rsid w:val="007106AC"/>
    <w:rsid w:val="0071493C"/>
    <w:rsid w:val="00721187"/>
    <w:rsid w:val="00724CC2"/>
    <w:rsid w:val="007345F3"/>
    <w:rsid w:val="00745850"/>
    <w:rsid w:val="007608D1"/>
    <w:rsid w:val="007659F7"/>
    <w:rsid w:val="007700FE"/>
    <w:rsid w:val="00781098"/>
    <w:rsid w:val="007A75BB"/>
    <w:rsid w:val="007B467D"/>
    <w:rsid w:val="007B63C7"/>
    <w:rsid w:val="007C712E"/>
    <w:rsid w:val="007D38C3"/>
    <w:rsid w:val="007E0BE0"/>
    <w:rsid w:val="007E78B1"/>
    <w:rsid w:val="007F3561"/>
    <w:rsid w:val="00822889"/>
    <w:rsid w:val="00823B61"/>
    <w:rsid w:val="00830569"/>
    <w:rsid w:val="008473C1"/>
    <w:rsid w:val="00847F94"/>
    <w:rsid w:val="008513B8"/>
    <w:rsid w:val="00873BFC"/>
    <w:rsid w:val="00897696"/>
    <w:rsid w:val="008A00C1"/>
    <w:rsid w:val="008B34D6"/>
    <w:rsid w:val="008C01BB"/>
    <w:rsid w:val="008D033C"/>
    <w:rsid w:val="008E4358"/>
    <w:rsid w:val="008F41EE"/>
    <w:rsid w:val="008F4C73"/>
    <w:rsid w:val="0090333A"/>
    <w:rsid w:val="00906F86"/>
    <w:rsid w:val="00907A59"/>
    <w:rsid w:val="009111D6"/>
    <w:rsid w:val="009158B6"/>
    <w:rsid w:val="00922DBD"/>
    <w:rsid w:val="0093054D"/>
    <w:rsid w:val="00931D66"/>
    <w:rsid w:val="00957EF2"/>
    <w:rsid w:val="0096290A"/>
    <w:rsid w:val="00962A8E"/>
    <w:rsid w:val="009642C0"/>
    <w:rsid w:val="0097046D"/>
    <w:rsid w:val="00985ED4"/>
    <w:rsid w:val="00986E91"/>
    <w:rsid w:val="00997E51"/>
    <w:rsid w:val="009B254A"/>
    <w:rsid w:val="009B6FDB"/>
    <w:rsid w:val="009C6C64"/>
    <w:rsid w:val="009D255B"/>
    <w:rsid w:val="009D6682"/>
    <w:rsid w:val="009D74E0"/>
    <w:rsid w:val="00A00F86"/>
    <w:rsid w:val="00A037A7"/>
    <w:rsid w:val="00A06CDF"/>
    <w:rsid w:val="00A162D8"/>
    <w:rsid w:val="00A20EAC"/>
    <w:rsid w:val="00A35D9A"/>
    <w:rsid w:val="00A37FFB"/>
    <w:rsid w:val="00A55686"/>
    <w:rsid w:val="00AA42DF"/>
    <w:rsid w:val="00AC3F15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342F8"/>
    <w:rsid w:val="00B414DC"/>
    <w:rsid w:val="00B4438E"/>
    <w:rsid w:val="00B57863"/>
    <w:rsid w:val="00B72406"/>
    <w:rsid w:val="00B918C9"/>
    <w:rsid w:val="00B96A7F"/>
    <w:rsid w:val="00BA51A8"/>
    <w:rsid w:val="00BA7AB8"/>
    <w:rsid w:val="00BA7DF9"/>
    <w:rsid w:val="00BB11F3"/>
    <w:rsid w:val="00BC2433"/>
    <w:rsid w:val="00BC5287"/>
    <w:rsid w:val="00BD51A0"/>
    <w:rsid w:val="00BD58D8"/>
    <w:rsid w:val="00BE7ACA"/>
    <w:rsid w:val="00BF356D"/>
    <w:rsid w:val="00C01DD5"/>
    <w:rsid w:val="00C04236"/>
    <w:rsid w:val="00C11B05"/>
    <w:rsid w:val="00C278D3"/>
    <w:rsid w:val="00C42256"/>
    <w:rsid w:val="00C47288"/>
    <w:rsid w:val="00C51014"/>
    <w:rsid w:val="00C51D00"/>
    <w:rsid w:val="00C720B2"/>
    <w:rsid w:val="00C75185"/>
    <w:rsid w:val="00C77DBF"/>
    <w:rsid w:val="00C82539"/>
    <w:rsid w:val="00C83493"/>
    <w:rsid w:val="00C96F87"/>
    <w:rsid w:val="00CA297F"/>
    <w:rsid w:val="00CC3B33"/>
    <w:rsid w:val="00CC4AFC"/>
    <w:rsid w:val="00D00A86"/>
    <w:rsid w:val="00D11F75"/>
    <w:rsid w:val="00D17D09"/>
    <w:rsid w:val="00D22C8B"/>
    <w:rsid w:val="00D23830"/>
    <w:rsid w:val="00D548B7"/>
    <w:rsid w:val="00D573E4"/>
    <w:rsid w:val="00D62FCA"/>
    <w:rsid w:val="00D7225E"/>
    <w:rsid w:val="00D75050"/>
    <w:rsid w:val="00D80F5C"/>
    <w:rsid w:val="00D818A1"/>
    <w:rsid w:val="00D92554"/>
    <w:rsid w:val="00D94151"/>
    <w:rsid w:val="00D970E4"/>
    <w:rsid w:val="00DB2C1F"/>
    <w:rsid w:val="00DC2AFD"/>
    <w:rsid w:val="00DC34AA"/>
    <w:rsid w:val="00DC649D"/>
    <w:rsid w:val="00DE1EBB"/>
    <w:rsid w:val="00DE3410"/>
    <w:rsid w:val="00DE686A"/>
    <w:rsid w:val="00DF32A8"/>
    <w:rsid w:val="00E16710"/>
    <w:rsid w:val="00E17E8B"/>
    <w:rsid w:val="00E22D4F"/>
    <w:rsid w:val="00E45A0B"/>
    <w:rsid w:val="00E54A2C"/>
    <w:rsid w:val="00E610F8"/>
    <w:rsid w:val="00E6718B"/>
    <w:rsid w:val="00E720A3"/>
    <w:rsid w:val="00E72634"/>
    <w:rsid w:val="00E81AE6"/>
    <w:rsid w:val="00EB5FD3"/>
    <w:rsid w:val="00EB79EB"/>
    <w:rsid w:val="00EC156F"/>
    <w:rsid w:val="00ED596A"/>
    <w:rsid w:val="00EE0945"/>
    <w:rsid w:val="00F017B0"/>
    <w:rsid w:val="00F02664"/>
    <w:rsid w:val="00F02D07"/>
    <w:rsid w:val="00F06321"/>
    <w:rsid w:val="00F0669C"/>
    <w:rsid w:val="00F214F6"/>
    <w:rsid w:val="00F260E7"/>
    <w:rsid w:val="00F32DC2"/>
    <w:rsid w:val="00F460E6"/>
    <w:rsid w:val="00F52BDC"/>
    <w:rsid w:val="00F5354D"/>
    <w:rsid w:val="00F5647D"/>
    <w:rsid w:val="00F60F70"/>
    <w:rsid w:val="00F85BDD"/>
    <w:rsid w:val="00FC2C57"/>
    <w:rsid w:val="00FC4F1D"/>
    <w:rsid w:val="00FC55B3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4796B-D74F-41D8-99FB-4E678E2E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17</cp:revision>
  <cp:lastPrinted>2019-01-14T14:22:00Z</cp:lastPrinted>
  <dcterms:created xsi:type="dcterms:W3CDTF">2019-11-20T09:13:00Z</dcterms:created>
  <dcterms:modified xsi:type="dcterms:W3CDTF">2020-05-04T16:36:00Z</dcterms:modified>
</cp:coreProperties>
</file>