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765717" w:rsidP="00E22D4F">
            <w:pPr>
              <w:rPr>
                <w:rFonts w:ascii="Arial Nova Light" w:hAnsi="Arial Nova Light" w:cstheme="majorBidi"/>
                <w:color w:val="000000" w:themeColor="text1"/>
                <w:sz w:val="24"/>
                <w:szCs w:val="24"/>
              </w:rPr>
            </w:pPr>
            <w:r w:rsidRPr="00765717">
              <w:rPr>
                <w:rFonts w:ascii="Arial Nova Light" w:hAnsi="Arial Nova Light" w:cstheme="majorBidi"/>
                <w:color w:val="000000" w:themeColor="text1"/>
                <w:sz w:val="24"/>
                <w:szCs w:val="24"/>
              </w:rPr>
              <w:t>Hassan, R v [2018] EWCA Crim 498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A9414A"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060318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930E6B">
              <w:rPr>
                <w:rFonts w:ascii="Arial Nova Light" w:hAnsi="Arial Nova Light" w:cstheme="majorBidi"/>
                <w:color w:val="000000" w:themeColor="text1"/>
                <w:sz w:val="24"/>
                <w:szCs w:val="24"/>
              </w:rPr>
              <w:t>/conviction</w:t>
            </w:r>
          </w:p>
        </w:tc>
        <w:tc>
          <w:tcPr>
            <w:tcW w:w="9072" w:type="dxa"/>
          </w:tcPr>
          <w:p w:rsidR="000C67E9" w:rsidRPr="00F214F6" w:rsidRDefault="008B3C4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A9414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A9414A"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A9414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8</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FC142F">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41121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7050E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724F0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7050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7050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7050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7050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7050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C142F">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72103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D162F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D162F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D162F8"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This was a preparatory hearing </w:t>
            </w:r>
            <w:r w:rsidR="00064794" w:rsidRPr="00064794">
              <w:rPr>
                <w:rFonts w:ascii="Arial Nova Light" w:hAnsi="Arial Nova Light" w:cstheme="majorBidi"/>
                <w:color w:val="000000" w:themeColor="text1"/>
                <w:szCs w:val="24"/>
              </w:rPr>
              <w:t>t</w:t>
            </w:r>
            <w:r w:rsidR="00064794">
              <w:rPr>
                <w:rFonts w:ascii="Arial Nova Light" w:hAnsi="Arial Nova Light" w:cstheme="majorBidi"/>
                <w:color w:val="000000" w:themeColor="text1"/>
                <w:szCs w:val="24"/>
              </w:rPr>
              <w:t>o consider t</w:t>
            </w:r>
            <w:r w:rsidR="00064794" w:rsidRPr="00064794">
              <w:rPr>
                <w:rFonts w:ascii="Arial Nova Light" w:hAnsi="Arial Nova Light" w:cstheme="majorBidi"/>
                <w:color w:val="000000" w:themeColor="text1"/>
                <w:szCs w:val="24"/>
              </w:rPr>
              <w:t xml:space="preserve">he admissibility of psychological evidence </w:t>
            </w:r>
            <w:r w:rsidR="00064794">
              <w:rPr>
                <w:rFonts w:ascii="Arial Nova Light" w:hAnsi="Arial Nova Light" w:cstheme="majorBidi"/>
                <w:color w:val="000000" w:themeColor="text1"/>
                <w:szCs w:val="24"/>
              </w:rPr>
              <w:t xml:space="preserve">it terms of </w:t>
            </w:r>
            <w:r w:rsidR="00064794" w:rsidRPr="00064794">
              <w:rPr>
                <w:rFonts w:ascii="Arial Nova Light" w:hAnsi="Arial Nova Light" w:cstheme="majorBidi"/>
                <w:color w:val="000000" w:themeColor="text1"/>
                <w:szCs w:val="24"/>
              </w:rPr>
              <w:t>whether the evidence was relevant to the question of intent.</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343C6">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61779">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61779">
              <w:rPr>
                <w:rFonts w:ascii="Arial Nova Light" w:hAnsi="Arial Nova Light" w:cstheme="majorBidi"/>
                <w:iCs/>
                <w:color w:val="000000" w:themeColor="text1"/>
                <w:sz w:val="24"/>
                <w:szCs w:val="24"/>
              </w:rPr>
              <w:t>two psychological reports from the same psychologist</w:t>
            </w:r>
            <w:r w:rsidR="00E343C6">
              <w:rPr>
                <w:rFonts w:ascii="Arial Nova Light" w:hAnsi="Arial Nova Light" w:cstheme="majorBidi"/>
                <w:iCs/>
                <w:color w:val="000000" w:themeColor="text1"/>
                <w:sz w:val="24"/>
                <w:szCs w:val="24"/>
              </w:rPr>
              <w:t xml:space="preserve"> for the preparatory hearing</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E6177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E617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E617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E343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E343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E343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E343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E343C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E343C6"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343C6">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343C6">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E343C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E343C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E343C6">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343C6">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F0440" w:rsidRPr="00F214F6" w:rsidTr="00D970E4">
        <w:tc>
          <w:tcPr>
            <w:tcW w:w="6345" w:type="dxa"/>
          </w:tcPr>
          <w:p w:rsidR="002F0440" w:rsidRPr="00F214F6" w:rsidRDefault="002F0440" w:rsidP="002F044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2F0440" w:rsidRPr="00F214F6" w:rsidRDefault="002F0440" w:rsidP="002F044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F40AC6">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F40AC6" w:rsidRPr="00F40AC6">
              <w:rPr>
                <w:rFonts w:ascii="Arial Nova Light" w:hAnsi="Arial Nova Light" w:cstheme="majorBidi"/>
                <w:iCs/>
                <w:color w:val="000000" w:themeColor="text1"/>
                <w:sz w:val="24"/>
                <w:szCs w:val="24"/>
              </w:rPr>
              <w:t>Thompson [2014] EWCA Crim 836</w:t>
            </w:r>
            <w:r w:rsidR="00F40AC6">
              <w:rPr>
                <w:rFonts w:ascii="Arial Nova Light" w:hAnsi="Arial Nova Light" w:cstheme="majorBidi"/>
                <w:iCs/>
                <w:color w:val="000000" w:themeColor="text1"/>
                <w:sz w:val="24"/>
                <w:szCs w:val="24"/>
              </w:rPr>
              <w:t xml:space="preserve">; </w:t>
            </w:r>
            <w:r w:rsidR="00F40AC6" w:rsidRPr="00F40AC6">
              <w:rPr>
                <w:rFonts w:ascii="Arial Nova Light" w:hAnsi="Arial Nova Light" w:cstheme="majorBidi"/>
                <w:iCs/>
                <w:color w:val="000000" w:themeColor="text1"/>
                <w:sz w:val="24"/>
                <w:szCs w:val="24"/>
              </w:rPr>
              <w:t>Grant-Murray [2017] EWCA Crim 1228</w:t>
            </w:r>
            <w:r w:rsidR="008E7DF4">
              <w:rPr>
                <w:rFonts w:ascii="Arial Nova Light" w:hAnsi="Arial Nova Light" w:cstheme="majorBidi"/>
                <w:iCs/>
                <w:color w:val="000000" w:themeColor="text1"/>
                <w:sz w:val="24"/>
                <w:szCs w:val="24"/>
              </w:rPr>
              <w:t xml:space="preserve">; </w:t>
            </w:r>
            <w:r w:rsidR="008E7DF4" w:rsidRPr="008E7DF4">
              <w:rPr>
                <w:rFonts w:ascii="Arial Nova Light" w:hAnsi="Arial Nova Light" w:cstheme="majorBidi"/>
                <w:iCs/>
                <w:color w:val="000000" w:themeColor="text1"/>
                <w:sz w:val="24"/>
                <w:szCs w:val="24"/>
              </w:rPr>
              <w:t>Huckerby [2004] EWCA Crim 3251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E343C6" w:rsidP="00E343C6">
            <w:pPr>
              <w:rPr>
                <w:rFonts w:ascii="Arial Nova Light" w:hAnsi="Arial Nova Light" w:cstheme="majorBidi"/>
                <w:color w:val="000000" w:themeColor="text1"/>
                <w:sz w:val="24"/>
                <w:szCs w:val="24"/>
              </w:rPr>
            </w:pPr>
            <w:r w:rsidRPr="00A9414A">
              <w:rPr>
                <w:rFonts w:ascii="Arial Nova Light" w:hAnsi="Arial Nova Light" w:cstheme="majorBidi"/>
                <w:color w:val="000000" w:themeColor="text1"/>
                <w:sz w:val="24"/>
                <w:szCs w:val="24"/>
              </w:rPr>
              <w:t>Sir Brian Leveson</w:t>
            </w:r>
            <w:r>
              <w:rPr>
                <w:rFonts w:ascii="Arial Nova Light" w:hAnsi="Arial Nova Light" w:cstheme="majorBidi"/>
                <w:color w:val="000000" w:themeColor="text1"/>
                <w:sz w:val="24"/>
                <w:szCs w:val="24"/>
              </w:rPr>
              <w:t xml:space="preserve">, </w:t>
            </w:r>
            <w:r w:rsidRPr="00A9414A">
              <w:rPr>
                <w:rFonts w:ascii="Arial Nova Light" w:hAnsi="Arial Nova Light" w:cstheme="majorBidi"/>
                <w:color w:val="000000" w:themeColor="text1"/>
                <w:sz w:val="24"/>
                <w:szCs w:val="24"/>
              </w:rPr>
              <w:t xml:space="preserve">Mrs Justice </w:t>
            </w:r>
            <w:proofErr w:type="spellStart"/>
            <w:r w:rsidRPr="00A9414A">
              <w:rPr>
                <w:rFonts w:ascii="Arial Nova Light" w:hAnsi="Arial Nova Light" w:cstheme="majorBidi"/>
                <w:color w:val="000000" w:themeColor="text1"/>
                <w:sz w:val="24"/>
                <w:szCs w:val="24"/>
              </w:rPr>
              <w:t>Carr</w:t>
            </w:r>
            <w:proofErr w:type="spellEnd"/>
            <w:r w:rsidRPr="00A9414A">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 xml:space="preserve">And </w:t>
            </w:r>
            <w:r w:rsidRPr="00A9414A">
              <w:rPr>
                <w:rFonts w:ascii="Arial Nova Light" w:hAnsi="Arial Nova Light" w:cstheme="majorBidi"/>
                <w:color w:val="000000" w:themeColor="text1"/>
                <w:sz w:val="24"/>
                <w:szCs w:val="24"/>
              </w:rPr>
              <w:t>Mrs Justice Yip</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A9414A" w:rsidP="0047413B">
            <w:pPr>
              <w:suppressAutoHyphens/>
              <w:rPr>
                <w:rFonts w:ascii="Arial Nova Light" w:hAnsi="Arial Nova Light" w:cstheme="majorBidi"/>
                <w:bCs/>
                <w:color w:val="000000" w:themeColor="text1"/>
                <w:spacing w:val="-3"/>
                <w:sz w:val="24"/>
                <w:szCs w:val="24"/>
              </w:rPr>
            </w:pPr>
            <w:r w:rsidRPr="00A9414A">
              <w:rPr>
                <w:rFonts w:ascii="Arial Nova Light" w:hAnsi="Arial Nova Light" w:cstheme="majorBidi"/>
                <w:bCs/>
                <w:color w:val="000000" w:themeColor="text1"/>
                <w:spacing w:val="-3"/>
                <w:sz w:val="24"/>
                <w:szCs w:val="24"/>
              </w:rPr>
              <w:t>Mr T Maloney and Mr K Missouri appeared on behalf of the Applicant</w:t>
            </w:r>
            <w:r w:rsidR="0047413B">
              <w:rPr>
                <w:rFonts w:ascii="Arial Nova Light" w:hAnsi="Arial Nova Light" w:cstheme="majorBidi"/>
                <w:bCs/>
                <w:color w:val="000000" w:themeColor="text1"/>
                <w:spacing w:val="-3"/>
                <w:sz w:val="24"/>
                <w:szCs w:val="24"/>
              </w:rPr>
              <w:t xml:space="preserve">. </w:t>
            </w:r>
            <w:r w:rsidRPr="00A9414A">
              <w:rPr>
                <w:rFonts w:ascii="Arial Nova Light" w:hAnsi="Arial Nova Light" w:cstheme="majorBidi"/>
                <w:bCs/>
                <w:color w:val="000000" w:themeColor="text1"/>
                <w:spacing w:val="-3"/>
                <w:sz w:val="24"/>
                <w:szCs w:val="24"/>
              </w:rPr>
              <w:t>Miss A Morgan and Mr B Lloyd appeared on behalf of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FC142F">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930E6B">
              <w:rPr>
                <w:rFonts w:ascii="Arial Nova Light" w:hAnsi="Arial Nova Light" w:cstheme="majorBidi"/>
                <w:color w:val="000000" w:themeColor="text1"/>
                <w:sz w:val="24"/>
                <w:szCs w:val="24"/>
              </w:rPr>
              <w:t xml:space="preserve"> (first crime)</w:t>
            </w:r>
          </w:p>
        </w:tc>
        <w:tc>
          <w:tcPr>
            <w:tcW w:w="9072" w:type="dxa"/>
          </w:tcPr>
          <w:p w:rsidR="00CC3B33" w:rsidRPr="00F214F6" w:rsidRDefault="005339FE"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150919</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715D3B">
              <w:rPr>
                <w:rFonts w:ascii="Arial Nova Light" w:hAnsi="Arial Nova Light" w:cstheme="majorBidi"/>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715D3B">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715D3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930E6B">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15D3B">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15D3B">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715D3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947637" w:rsidP="00E22D4F">
            <w:pPr>
              <w:rPr>
                <w:rFonts w:ascii="Arial Nova Light" w:hAnsi="Arial Nova Light" w:cstheme="majorBidi"/>
                <w:color w:val="000000" w:themeColor="text1"/>
                <w:sz w:val="24"/>
                <w:szCs w:val="24"/>
              </w:rPr>
            </w:pPr>
            <w:r w:rsidRPr="00947637">
              <w:rPr>
                <w:rFonts w:ascii="Arial Nova Light" w:hAnsi="Arial Nova Light" w:cstheme="majorBidi"/>
                <w:color w:val="000000" w:themeColor="text1"/>
                <w:sz w:val="24"/>
                <w:szCs w:val="24"/>
              </w:rPr>
              <w:t>attempted murder and causing an explosion</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535433">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535433">
              <w:rPr>
                <w:rFonts w:ascii="Arial Nova Light" w:hAnsi="Arial Nova Light" w:cstheme="majorBidi"/>
                <w:iCs/>
                <w:color w:val="000000" w:themeColor="text1"/>
                <w:sz w:val="24"/>
                <w:szCs w:val="24"/>
              </w:rPr>
              <w:t>CCTV footage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535433">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535433">
              <w:rPr>
                <w:rFonts w:ascii="Arial Nova Light" w:hAnsi="Arial Nova Light" w:cstheme="majorBidi"/>
                <w:iCs/>
                <w:color w:val="000000" w:themeColor="text1"/>
                <w:sz w:val="24"/>
                <w:szCs w:val="24"/>
              </w:rPr>
              <w:t>Psychologist’s report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715D3B">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715D3B">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715D3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715D3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715D3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715D3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FC142F">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715D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715D3B">
              <w:rPr>
                <w:rFonts w:ascii="Arial Nova Light" w:hAnsi="Arial Nova Light" w:cstheme="majorBidi"/>
                <w:color w:val="000000" w:themeColor="text1"/>
                <w:sz w:val="24"/>
                <w:szCs w:val="24"/>
              </w:rPr>
              <w:t>99</w:t>
            </w:r>
          </w:p>
          <w:p w:rsidR="0061407E"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715D3B">
              <w:rPr>
                <w:rFonts w:ascii="Arial Nova Light" w:hAnsi="Arial Nova Light" w:cstheme="majorBidi"/>
                <w:color w:val="000000" w:themeColor="text1"/>
                <w:sz w:val="24"/>
                <w:szCs w:val="24"/>
              </w:rPr>
              <w:t>99</w:t>
            </w:r>
          </w:p>
          <w:p w:rsidR="0061407E" w:rsidRPr="0061407E" w:rsidRDefault="00D92554" w:rsidP="0061407E">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 </w:t>
            </w:r>
            <w:r w:rsidR="0061407E" w:rsidRPr="0061407E">
              <w:rPr>
                <w:rFonts w:ascii="Arial Nova Light" w:hAnsi="Arial Nova Light" w:cstheme="majorBidi"/>
                <w:b/>
                <w:bCs/>
                <w:color w:val="000000" w:themeColor="text1"/>
                <w:sz w:val="24"/>
                <w:szCs w:val="24"/>
              </w:rPr>
              <w:t>Annotations:</w:t>
            </w:r>
          </w:p>
          <w:p w:rsidR="00D92554" w:rsidRPr="00F214F6" w:rsidRDefault="00D92554"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715D3B"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715D3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715D3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BD45E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BD45E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BD45E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E962B9" w:rsidRDefault="003420D0" w:rsidP="002278BF">
            <w:pPr>
              <w:rPr>
                <w:rFonts w:ascii="Arial Nova Light" w:hAnsi="Arial Nova Light" w:cstheme="majorBidi"/>
                <w:color w:val="1D1B11" w:themeColor="background2" w:themeShade="1A"/>
                <w:sz w:val="24"/>
                <w:szCs w:val="24"/>
              </w:rPr>
            </w:pPr>
            <w:r w:rsidRPr="00E962B9">
              <w:rPr>
                <w:rFonts w:ascii="Arial Nova Light" w:hAnsi="Arial Nova Light" w:cstheme="majorBidi"/>
                <w:color w:val="1D1B11" w:themeColor="background2" w:themeShade="1A"/>
                <w:sz w:val="24"/>
                <w:szCs w:val="24"/>
              </w:rPr>
              <w:t xml:space="preserve">66. </w:t>
            </w:r>
            <w:r w:rsidR="00CC3B33" w:rsidRPr="00E962B9">
              <w:rPr>
                <w:rFonts w:ascii="Arial Nova Light" w:hAnsi="Arial Nova Light" w:cstheme="majorBidi"/>
                <w:color w:val="1D1B11" w:themeColor="background2" w:themeShade="1A"/>
                <w:sz w:val="24"/>
                <w:szCs w:val="24"/>
              </w:rPr>
              <w:t>Were evidence requests made according to the legal rules?</w:t>
            </w:r>
          </w:p>
        </w:tc>
        <w:tc>
          <w:tcPr>
            <w:tcW w:w="9072" w:type="dxa"/>
          </w:tcPr>
          <w:p w:rsidR="00CC3B33" w:rsidRPr="00E962B9" w:rsidRDefault="00E962B9" w:rsidP="00D92554">
            <w:pPr>
              <w:rPr>
                <w:rFonts w:ascii="Arial Nova Light" w:hAnsi="Arial Nova Light" w:cstheme="majorBidi"/>
                <w:color w:val="1D1B11" w:themeColor="background2" w:themeShade="1A"/>
                <w:sz w:val="24"/>
                <w:szCs w:val="24"/>
              </w:rPr>
            </w:pPr>
            <w:r w:rsidRPr="00E962B9">
              <w:rPr>
                <w:rFonts w:ascii="Arial Nova Light" w:hAnsi="Arial Nova Light" w:cstheme="majorBidi"/>
                <w:iCs/>
                <w:color w:val="1D1B11" w:themeColor="background2" w:themeShade="1A"/>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BD45E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BD45E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BD45E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Consultant psychologist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BD45EE">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BD45EE">
              <w:rPr>
                <w:rFonts w:ascii="Arial Nova Light" w:hAnsi="Arial Nova Light" w:cstheme="majorBidi"/>
                <w:iCs/>
                <w:color w:val="000000" w:themeColor="text1"/>
                <w:sz w:val="24"/>
                <w:szCs w:val="24"/>
              </w:rPr>
              <w:t>99</w:t>
            </w:r>
          </w:p>
          <w:p w:rsidR="0061407E" w:rsidRPr="0061407E" w:rsidRDefault="0061407E" w:rsidP="0061407E">
            <w:pPr>
              <w:rPr>
                <w:rFonts w:ascii="Arial Nova Light" w:hAnsi="Arial Nova Light" w:cstheme="majorBidi"/>
                <w:b/>
                <w:bCs/>
                <w:iCs/>
                <w:color w:val="000000" w:themeColor="text1"/>
                <w:sz w:val="24"/>
                <w:szCs w:val="24"/>
              </w:rPr>
            </w:pPr>
            <w:r w:rsidRPr="0061407E">
              <w:rPr>
                <w:rFonts w:ascii="Arial Nova Light" w:hAnsi="Arial Nova Light" w:cstheme="majorBidi"/>
                <w:b/>
                <w:bCs/>
                <w:iCs/>
                <w:color w:val="000000" w:themeColor="text1"/>
                <w:sz w:val="24"/>
                <w:szCs w:val="24"/>
              </w:rPr>
              <w:t>Annotations:</w:t>
            </w:r>
          </w:p>
          <w:p w:rsidR="0061407E" w:rsidRPr="00F214F6" w:rsidRDefault="0061407E"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BD45E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BD45E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BD45E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FC142F">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CC3B33" w:rsidRPr="00F214F6">
              <w:rPr>
                <w:rFonts w:ascii="Arial Nova Light" w:hAnsi="Arial Nova Light" w:cstheme="majorBidi"/>
                <w:color w:val="000000" w:themeColor="text1"/>
                <w:sz w:val="24"/>
                <w:szCs w:val="24"/>
              </w:rPr>
              <w:t>Did (main)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BD45E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A2F70" w:rsidRPr="00AA2F70" w:rsidRDefault="00AA2F70" w:rsidP="00AA2F70">
            <w:pPr>
              <w:rPr>
                <w:rFonts w:ascii="Arial Nova Light" w:hAnsi="Arial Nova Light" w:cstheme="majorBidi"/>
                <w:b/>
                <w:bCs/>
                <w:iCs/>
                <w:color w:val="000000" w:themeColor="text1"/>
                <w:sz w:val="24"/>
                <w:szCs w:val="24"/>
              </w:rPr>
            </w:pPr>
            <w:r w:rsidRPr="00AA2F70">
              <w:rPr>
                <w:rFonts w:ascii="Arial Nova Light" w:hAnsi="Arial Nova Light" w:cstheme="majorBidi"/>
                <w:b/>
                <w:bCs/>
                <w:iCs/>
                <w:color w:val="000000" w:themeColor="text1"/>
                <w:sz w:val="24"/>
                <w:szCs w:val="24"/>
              </w:rPr>
              <w:t>Annotations:</w:t>
            </w:r>
          </w:p>
          <w:p w:rsidR="00AA2F70" w:rsidRPr="00F214F6" w:rsidRDefault="00AA2F7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016A0" w:rsidRPr="003016A0" w:rsidRDefault="003016A0" w:rsidP="003016A0">
            <w:pPr>
              <w:rPr>
                <w:rFonts w:ascii="Arial Nova Light" w:hAnsi="Arial Nova Light" w:cstheme="majorBidi"/>
                <w:b/>
                <w:bCs/>
                <w:iCs/>
                <w:color w:val="000000" w:themeColor="text1"/>
                <w:sz w:val="24"/>
                <w:szCs w:val="24"/>
              </w:rPr>
            </w:pPr>
            <w:r w:rsidRPr="003016A0">
              <w:rPr>
                <w:rFonts w:ascii="Arial Nova Light" w:hAnsi="Arial Nova Light" w:cstheme="majorBidi"/>
                <w:b/>
                <w:bCs/>
                <w:iCs/>
                <w:color w:val="000000" w:themeColor="text1"/>
                <w:sz w:val="24"/>
                <w:szCs w:val="24"/>
              </w:rPr>
              <w:t>Annotations:</w:t>
            </w:r>
          </w:p>
          <w:p w:rsidR="003016A0" w:rsidRPr="00F214F6" w:rsidRDefault="003016A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D45EE">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D45EE">
              <w:rPr>
                <w:rFonts w:ascii="Arial Nova Light" w:hAnsi="Arial Nova Light" w:cstheme="majorBidi"/>
                <w:iCs/>
                <w:color w:val="000000" w:themeColor="text1"/>
                <w:sz w:val="24"/>
                <w:szCs w:val="24"/>
              </w:rPr>
              <w:t>99</w:t>
            </w:r>
          </w:p>
          <w:p w:rsidR="003016A0" w:rsidRPr="003016A0" w:rsidRDefault="003016A0" w:rsidP="003016A0">
            <w:pPr>
              <w:rPr>
                <w:rFonts w:ascii="Arial Nova Light" w:hAnsi="Arial Nova Light" w:cstheme="majorBidi"/>
                <w:b/>
                <w:bCs/>
                <w:iCs/>
                <w:color w:val="000000" w:themeColor="text1"/>
                <w:sz w:val="24"/>
                <w:szCs w:val="24"/>
              </w:rPr>
            </w:pPr>
            <w:r w:rsidRPr="003016A0">
              <w:rPr>
                <w:rFonts w:ascii="Arial Nova Light" w:hAnsi="Arial Nova Light" w:cstheme="majorBidi"/>
                <w:b/>
                <w:bCs/>
                <w:iCs/>
                <w:color w:val="000000" w:themeColor="text1"/>
                <w:sz w:val="24"/>
                <w:szCs w:val="24"/>
              </w:rPr>
              <w:t>Annotations:</w:t>
            </w:r>
          </w:p>
          <w:p w:rsidR="003016A0" w:rsidRPr="00F214F6" w:rsidRDefault="003016A0"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BD45EE"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BD45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16A0" w:rsidRPr="003016A0" w:rsidRDefault="003016A0" w:rsidP="003016A0">
            <w:pPr>
              <w:rPr>
                <w:rFonts w:ascii="Arial Nova Light" w:hAnsi="Arial Nova Light" w:cstheme="majorBidi"/>
                <w:b/>
                <w:bCs/>
                <w:iCs/>
                <w:color w:val="000000" w:themeColor="text1"/>
                <w:sz w:val="24"/>
                <w:szCs w:val="24"/>
              </w:rPr>
            </w:pPr>
            <w:r w:rsidRPr="003016A0">
              <w:rPr>
                <w:rFonts w:ascii="Arial Nova Light" w:hAnsi="Arial Nova Light" w:cstheme="majorBidi"/>
                <w:b/>
                <w:bCs/>
                <w:iCs/>
                <w:color w:val="000000" w:themeColor="text1"/>
                <w:sz w:val="24"/>
                <w:szCs w:val="24"/>
              </w:rPr>
              <w:t>Annotations:</w:t>
            </w:r>
          </w:p>
          <w:p w:rsidR="003016A0" w:rsidRPr="00F214F6" w:rsidRDefault="003016A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16A0" w:rsidRPr="003016A0" w:rsidRDefault="003016A0" w:rsidP="003016A0">
            <w:pPr>
              <w:rPr>
                <w:rFonts w:ascii="Arial Nova Light" w:hAnsi="Arial Nova Light" w:cstheme="majorBidi"/>
                <w:b/>
                <w:bCs/>
                <w:iCs/>
                <w:color w:val="000000" w:themeColor="text1"/>
                <w:sz w:val="24"/>
                <w:szCs w:val="24"/>
              </w:rPr>
            </w:pPr>
            <w:r w:rsidRPr="003016A0">
              <w:rPr>
                <w:rFonts w:ascii="Arial Nova Light" w:hAnsi="Arial Nova Light" w:cstheme="majorBidi"/>
                <w:b/>
                <w:bCs/>
                <w:iCs/>
                <w:color w:val="000000" w:themeColor="text1"/>
                <w:sz w:val="24"/>
                <w:szCs w:val="24"/>
              </w:rPr>
              <w:t>Annotations:</w:t>
            </w:r>
          </w:p>
          <w:p w:rsidR="003016A0" w:rsidRPr="00F214F6" w:rsidRDefault="003016A0"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BD45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16A0" w:rsidRPr="003016A0" w:rsidRDefault="003016A0" w:rsidP="003016A0">
            <w:pPr>
              <w:rPr>
                <w:rFonts w:ascii="Arial Nova Light" w:hAnsi="Arial Nova Light" w:cstheme="majorBidi"/>
                <w:b/>
                <w:bCs/>
                <w:iCs/>
                <w:color w:val="000000" w:themeColor="text1"/>
                <w:sz w:val="24"/>
                <w:szCs w:val="24"/>
              </w:rPr>
            </w:pPr>
            <w:r w:rsidRPr="003016A0">
              <w:rPr>
                <w:rFonts w:ascii="Arial Nova Light" w:hAnsi="Arial Nova Light" w:cstheme="majorBidi"/>
                <w:b/>
                <w:bCs/>
                <w:iCs/>
                <w:color w:val="000000" w:themeColor="text1"/>
                <w:sz w:val="24"/>
                <w:szCs w:val="24"/>
              </w:rPr>
              <w:t>Annotations:</w:t>
            </w:r>
          </w:p>
          <w:p w:rsidR="003016A0" w:rsidRPr="00F214F6" w:rsidRDefault="003016A0"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6E004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6E0046"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C142F">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930E6B">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330444">
              <w:rPr>
                <w:rFonts w:ascii="Arial Nova Light" w:hAnsi="Arial Nova Light"/>
                <w:color w:val="000000" w:themeColor="text1"/>
              </w:rPr>
              <w:t>2</w:t>
            </w:r>
            <w:r>
              <w:rPr>
                <w:rFonts w:ascii="Arial Nova Light" w:hAnsi="Arial Nova Light"/>
                <w:color w:val="000000" w:themeColor="text1"/>
              </w:rPr>
              <w:t xml:space="preserve">: </w:t>
            </w:r>
            <w:r w:rsidR="00EE1801">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330444">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6E0046">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FC142F">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lastRenderedPageBreak/>
              <w:t xml:space="preserve">105. For Digital evidence, was any data hidden over the network? </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30E6B" w:rsidRPr="00F214F6" w:rsidTr="00AD1A27">
        <w:tc>
          <w:tcPr>
            <w:tcW w:w="6345" w:type="dxa"/>
          </w:tcPr>
          <w:p w:rsidR="00930E6B" w:rsidRPr="000472ED" w:rsidRDefault="00930E6B" w:rsidP="00930E6B">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930E6B" w:rsidRPr="00F214F6" w:rsidRDefault="00930E6B" w:rsidP="00930E6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6617B" w:rsidRPr="00F214F6" w:rsidTr="00732B25">
        <w:tc>
          <w:tcPr>
            <w:tcW w:w="6345" w:type="dxa"/>
            <w:tcBorders>
              <w:top w:val="single" w:sz="4" w:space="0" w:color="auto"/>
              <w:left w:val="single" w:sz="4" w:space="0" w:color="auto"/>
              <w:bottom w:val="single" w:sz="4" w:space="0" w:color="auto"/>
              <w:right w:val="single" w:sz="4" w:space="0" w:color="auto"/>
            </w:tcBorders>
          </w:tcPr>
          <w:p w:rsidR="0006617B" w:rsidRPr="00F214F6" w:rsidRDefault="0006617B" w:rsidP="0006617B">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06617B" w:rsidRDefault="0006617B" w:rsidP="0006617B">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06617B" w:rsidRDefault="0006617B" w:rsidP="0006617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6617B" w:rsidRPr="00F214F6" w:rsidTr="00732B25">
        <w:tc>
          <w:tcPr>
            <w:tcW w:w="6345" w:type="dxa"/>
            <w:tcBorders>
              <w:top w:val="single" w:sz="4" w:space="0" w:color="auto"/>
              <w:left w:val="single" w:sz="4" w:space="0" w:color="auto"/>
              <w:bottom w:val="single" w:sz="4" w:space="0" w:color="auto"/>
              <w:right w:val="single" w:sz="4" w:space="0" w:color="auto"/>
            </w:tcBorders>
          </w:tcPr>
          <w:p w:rsidR="0006617B" w:rsidRPr="00F214F6" w:rsidRDefault="0006617B" w:rsidP="0006617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06617B" w:rsidRDefault="0006617B" w:rsidP="0006617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06617B" w:rsidRDefault="0006617B" w:rsidP="0006617B">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777D91" w:rsidRDefault="00090B16" w:rsidP="0038043A">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Para 11. </w:t>
            </w:r>
            <w:r w:rsidRPr="00090B16">
              <w:rPr>
                <w:rFonts w:ascii="Arial Nova Light" w:hAnsi="Arial Nova Light"/>
                <w:color w:val="000000" w:themeColor="text1"/>
              </w:rPr>
              <w:t xml:space="preserve">The central issue at the preparatory hearing was the admissibility of psychological evidence </w:t>
            </w:r>
            <w:r w:rsidR="00064794">
              <w:rPr>
                <w:rFonts w:ascii="Arial Nova Light" w:hAnsi="Arial Nova Light"/>
                <w:color w:val="000000" w:themeColor="text1"/>
              </w:rPr>
              <w:t>w</w:t>
            </w:r>
            <w:r w:rsidRPr="00090B16">
              <w:rPr>
                <w:rFonts w:ascii="Arial Nova Light" w:hAnsi="Arial Nova Light"/>
                <w:color w:val="000000" w:themeColor="text1"/>
              </w:rPr>
              <w:t>hether the evidence was relevant to the question of intent.</w:t>
            </w:r>
            <w:r w:rsidR="00736BEB">
              <w:rPr>
                <w:rFonts w:ascii="Arial Nova Light" w:hAnsi="Arial Nova Light"/>
                <w:color w:val="000000" w:themeColor="text1"/>
              </w:rPr>
              <w:t xml:space="preserve"> </w:t>
            </w:r>
            <w:r w:rsidR="00B93474">
              <w:rPr>
                <w:rFonts w:ascii="Arial Nova Light" w:hAnsi="Arial Nova Light"/>
                <w:color w:val="000000" w:themeColor="text1"/>
              </w:rPr>
              <w:t xml:space="preserve">The </w:t>
            </w:r>
            <w:r w:rsidR="00B93474" w:rsidRPr="00B93474">
              <w:rPr>
                <w:rFonts w:ascii="Arial Nova Light" w:hAnsi="Arial Nova Light"/>
                <w:color w:val="000000" w:themeColor="text1"/>
              </w:rPr>
              <w:t>J</w:t>
            </w:r>
            <w:r w:rsidR="00B93474">
              <w:rPr>
                <w:rFonts w:ascii="Arial Nova Light" w:hAnsi="Arial Nova Light"/>
                <w:color w:val="000000" w:themeColor="text1"/>
              </w:rPr>
              <w:t>udge</w:t>
            </w:r>
            <w:r w:rsidR="00B93474" w:rsidRPr="00B93474">
              <w:rPr>
                <w:rFonts w:ascii="Arial Nova Light" w:hAnsi="Arial Nova Light"/>
                <w:color w:val="000000" w:themeColor="text1"/>
              </w:rPr>
              <w:t xml:space="preserve"> ruled against the admissibility of the evidence. Thereafter he ruled that the application for leave to appeal was out of time and, in any event, without merit.</w:t>
            </w:r>
            <w:r w:rsidR="00736BEB">
              <w:rPr>
                <w:rFonts w:ascii="Arial Nova Light" w:hAnsi="Arial Nova Light"/>
                <w:color w:val="000000" w:themeColor="text1"/>
              </w:rPr>
              <w:t xml:space="preserve"> </w:t>
            </w:r>
            <w:r w:rsidR="00B93474">
              <w:rPr>
                <w:rFonts w:ascii="Arial Nova Light" w:hAnsi="Arial Nova Light"/>
                <w:color w:val="000000" w:themeColor="text1"/>
              </w:rPr>
              <w:t>Para 14. In regards to the merits of the psychological evidence,</w:t>
            </w:r>
            <w:r w:rsidR="00B93474">
              <w:t xml:space="preserve"> </w:t>
            </w:r>
            <w:r w:rsidR="00B93474" w:rsidRPr="00B93474">
              <w:rPr>
                <w:rFonts w:ascii="Arial Nova Light" w:hAnsi="Arial Nova Light"/>
                <w:color w:val="000000" w:themeColor="text1"/>
              </w:rPr>
              <w:t>the judge expressed the general principle that the admissibility of psychological evidence was limited to cases of alleged duress and suggestibility in confessions. It is a mistake to refer to that general principle as a rule. The rule is no more than a requirement that, in order to admit the evidence, it must satisfy the appropriate criteria in law.</w:t>
            </w:r>
            <w:r w:rsidR="00736BEB">
              <w:rPr>
                <w:rFonts w:ascii="Arial Nova Light" w:hAnsi="Arial Nova Light"/>
                <w:color w:val="000000" w:themeColor="text1"/>
              </w:rPr>
              <w:t xml:space="preserve"> </w:t>
            </w:r>
            <w:r w:rsidR="00F07C94">
              <w:rPr>
                <w:rFonts w:ascii="Arial Nova Light" w:hAnsi="Arial Nova Light"/>
                <w:color w:val="000000" w:themeColor="text1"/>
              </w:rPr>
              <w:t xml:space="preserve">Para15. </w:t>
            </w:r>
            <w:r w:rsidR="00F40AC6">
              <w:rPr>
                <w:rFonts w:ascii="Arial Nova Light" w:hAnsi="Arial Nova Light"/>
                <w:color w:val="000000" w:themeColor="text1"/>
              </w:rPr>
              <w:t xml:space="preserve">The defence </w:t>
            </w:r>
            <w:r w:rsidR="00F40AC6" w:rsidRPr="00F40AC6">
              <w:rPr>
                <w:rFonts w:ascii="Arial Nova Light" w:hAnsi="Arial Nova Light"/>
                <w:color w:val="000000" w:themeColor="text1"/>
              </w:rPr>
              <w:t>relie</w:t>
            </w:r>
            <w:r w:rsidR="00F07C94">
              <w:rPr>
                <w:rFonts w:ascii="Arial Nova Light" w:hAnsi="Arial Nova Light"/>
                <w:color w:val="000000" w:themeColor="text1"/>
              </w:rPr>
              <w:t>d</w:t>
            </w:r>
            <w:r w:rsidR="00F40AC6" w:rsidRPr="00F40AC6">
              <w:rPr>
                <w:rFonts w:ascii="Arial Nova Light" w:hAnsi="Arial Nova Light"/>
                <w:color w:val="000000" w:themeColor="text1"/>
              </w:rPr>
              <w:t xml:space="preserve"> on two decisions </w:t>
            </w:r>
            <w:r w:rsidR="00F40AC6" w:rsidRPr="00F40AC6">
              <w:rPr>
                <w:rFonts w:ascii="Arial Nova Light" w:hAnsi="Arial Nova Light"/>
                <w:color w:val="000000" w:themeColor="text1"/>
              </w:rPr>
              <w:lastRenderedPageBreak/>
              <w:t>of this court to suggest that psychological evidence could also be admitted on the question of intent.</w:t>
            </w:r>
            <w:r w:rsidR="00262BFF">
              <w:t xml:space="preserve"> </w:t>
            </w:r>
            <w:r w:rsidR="00262BFF" w:rsidRPr="00262BFF">
              <w:rPr>
                <w:rFonts w:ascii="Arial Nova Light" w:hAnsi="Arial Nova Light"/>
                <w:color w:val="000000" w:themeColor="text1"/>
              </w:rPr>
              <w:t xml:space="preserve">Thompson [2014] EWCA Crim 836 considered the admissibility of expert evidence about Asperger's Syndrome in the context of sexual offences. </w:t>
            </w:r>
            <w:r w:rsidR="003471BD">
              <w:rPr>
                <w:rFonts w:ascii="Arial Nova Light" w:hAnsi="Arial Nova Light"/>
                <w:color w:val="000000" w:themeColor="text1"/>
              </w:rPr>
              <w:t xml:space="preserve">The judge </w:t>
            </w:r>
            <w:r w:rsidR="003471BD" w:rsidRPr="003471BD">
              <w:rPr>
                <w:rFonts w:ascii="Arial Nova Light" w:hAnsi="Arial Nova Light"/>
                <w:color w:val="000000" w:themeColor="text1"/>
              </w:rPr>
              <w:t>commented that Thompson was not of any real assistance as it was the duty of the court to consider in each case the relevance of such evidence to the issues in the case.</w:t>
            </w:r>
            <w:r w:rsidR="00331836">
              <w:rPr>
                <w:rFonts w:ascii="Arial Nova Light" w:hAnsi="Arial Nova Light"/>
                <w:color w:val="000000" w:themeColor="text1"/>
              </w:rPr>
              <w:t xml:space="preserve"> </w:t>
            </w:r>
            <w:r w:rsidR="003F1219">
              <w:rPr>
                <w:rFonts w:ascii="Arial Nova Light" w:hAnsi="Arial Nova Light"/>
                <w:color w:val="000000" w:themeColor="text1"/>
              </w:rPr>
              <w:t>In regards to another case</w:t>
            </w:r>
            <w:r w:rsidR="003F1219">
              <w:t xml:space="preserve"> (</w:t>
            </w:r>
            <w:r w:rsidR="003F1219" w:rsidRPr="003F1219">
              <w:rPr>
                <w:rFonts w:ascii="Arial Nova Light" w:hAnsi="Arial Nova Light"/>
                <w:color w:val="000000" w:themeColor="text1"/>
              </w:rPr>
              <w:t>Grant-Murray</w:t>
            </w:r>
            <w:r w:rsidR="003F1219">
              <w:rPr>
                <w:rFonts w:ascii="Arial Nova Light" w:hAnsi="Arial Nova Light"/>
                <w:color w:val="000000" w:themeColor="text1"/>
              </w:rPr>
              <w:t xml:space="preserve">), adduced at para 17, the appeal court </w:t>
            </w:r>
            <w:r w:rsidR="00A346D0">
              <w:rPr>
                <w:rFonts w:ascii="Arial Nova Light" w:hAnsi="Arial Nova Light"/>
                <w:color w:val="000000" w:themeColor="text1"/>
              </w:rPr>
              <w:t xml:space="preserve">indicated that this </w:t>
            </w:r>
            <w:r w:rsidR="003F1219" w:rsidRPr="003F1219">
              <w:rPr>
                <w:rFonts w:ascii="Arial Nova Light" w:hAnsi="Arial Nova Light"/>
                <w:color w:val="000000" w:themeColor="text1"/>
              </w:rPr>
              <w:t>serve</w:t>
            </w:r>
            <w:r w:rsidR="00A346D0">
              <w:rPr>
                <w:rFonts w:ascii="Arial Nova Light" w:hAnsi="Arial Nova Light"/>
                <w:color w:val="000000" w:themeColor="text1"/>
              </w:rPr>
              <w:t>d</w:t>
            </w:r>
            <w:r w:rsidR="003F1219" w:rsidRPr="003F1219">
              <w:rPr>
                <w:rFonts w:ascii="Arial Nova Light" w:hAnsi="Arial Nova Light"/>
                <w:color w:val="000000" w:themeColor="text1"/>
              </w:rPr>
              <w:t xml:space="preserve"> to underline the basic proposition that the question of admissibility and relevance will in each case turn on the nature of the issues arising on the specific facts and the extent to which the particular material in question can assist a jury.</w:t>
            </w:r>
            <w:r w:rsidR="008E7DF4">
              <w:rPr>
                <w:rFonts w:ascii="Arial Nova Light" w:hAnsi="Arial Nova Light"/>
                <w:color w:val="000000" w:themeColor="text1"/>
              </w:rPr>
              <w:t xml:space="preserve"> Thus, for example, </w:t>
            </w:r>
            <w:r w:rsidR="008E7DF4" w:rsidRPr="008E7DF4">
              <w:rPr>
                <w:rFonts w:ascii="Arial Nova Light" w:hAnsi="Arial Nova Light"/>
                <w:color w:val="000000" w:themeColor="text1"/>
              </w:rPr>
              <w:t>as was the case in Thompson, expert evidence may be relevant if it will assist a jury in the interpretation of conduct that to a "neuro-typical mind" may suggest one motive, but in the context of a developmental disorder may appear different.</w:t>
            </w:r>
            <w:r w:rsidR="00331836">
              <w:rPr>
                <w:rFonts w:ascii="Arial Nova Light" w:hAnsi="Arial Nova Light"/>
                <w:color w:val="000000" w:themeColor="text1"/>
              </w:rPr>
              <w:t xml:space="preserve"> </w:t>
            </w:r>
            <w:r w:rsidR="00C95A59">
              <w:rPr>
                <w:rFonts w:ascii="Arial Nova Light" w:hAnsi="Arial Nova Light"/>
                <w:color w:val="000000" w:themeColor="text1"/>
              </w:rPr>
              <w:t xml:space="preserve">Para 20. The courts rejected </w:t>
            </w:r>
            <w:r w:rsidR="00C95A59" w:rsidRPr="00C95A59">
              <w:rPr>
                <w:rFonts w:ascii="Arial Nova Light" w:hAnsi="Arial Nova Light"/>
                <w:color w:val="000000" w:themeColor="text1"/>
              </w:rPr>
              <w:t xml:space="preserve">the </w:t>
            </w:r>
            <w:r w:rsidR="00C95A59">
              <w:rPr>
                <w:rFonts w:ascii="Arial Nova Light" w:hAnsi="Arial Nova Light"/>
                <w:color w:val="000000" w:themeColor="text1"/>
              </w:rPr>
              <w:t xml:space="preserve">defences </w:t>
            </w:r>
            <w:r w:rsidR="00C95A59" w:rsidRPr="00C95A59">
              <w:rPr>
                <w:rFonts w:ascii="Arial Nova Light" w:hAnsi="Arial Nova Light"/>
                <w:color w:val="000000" w:themeColor="text1"/>
              </w:rPr>
              <w:t>proposition that the evidence of a psychologist is admissible to assist the jury on the question of what the applicant or indeed any defendant actually intended, in this case when he made and deployed the explosive device.</w:t>
            </w:r>
            <w:r w:rsidR="00C95A59">
              <w:rPr>
                <w:rFonts w:ascii="Arial Nova Light" w:hAnsi="Arial Nova Light"/>
                <w:color w:val="000000" w:themeColor="text1"/>
              </w:rPr>
              <w:t xml:space="preserve"> The courts were of the view that the psychologist</w:t>
            </w:r>
            <w:r w:rsidR="00846013">
              <w:rPr>
                <w:rFonts w:ascii="Arial Nova Light" w:hAnsi="Arial Nova Light"/>
                <w:color w:val="000000" w:themeColor="text1"/>
              </w:rPr>
              <w:t xml:space="preserve">’s evidence was restricted – He, the psychologist, </w:t>
            </w:r>
            <w:r w:rsidR="00C95A59">
              <w:rPr>
                <w:rFonts w:ascii="Arial Nova Light" w:hAnsi="Arial Nova Light"/>
                <w:color w:val="000000" w:themeColor="text1"/>
              </w:rPr>
              <w:t xml:space="preserve">cannot give evidence as to what the applicants intention was but only </w:t>
            </w:r>
            <w:r w:rsidR="00331836">
              <w:rPr>
                <w:rFonts w:ascii="Arial Nova Light" w:hAnsi="Arial Nova Light"/>
                <w:color w:val="000000" w:themeColor="text1"/>
              </w:rPr>
              <w:t>in regard to</w:t>
            </w:r>
            <w:r w:rsidR="00846013">
              <w:rPr>
                <w:rFonts w:ascii="Arial Nova Light" w:hAnsi="Arial Nova Light"/>
                <w:color w:val="000000" w:themeColor="text1"/>
              </w:rPr>
              <w:t xml:space="preserve"> how his mind might have operated.</w:t>
            </w:r>
            <w:r w:rsidR="00331836">
              <w:rPr>
                <w:rFonts w:ascii="Arial Nova Light" w:hAnsi="Arial Nova Light"/>
                <w:color w:val="000000" w:themeColor="text1"/>
              </w:rPr>
              <w:t xml:space="preserve"> </w:t>
            </w:r>
            <w:r w:rsidR="00431BCA">
              <w:rPr>
                <w:rFonts w:ascii="Arial Nova Light" w:hAnsi="Arial Nova Light"/>
                <w:color w:val="000000" w:themeColor="text1"/>
              </w:rPr>
              <w:t xml:space="preserve">Where the psychologist </w:t>
            </w:r>
            <w:r w:rsidR="00A163C6">
              <w:rPr>
                <w:rFonts w:ascii="Arial Nova Light" w:hAnsi="Arial Nova Light"/>
                <w:color w:val="000000" w:themeColor="text1"/>
              </w:rPr>
              <w:t xml:space="preserve">was seeking to shed light on the </w:t>
            </w:r>
            <w:r w:rsidR="00331836">
              <w:rPr>
                <w:rFonts w:ascii="Arial Nova Light" w:hAnsi="Arial Nova Light"/>
                <w:color w:val="000000" w:themeColor="text1"/>
              </w:rPr>
              <w:t>applicant’s</w:t>
            </w:r>
            <w:r w:rsidR="00A163C6">
              <w:rPr>
                <w:rFonts w:ascii="Arial Nova Light" w:hAnsi="Arial Nova Light"/>
                <w:color w:val="000000" w:themeColor="text1"/>
              </w:rPr>
              <w:t xml:space="preserve"> intentions (to kill or endanger the lives of others), the court were of the view that he [the psychologist] was not entitled to do so.</w:t>
            </w:r>
            <w:r w:rsidR="00331836">
              <w:rPr>
                <w:rFonts w:ascii="Arial Nova Light" w:hAnsi="Arial Nova Light"/>
                <w:color w:val="000000" w:themeColor="text1"/>
              </w:rPr>
              <w:t xml:space="preserve"> </w:t>
            </w:r>
            <w:r w:rsidR="00A163C6">
              <w:rPr>
                <w:rFonts w:ascii="Arial Nova Light" w:hAnsi="Arial Nova Light"/>
                <w:color w:val="000000" w:themeColor="text1"/>
              </w:rPr>
              <w:t>After rejecting the admissibility of the psychologist</w:t>
            </w:r>
            <w:r w:rsidR="00331836">
              <w:rPr>
                <w:rFonts w:ascii="Arial Nova Light" w:hAnsi="Arial Nova Light"/>
                <w:color w:val="000000" w:themeColor="text1"/>
              </w:rPr>
              <w:t>’</w:t>
            </w:r>
            <w:r w:rsidR="00A163C6">
              <w:rPr>
                <w:rFonts w:ascii="Arial Nova Light" w:hAnsi="Arial Nova Light"/>
                <w:color w:val="000000" w:themeColor="text1"/>
              </w:rPr>
              <w:t>s evidence, the psychologist furnished a subsequent report with a view to addressing some of the concerns raised by the judge.</w:t>
            </w:r>
            <w:r w:rsidR="00B0007B">
              <w:rPr>
                <w:rFonts w:ascii="Arial Nova Light" w:hAnsi="Arial Nova Light"/>
                <w:color w:val="000000" w:themeColor="text1"/>
              </w:rPr>
              <w:t xml:space="preserve"> The judge was unwilling to accommodate this additional evidence</w:t>
            </w:r>
            <w:r w:rsidR="00331836">
              <w:rPr>
                <w:rFonts w:ascii="Arial Nova Light" w:hAnsi="Arial Nova Light"/>
                <w:color w:val="000000" w:themeColor="text1"/>
              </w:rPr>
              <w:t xml:space="preserve">. </w:t>
            </w:r>
            <w:r w:rsidR="00794404">
              <w:rPr>
                <w:rFonts w:ascii="Arial Nova Light" w:hAnsi="Arial Nova Light"/>
                <w:color w:val="000000" w:themeColor="text1"/>
              </w:rPr>
              <w:t xml:space="preserve">The appeal court highlighted the inconsistency between </w:t>
            </w:r>
            <w:r w:rsidR="00777D91">
              <w:rPr>
                <w:rFonts w:ascii="Arial Nova Light" w:hAnsi="Arial Nova Light"/>
                <w:color w:val="000000" w:themeColor="text1"/>
              </w:rPr>
              <w:t>the defence case statement:</w:t>
            </w:r>
            <w:r w:rsidR="00E71416">
              <w:rPr>
                <w:rFonts w:ascii="Arial Nova Light" w:hAnsi="Arial Nova Light"/>
                <w:color w:val="000000" w:themeColor="text1"/>
              </w:rPr>
              <w:t xml:space="preserve"> (1) </w:t>
            </w:r>
            <w:r w:rsidR="00777D91" w:rsidRPr="00777D91">
              <w:rPr>
                <w:rFonts w:ascii="Arial Nova Light" w:hAnsi="Arial Nova Light"/>
                <w:color w:val="000000" w:themeColor="text1"/>
              </w:rPr>
              <w:t>that the device had been carefully calibrated not to cause harm</w:t>
            </w:r>
            <w:r w:rsidR="00777D91">
              <w:rPr>
                <w:rFonts w:ascii="Arial Nova Light" w:hAnsi="Arial Nova Light"/>
                <w:color w:val="000000" w:themeColor="text1"/>
              </w:rPr>
              <w:t xml:space="preserve"> (a hoax)</w:t>
            </w:r>
            <w:r w:rsidR="00E71416">
              <w:rPr>
                <w:rFonts w:ascii="Arial Nova Light" w:hAnsi="Arial Nova Light"/>
                <w:color w:val="000000" w:themeColor="text1"/>
              </w:rPr>
              <w:t xml:space="preserve"> vs (2) </w:t>
            </w:r>
            <w:r w:rsidR="00777D91" w:rsidRPr="00777D91">
              <w:rPr>
                <w:rFonts w:ascii="Arial Nova Light" w:hAnsi="Arial Nova Light"/>
                <w:color w:val="000000" w:themeColor="text1"/>
              </w:rPr>
              <w:t>he could not fully understand the consequences of his actions or clearly distinguish he could have caused injury</w:t>
            </w:r>
            <w:r w:rsidR="00E71416">
              <w:rPr>
                <w:rFonts w:ascii="Arial Nova Light" w:hAnsi="Arial Nova Light"/>
                <w:color w:val="000000" w:themeColor="text1"/>
              </w:rPr>
              <w:t xml:space="preserve">. </w:t>
            </w:r>
            <w:r w:rsidR="00777D91">
              <w:rPr>
                <w:rFonts w:ascii="Arial Nova Light" w:hAnsi="Arial Nova Light"/>
                <w:color w:val="000000" w:themeColor="text1"/>
              </w:rPr>
              <w:t xml:space="preserve">The appeal court ultimately reached the </w:t>
            </w:r>
            <w:r w:rsidR="0045156B">
              <w:rPr>
                <w:rFonts w:ascii="Arial Nova Light" w:hAnsi="Arial Nova Light"/>
                <w:color w:val="000000" w:themeColor="text1"/>
              </w:rPr>
              <w:t xml:space="preserve">conclusion that the psychologists evidence was </w:t>
            </w:r>
            <w:r w:rsidR="0045156B" w:rsidRPr="0045156B">
              <w:rPr>
                <w:rFonts w:ascii="Arial Nova Light" w:hAnsi="Arial Nova Light"/>
                <w:color w:val="000000" w:themeColor="text1"/>
              </w:rPr>
              <w:t>inadmissible as a matter of law and in any event inconsistent with the way the case is being put in the defence statement. It would not serve to elucidate but merely confuse.</w:t>
            </w:r>
          </w:p>
          <w:p w:rsidR="00777D91" w:rsidRPr="00F214F6" w:rsidRDefault="00777D91" w:rsidP="0038043A">
            <w:pPr>
              <w:pStyle w:val="ParaLevel1"/>
              <w:numPr>
                <w:ilvl w:val="0"/>
                <w:numId w:val="0"/>
              </w:numPr>
              <w:spacing w:before="0" w:after="0"/>
              <w:rPr>
                <w:rFonts w:ascii="Arial Nova Light" w:hAnsi="Arial Nova Light"/>
                <w:color w:val="000000" w:themeColor="text1"/>
              </w:rPr>
            </w:pPr>
          </w:p>
          <w:p w:rsidR="007B467D" w:rsidRPr="00F214F6" w:rsidRDefault="007B467D" w:rsidP="0038043A">
            <w:pPr>
              <w:pStyle w:val="ParaLevel1"/>
              <w:numPr>
                <w:ilvl w:val="0"/>
                <w:numId w:val="0"/>
              </w:numPr>
              <w:spacing w:before="0" w:after="0"/>
              <w:rPr>
                <w:rFonts w:ascii="Arial Nova Light" w:hAnsi="Arial Nova Light"/>
                <w:color w:val="000000" w:themeColor="text1"/>
              </w:rPr>
            </w:pPr>
          </w:p>
          <w:p w:rsidR="007B467D" w:rsidRPr="00F214F6" w:rsidRDefault="007B467D" w:rsidP="0038043A">
            <w:pPr>
              <w:pStyle w:val="ParaLevel1"/>
              <w:numPr>
                <w:ilvl w:val="0"/>
                <w:numId w:val="0"/>
              </w:numPr>
              <w:spacing w:before="0" w:after="0"/>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694" w:rsidRDefault="00ED1694" w:rsidP="00187203">
      <w:pPr>
        <w:spacing w:after="0" w:line="240" w:lineRule="auto"/>
      </w:pPr>
      <w:r>
        <w:separator/>
      </w:r>
    </w:p>
  </w:endnote>
  <w:endnote w:type="continuationSeparator" w:id="0">
    <w:p w:rsidR="00ED1694" w:rsidRDefault="00ED1694"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694" w:rsidRDefault="00ED1694" w:rsidP="00187203">
      <w:pPr>
        <w:spacing w:after="0" w:line="240" w:lineRule="auto"/>
      </w:pPr>
      <w:r>
        <w:separator/>
      </w:r>
    </w:p>
  </w:footnote>
  <w:footnote w:type="continuationSeparator" w:id="0">
    <w:p w:rsidR="00ED1694" w:rsidRDefault="00ED1694"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BCA" w:rsidRDefault="00431BCA">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31BCA" w:rsidRPr="0033791C" w:rsidRDefault="00431BCA">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431BCA" w:rsidRPr="0033791C" w:rsidRDefault="00431BCA">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9861A5"/>
    <w:multiLevelType w:val="hybridMultilevel"/>
    <w:tmpl w:val="24DA0ABC"/>
    <w:lvl w:ilvl="0" w:tplc="350676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D65"/>
    <w:rsid w:val="00024091"/>
    <w:rsid w:val="00033F18"/>
    <w:rsid w:val="00034807"/>
    <w:rsid w:val="00044E5D"/>
    <w:rsid w:val="00050B46"/>
    <w:rsid w:val="0005394C"/>
    <w:rsid w:val="00054A86"/>
    <w:rsid w:val="00055EF0"/>
    <w:rsid w:val="00064794"/>
    <w:rsid w:val="0006617B"/>
    <w:rsid w:val="00073F3B"/>
    <w:rsid w:val="00077098"/>
    <w:rsid w:val="00083FFE"/>
    <w:rsid w:val="00090B16"/>
    <w:rsid w:val="0009515D"/>
    <w:rsid w:val="00097755"/>
    <w:rsid w:val="000A4EC3"/>
    <w:rsid w:val="000C493A"/>
    <w:rsid w:val="000C67E9"/>
    <w:rsid w:val="000E65C1"/>
    <w:rsid w:val="000F5116"/>
    <w:rsid w:val="001053E9"/>
    <w:rsid w:val="0011134F"/>
    <w:rsid w:val="001221BE"/>
    <w:rsid w:val="00141779"/>
    <w:rsid w:val="00154B87"/>
    <w:rsid w:val="0018382A"/>
    <w:rsid w:val="00184214"/>
    <w:rsid w:val="00187203"/>
    <w:rsid w:val="00196060"/>
    <w:rsid w:val="001A2D1E"/>
    <w:rsid w:val="001B3245"/>
    <w:rsid w:val="001C0D45"/>
    <w:rsid w:val="001C4D47"/>
    <w:rsid w:val="001D6D26"/>
    <w:rsid w:val="002278BF"/>
    <w:rsid w:val="00250C4F"/>
    <w:rsid w:val="00255E5F"/>
    <w:rsid w:val="00262BFF"/>
    <w:rsid w:val="00274535"/>
    <w:rsid w:val="0028308F"/>
    <w:rsid w:val="0029602E"/>
    <w:rsid w:val="002A0936"/>
    <w:rsid w:val="002B5F12"/>
    <w:rsid w:val="002B7601"/>
    <w:rsid w:val="002C7E59"/>
    <w:rsid w:val="002D3EDC"/>
    <w:rsid w:val="002E75B4"/>
    <w:rsid w:val="002F0440"/>
    <w:rsid w:val="002F10C3"/>
    <w:rsid w:val="003016A0"/>
    <w:rsid w:val="00301AE4"/>
    <w:rsid w:val="00330444"/>
    <w:rsid w:val="00331836"/>
    <w:rsid w:val="00332ACD"/>
    <w:rsid w:val="00334499"/>
    <w:rsid w:val="0033791C"/>
    <w:rsid w:val="003420D0"/>
    <w:rsid w:val="003471BD"/>
    <w:rsid w:val="00353568"/>
    <w:rsid w:val="00354D14"/>
    <w:rsid w:val="0038043A"/>
    <w:rsid w:val="003A29C8"/>
    <w:rsid w:val="003B1314"/>
    <w:rsid w:val="003D0993"/>
    <w:rsid w:val="003D6522"/>
    <w:rsid w:val="003E1548"/>
    <w:rsid w:val="003F1219"/>
    <w:rsid w:val="0041121C"/>
    <w:rsid w:val="00416404"/>
    <w:rsid w:val="00417F03"/>
    <w:rsid w:val="00426926"/>
    <w:rsid w:val="00431BCA"/>
    <w:rsid w:val="00432A9E"/>
    <w:rsid w:val="00440933"/>
    <w:rsid w:val="0045156B"/>
    <w:rsid w:val="00456554"/>
    <w:rsid w:val="00463D75"/>
    <w:rsid w:val="00470DD4"/>
    <w:rsid w:val="0047413B"/>
    <w:rsid w:val="004A33E6"/>
    <w:rsid w:val="004A44C9"/>
    <w:rsid w:val="004B32DB"/>
    <w:rsid w:val="004C51D2"/>
    <w:rsid w:val="004D1D32"/>
    <w:rsid w:val="004D1DE0"/>
    <w:rsid w:val="004D410D"/>
    <w:rsid w:val="004E3100"/>
    <w:rsid w:val="004F1CFE"/>
    <w:rsid w:val="004F2030"/>
    <w:rsid w:val="004F5DA4"/>
    <w:rsid w:val="00500E52"/>
    <w:rsid w:val="00505881"/>
    <w:rsid w:val="00506BC8"/>
    <w:rsid w:val="00517475"/>
    <w:rsid w:val="005263CF"/>
    <w:rsid w:val="005339FE"/>
    <w:rsid w:val="00535433"/>
    <w:rsid w:val="00540327"/>
    <w:rsid w:val="0054055B"/>
    <w:rsid w:val="00541F85"/>
    <w:rsid w:val="005515E1"/>
    <w:rsid w:val="005544E2"/>
    <w:rsid w:val="00555108"/>
    <w:rsid w:val="005969DD"/>
    <w:rsid w:val="005C1ABD"/>
    <w:rsid w:val="005E6686"/>
    <w:rsid w:val="0061407E"/>
    <w:rsid w:val="0061539E"/>
    <w:rsid w:val="00621FE2"/>
    <w:rsid w:val="00650F5E"/>
    <w:rsid w:val="00694917"/>
    <w:rsid w:val="006B0518"/>
    <w:rsid w:val="006B3E2B"/>
    <w:rsid w:val="006B3E3F"/>
    <w:rsid w:val="006B67A6"/>
    <w:rsid w:val="006D71C4"/>
    <w:rsid w:val="006D7C30"/>
    <w:rsid w:val="006E0046"/>
    <w:rsid w:val="006F3EB0"/>
    <w:rsid w:val="006F48BE"/>
    <w:rsid w:val="007050ED"/>
    <w:rsid w:val="007106AC"/>
    <w:rsid w:val="00713C7F"/>
    <w:rsid w:val="0071493C"/>
    <w:rsid w:val="00715D3B"/>
    <w:rsid w:val="00721035"/>
    <w:rsid w:val="00724F07"/>
    <w:rsid w:val="00736BEB"/>
    <w:rsid w:val="007608D1"/>
    <w:rsid w:val="00765717"/>
    <w:rsid w:val="007659F7"/>
    <w:rsid w:val="007700FE"/>
    <w:rsid w:val="007753D9"/>
    <w:rsid w:val="00775701"/>
    <w:rsid w:val="00777D91"/>
    <w:rsid w:val="00794404"/>
    <w:rsid w:val="00797C40"/>
    <w:rsid w:val="007B467D"/>
    <w:rsid w:val="007B63C7"/>
    <w:rsid w:val="007C3D23"/>
    <w:rsid w:val="007C712E"/>
    <w:rsid w:val="007E0BE0"/>
    <w:rsid w:val="007E78B1"/>
    <w:rsid w:val="007F1909"/>
    <w:rsid w:val="007F3561"/>
    <w:rsid w:val="00823B61"/>
    <w:rsid w:val="008248D5"/>
    <w:rsid w:val="00830569"/>
    <w:rsid w:val="00834B0D"/>
    <w:rsid w:val="00846013"/>
    <w:rsid w:val="00847F94"/>
    <w:rsid w:val="008513B8"/>
    <w:rsid w:val="00873BFC"/>
    <w:rsid w:val="00897696"/>
    <w:rsid w:val="008A00C1"/>
    <w:rsid w:val="008B34D6"/>
    <w:rsid w:val="008B3C43"/>
    <w:rsid w:val="008C01BB"/>
    <w:rsid w:val="008D033C"/>
    <w:rsid w:val="008E7DF4"/>
    <w:rsid w:val="0090333A"/>
    <w:rsid w:val="00906F86"/>
    <w:rsid w:val="00907A59"/>
    <w:rsid w:val="009111D6"/>
    <w:rsid w:val="0093054D"/>
    <w:rsid w:val="00930E6B"/>
    <w:rsid w:val="00947637"/>
    <w:rsid w:val="00962A8E"/>
    <w:rsid w:val="009642C0"/>
    <w:rsid w:val="0097046D"/>
    <w:rsid w:val="00984A0F"/>
    <w:rsid w:val="00985ED4"/>
    <w:rsid w:val="009B2318"/>
    <w:rsid w:val="009B254A"/>
    <w:rsid w:val="009B6FDB"/>
    <w:rsid w:val="009D6682"/>
    <w:rsid w:val="009D74E0"/>
    <w:rsid w:val="009E261A"/>
    <w:rsid w:val="00A00F86"/>
    <w:rsid w:val="00A037A7"/>
    <w:rsid w:val="00A06CDF"/>
    <w:rsid w:val="00A162D8"/>
    <w:rsid w:val="00A163C6"/>
    <w:rsid w:val="00A346D0"/>
    <w:rsid w:val="00A35D9A"/>
    <w:rsid w:val="00A76DA7"/>
    <w:rsid w:val="00A77DE0"/>
    <w:rsid w:val="00A77FB8"/>
    <w:rsid w:val="00A9414A"/>
    <w:rsid w:val="00AA2F70"/>
    <w:rsid w:val="00AD1A27"/>
    <w:rsid w:val="00AE001D"/>
    <w:rsid w:val="00AF10F1"/>
    <w:rsid w:val="00B0007B"/>
    <w:rsid w:val="00B03677"/>
    <w:rsid w:val="00B072EE"/>
    <w:rsid w:val="00B16C69"/>
    <w:rsid w:val="00B20AC5"/>
    <w:rsid w:val="00B2148C"/>
    <w:rsid w:val="00B3276D"/>
    <w:rsid w:val="00B33025"/>
    <w:rsid w:val="00B33A51"/>
    <w:rsid w:val="00B414DC"/>
    <w:rsid w:val="00B52E84"/>
    <w:rsid w:val="00B57863"/>
    <w:rsid w:val="00B60AB4"/>
    <w:rsid w:val="00B918C9"/>
    <w:rsid w:val="00B93474"/>
    <w:rsid w:val="00B96A7F"/>
    <w:rsid w:val="00BA51A8"/>
    <w:rsid w:val="00BA7AB8"/>
    <w:rsid w:val="00BA7DF9"/>
    <w:rsid w:val="00BD45EE"/>
    <w:rsid w:val="00BD46FD"/>
    <w:rsid w:val="00BD58D8"/>
    <w:rsid w:val="00BE7ACA"/>
    <w:rsid w:val="00C04236"/>
    <w:rsid w:val="00C278D3"/>
    <w:rsid w:val="00C42256"/>
    <w:rsid w:val="00C47288"/>
    <w:rsid w:val="00C51D00"/>
    <w:rsid w:val="00C77DBF"/>
    <w:rsid w:val="00C82539"/>
    <w:rsid w:val="00C83493"/>
    <w:rsid w:val="00C95A59"/>
    <w:rsid w:val="00C96F87"/>
    <w:rsid w:val="00CA297F"/>
    <w:rsid w:val="00CB0498"/>
    <w:rsid w:val="00CC3B33"/>
    <w:rsid w:val="00CC4AFC"/>
    <w:rsid w:val="00D162F8"/>
    <w:rsid w:val="00D23830"/>
    <w:rsid w:val="00D573E4"/>
    <w:rsid w:val="00D7225E"/>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343C6"/>
    <w:rsid w:val="00E54A2C"/>
    <w:rsid w:val="00E61779"/>
    <w:rsid w:val="00E71416"/>
    <w:rsid w:val="00E720A3"/>
    <w:rsid w:val="00E72634"/>
    <w:rsid w:val="00E81AE6"/>
    <w:rsid w:val="00E81B5A"/>
    <w:rsid w:val="00E962B9"/>
    <w:rsid w:val="00EB51D0"/>
    <w:rsid w:val="00EB5FD3"/>
    <w:rsid w:val="00EB79EB"/>
    <w:rsid w:val="00EC156F"/>
    <w:rsid w:val="00ED1694"/>
    <w:rsid w:val="00ED596A"/>
    <w:rsid w:val="00EE1801"/>
    <w:rsid w:val="00EF2AF2"/>
    <w:rsid w:val="00F02664"/>
    <w:rsid w:val="00F02D07"/>
    <w:rsid w:val="00F0669C"/>
    <w:rsid w:val="00F07C94"/>
    <w:rsid w:val="00F214F6"/>
    <w:rsid w:val="00F260E7"/>
    <w:rsid w:val="00F32DC2"/>
    <w:rsid w:val="00F40AC6"/>
    <w:rsid w:val="00F460E6"/>
    <w:rsid w:val="00F52BDC"/>
    <w:rsid w:val="00F5354D"/>
    <w:rsid w:val="00F60F70"/>
    <w:rsid w:val="00F85BDD"/>
    <w:rsid w:val="00FA5F28"/>
    <w:rsid w:val="00FC142F"/>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6D133"/>
  <w15:docId w15:val="{AA92D164-1623-473D-ACB7-7C6CB05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5613AD-98E6-4ECE-B4AB-6395250B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31</cp:revision>
  <cp:lastPrinted>2019-01-14T14:22:00Z</cp:lastPrinted>
  <dcterms:created xsi:type="dcterms:W3CDTF">2019-09-14T21:19:00Z</dcterms:created>
  <dcterms:modified xsi:type="dcterms:W3CDTF">2020-05-05T06:27:00Z</dcterms:modified>
</cp:coreProperties>
</file>