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39B8D534" w:rsidR="000C67E9" w:rsidRPr="00F214F6" w:rsidRDefault="0047148B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4714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Aziz &amp; </w:t>
            </w:r>
            <w:proofErr w:type="spellStart"/>
            <w:r w:rsidRPr="004714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47148B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v R. [2018] EWCA Crim 2412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7BC046C7" w:rsidR="000C67E9" w:rsidRPr="00F214F6" w:rsidRDefault="009B2696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181018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778AF546" w:rsidR="000C67E9" w:rsidRPr="00F214F6" w:rsidRDefault="00DB20A5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030817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31CD9511" w:rsidR="00F214F6" w:rsidRPr="00F214F6" w:rsidRDefault="001C1D90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448ADDC1" w:rsidR="000C67E9" w:rsidRPr="00F214F6" w:rsidRDefault="001C1D90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601F8231" w:rsidR="00D970E4" w:rsidRPr="00F214F6" w:rsidRDefault="001C1D9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02F6B179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2C5B2E86" w:rsidR="00D970E4" w:rsidRPr="00F214F6" w:rsidRDefault="001C1D9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8DC9290" w:rsidR="00D970E4" w:rsidRPr="00F214F6" w:rsidRDefault="00664CD9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649A25D4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04481B85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51AA4F04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38E44AC2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B420D5F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53888573" w:rsidR="00D970E4" w:rsidRPr="00F214F6" w:rsidRDefault="0095107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0BE552A8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07552FCA" w:rsidR="00D970E4" w:rsidRPr="00F214F6" w:rsidRDefault="0095107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1296186E" w:rsidR="00D970E4" w:rsidRPr="00F214F6" w:rsidRDefault="0095107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1C7B803F" w:rsidR="00D970E4" w:rsidRPr="00F214F6" w:rsidRDefault="0095107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5B" w14:textId="60444847" w:rsidR="00CF78FC" w:rsidRPr="00F214F6" w:rsidRDefault="00951074" w:rsidP="001F22F7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1. </w:t>
            </w:r>
            <w:r w:rsidR="003A0A0C" w:rsidRPr="003A0A0C">
              <w:rPr>
                <w:rFonts w:ascii="Arial Nova Light" w:hAnsi="Arial Nova Light" w:cstheme="majorBidi"/>
                <w:color w:val="000000" w:themeColor="text1"/>
                <w:szCs w:val="24"/>
              </w:rPr>
              <w:t>the decision</w:t>
            </w:r>
            <w:r w:rsidR="003A0A0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from the trial </w:t>
            </w:r>
            <w:r w:rsidR="003A0A0C" w:rsidRPr="003A0A0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judge in refusing to discharge the jury, at an early stage of the trial, in the light of the terrorist incident at Westminster Bridge on 22nd </w:t>
            </w:r>
            <w:r w:rsidR="003A0A0C" w:rsidRPr="003A0A0C">
              <w:rPr>
                <w:rFonts w:ascii="Arial Nova Light" w:hAnsi="Arial Nova Light" w:cstheme="majorBidi"/>
                <w:color w:val="000000" w:themeColor="text1"/>
                <w:szCs w:val="24"/>
              </w:rPr>
              <w:lastRenderedPageBreak/>
              <w:t>March 2017</w:t>
            </w:r>
            <w:r w:rsidR="001F22F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2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6109DB">
              <w:t xml:space="preserve"> </w:t>
            </w:r>
            <w:r w:rsidR="006109DB" w:rsidRPr="006109D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decision of the judge, at the conclusion of the prosecution case, refusing to lift the anonymity orders which he had made in relation to </w:t>
            </w:r>
            <w:r w:rsidR="006109DB">
              <w:rPr>
                <w:rFonts w:ascii="Arial Nova Light" w:hAnsi="Arial Nova Light" w:cstheme="majorBidi"/>
                <w:color w:val="000000" w:themeColor="text1"/>
                <w:szCs w:val="24"/>
              </w:rPr>
              <w:t>the undercover police officers</w:t>
            </w:r>
            <w:r w:rsidR="001F22F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3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6109DB">
              <w:t xml:space="preserve"> </w:t>
            </w:r>
            <w:r w:rsidR="006109DB" w:rsidRPr="006109DB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the decision of the judge resulting in the discharge of one juror, but not of the jury as a whole, after it had come to light during the summing up that a juror had indicated that she found one of the police officers in the case attractive</w:t>
            </w:r>
            <w:r w:rsidR="001F22F7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. 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Ground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4</w:t>
            </w:r>
            <w:r w:rsidRPr="00951074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CF78FC">
              <w:t xml:space="preserve"> </w:t>
            </w:r>
            <w:r w:rsidR="00CF78FC" w:rsidRPr="00CF78FC">
              <w:rPr>
                <w:rFonts w:ascii="Arial Nova Light" w:hAnsi="Arial Nova Light" w:cstheme="majorBidi"/>
                <w:color w:val="000000" w:themeColor="text1"/>
                <w:szCs w:val="24"/>
              </w:rPr>
              <w:t>The alleg</w:t>
            </w:r>
            <w:r w:rsidR="00CF78FC">
              <w:rPr>
                <w:rFonts w:ascii="Arial Nova Light" w:hAnsi="Arial Nova Light" w:cstheme="majorBidi"/>
                <w:color w:val="000000" w:themeColor="text1"/>
                <w:szCs w:val="24"/>
              </w:rPr>
              <w:t>ation</w:t>
            </w:r>
            <w:r w:rsidR="00CF78FC" w:rsidRPr="00CF78F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 judge’s summing up of the evidence given by </w:t>
            </w:r>
            <w:r w:rsidR="00CF78FC">
              <w:rPr>
                <w:rFonts w:ascii="Arial Nova Light" w:hAnsi="Arial Nova Light" w:cstheme="majorBidi"/>
                <w:color w:val="000000" w:themeColor="text1"/>
                <w:szCs w:val="24"/>
              </w:rPr>
              <w:t>one of the undercover officers</w:t>
            </w:r>
            <w:r w:rsidR="00CF78FC" w:rsidRPr="00CF78F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was unbalanced and unfair to the accused.</w:t>
            </w: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0ECFEEA3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CF78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57CE1C46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CF78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7BA9811B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CF78F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7231D714" w:rsidR="00D7225E" w:rsidRPr="00F214F6" w:rsidRDefault="00CF78FC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7466CF97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7C3023AD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692B6B39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167BB086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17E1733D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24F3795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970E4"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2C03BEE7" w:rsidR="00D970E4" w:rsidRPr="00F214F6" w:rsidRDefault="0099300B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0891C0B3" w:rsidR="00C77DBF" w:rsidRPr="00F214F6" w:rsidRDefault="0099300B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lastRenderedPageBreak/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25A2369D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9930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7D3018BE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9300B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18D3911D" w:rsidR="005515E1" w:rsidRPr="00F214F6" w:rsidRDefault="00FF5E6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1C93A1EA" w:rsidR="005515E1" w:rsidRPr="00F214F6" w:rsidRDefault="00FF5E6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66F00AEB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7846B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85" w14:textId="3F014B44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7846B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814E2" w:rsidRPr="00F214F6" w14:paraId="766F2C89" w14:textId="77777777" w:rsidTr="00D970E4">
        <w:tc>
          <w:tcPr>
            <w:tcW w:w="6345" w:type="dxa"/>
          </w:tcPr>
          <w:p w14:paraId="766F2C87" w14:textId="51E95D08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400023ED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8C" w14:textId="77777777" w:rsidTr="00D970E4">
        <w:tc>
          <w:tcPr>
            <w:tcW w:w="6345" w:type="dxa"/>
          </w:tcPr>
          <w:p w14:paraId="766F2C8A" w14:textId="025EED05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15F6C528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8F" w14:textId="77777777" w:rsidTr="00D970E4">
        <w:tc>
          <w:tcPr>
            <w:tcW w:w="6345" w:type="dxa"/>
          </w:tcPr>
          <w:p w14:paraId="766F2C8D" w14:textId="3165E3BD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2304D7EA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92" w14:textId="77777777" w:rsidTr="00D970E4">
        <w:tc>
          <w:tcPr>
            <w:tcW w:w="6345" w:type="dxa"/>
          </w:tcPr>
          <w:p w14:paraId="766F2C90" w14:textId="73405219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0FF388E0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95" w14:textId="77777777" w:rsidTr="00D970E4">
        <w:tc>
          <w:tcPr>
            <w:tcW w:w="6345" w:type="dxa"/>
          </w:tcPr>
          <w:p w14:paraId="766F2C93" w14:textId="1211F415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20FD0C87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814E2" w:rsidRPr="00F214F6" w14:paraId="766F2C98" w14:textId="77777777" w:rsidTr="00D970E4">
        <w:tc>
          <w:tcPr>
            <w:tcW w:w="6345" w:type="dxa"/>
          </w:tcPr>
          <w:p w14:paraId="766F2C96" w14:textId="4833DBBF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07C74D0B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814E2" w:rsidRPr="00F214F6" w14:paraId="766F2C9B" w14:textId="77777777" w:rsidTr="00D970E4">
        <w:tc>
          <w:tcPr>
            <w:tcW w:w="6345" w:type="dxa"/>
          </w:tcPr>
          <w:p w14:paraId="766F2C99" w14:textId="7FECC5F4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407E590C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9E" w14:textId="77777777" w:rsidTr="00D970E4">
        <w:tc>
          <w:tcPr>
            <w:tcW w:w="6345" w:type="dxa"/>
          </w:tcPr>
          <w:p w14:paraId="766F2C9C" w14:textId="10FA4C63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6C94F4F9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4814E2" w:rsidRPr="00F214F6" w14:paraId="766F2CA1" w14:textId="77777777" w:rsidTr="00D970E4">
        <w:tc>
          <w:tcPr>
            <w:tcW w:w="6345" w:type="dxa"/>
          </w:tcPr>
          <w:p w14:paraId="766F2C9F" w14:textId="6088AA05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39EEC2EF" w:rsidR="004814E2" w:rsidRPr="00F214F6" w:rsidRDefault="004814E2" w:rsidP="004814E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34D47E86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E301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303E2D5E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E301D2" w:rsidRPr="00E301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Re Medicaments (No2) [2002] 1WLR 779</w:t>
            </w:r>
            <w:r w:rsidR="00E301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E301D2" w:rsidRPr="00E301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Porter v Magill [2002] 2AC 357</w:t>
            </w:r>
            <w:r w:rsidR="00E301D2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47804" w:rsidRP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Montgomery v HM Advocate [2003] 1AC 641</w:t>
            </w:r>
            <w:r w:rsid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47804" w:rsidRP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Abu Hamza [2007] 1 Cr App R 27</w:t>
            </w:r>
            <w:r w:rsid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="00147804" w:rsidRP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Kahar</w:t>
            </w:r>
            <w:proofErr w:type="spellEnd"/>
            <w:r w:rsidR="00147804" w:rsidRP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[2016] 2 Cr Appellant R (S) 3</w:t>
            </w:r>
            <w:r w:rsidR="0014780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  <w:r w:rsidR="009C54B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9C54B8" w:rsidRPr="009C54B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Mayers [2009] 1 WLR 1915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621A22E0" w:rsidR="00CC3B33" w:rsidRPr="00F214F6" w:rsidRDefault="009C54B8" w:rsidP="003C3D1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9B26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Lord Justice </w:t>
            </w:r>
            <w:proofErr w:type="spellStart"/>
            <w:r w:rsidRPr="009B26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Holroyde</w:t>
            </w:r>
            <w:proofErr w:type="spellEnd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bookmarkStart w:id="0" w:name="bkJudge2AddProp"/>
            <w:r w:rsidRPr="009B26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Mr Justice King </w:t>
            </w:r>
            <w:bookmarkEnd w:id="0"/>
            <w:r w:rsidR="009B2696" w:rsidRPr="009B26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and </w:t>
            </w:r>
            <w:bookmarkStart w:id="1" w:name="bkJudge3AddProp"/>
            <w:r w:rsidR="003C3D1A" w:rsidRPr="009B269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Cutler</w:t>
            </w:r>
            <w:bookmarkEnd w:id="1"/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2D2B05DC" w:rsidR="00CC3B33" w:rsidRPr="00F214F6" w:rsidRDefault="003C3D1A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99</w:t>
            </w:r>
            <w:r w:rsidR="00D7225E" w:rsidRPr="00F214F6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6C57D0C3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249686E8" w:rsidR="00CC3B33" w:rsidRPr="00F214F6" w:rsidRDefault="003C3D1A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610BFD26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3C3D1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3" w14:textId="666BB963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AD4F3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defendants and co-defendants were initially under police surveillance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0B62ED3C" w:rsidR="00CC3B33" w:rsidRPr="00F214F6" w:rsidRDefault="00AD4F3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74E4081E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AD4F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B9" w14:textId="7DEBBC1B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AD4F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25BDC7D5" w:rsidR="004A44C9" w:rsidRPr="00F214F6" w:rsidRDefault="00AD4F3C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766F2CBF" w14:textId="740956C3" w:rsidR="00CC3B33" w:rsidRPr="00F214F6" w:rsidRDefault="005C5552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2" w:name="para1"/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</w:t>
            </w:r>
            <w:r w:rsidRPr="005C55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ngaging in conduct in preparation of terrorist acts</w:t>
            </w:r>
            <w:bookmarkEnd w:id="2"/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559A307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AD4F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18B9005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lastRenderedPageBreak/>
              <w:t xml:space="preserve">Q51b: </w:t>
            </w:r>
            <w:r w:rsidR="0009285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Police recovered</w:t>
            </w:r>
            <w:r w:rsidR="00B075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:</w:t>
            </w:r>
            <w:r w:rsidR="0009285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a sports bag containing a partially constructed pipe bomb; </w:t>
            </w:r>
            <w:r w:rsidR="001871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an imitation handgun; </w:t>
            </w:r>
            <w:proofErr w:type="spellStart"/>
            <w:r w:rsidR="001871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shortgun</w:t>
            </w:r>
            <w:proofErr w:type="spellEnd"/>
            <w:r w:rsidR="001871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cartridges; Gaffer tape 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(</w:t>
            </w:r>
            <w:r w:rsid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had DNA profiles matching one of the co-defendants and his sister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) </w:t>
            </w:r>
            <w:r w:rsidR="00B075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and paper tissues; a samurai sword; two mobile phones and a CD with recordings of Jihadist </w:t>
            </w:r>
            <w:proofErr w:type="spellStart"/>
            <w:r w:rsidR="00B0755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nasheeds</w:t>
            </w:r>
            <w:proofErr w:type="spellEnd"/>
            <w:r w:rsid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electronic devices and material which the prosecution alleged evinced extremist Islamic min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</w:t>
            </w:r>
            <w:r w:rsid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set</w:t>
            </w:r>
            <w:r w:rsid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1871A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co-defendants setting up </w:t>
            </w:r>
            <w:r w:rsidR="00504AFE" w:rsidRP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 chat group</w:t>
            </w:r>
            <w:r w:rsidR="00A90A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504AFE" w:rsidRP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using </w:t>
            </w:r>
            <w:r w:rsidR="00A90A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an</w:t>
            </w:r>
            <w:r w:rsidR="00504AFE" w:rsidRPr="00504AF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encrypted Telegram messaging app.  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0526CC25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AD4F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5" w14:textId="62D0789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AD4F3C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Undercover police surveillance eyewitness testimony</w:t>
            </w:r>
            <w:r w:rsidR="0009285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Bad character</w:t>
            </w:r>
            <w:r w:rsid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D7C73" w:rsidRP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The techniques used to construct the pipe bomb were techniques which had been taught to 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one of the co-defendants</w:t>
            </w:r>
            <w:r w:rsidR="004D7C73" w:rsidRP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when he attended a plumbing course at college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D7C73" w:rsidRPr="004D7C7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 </w:t>
            </w:r>
            <w:r w:rsidR="00BA2CD8" w:rsidRP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The method of construction was also similar to that described in an issue of Inspire magazine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(</w:t>
            </w:r>
            <w:r w:rsidR="00BA2CD8" w:rsidRP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Inspire is an English language online magazine reported to be published by the organization al-Qaeda in the Arabian Peninsula (AQAP). The magazine is one of the many ways AQAP uses the Internet to reach its audience</w:t>
            </w:r>
            <w:r w:rsidR="00BA2CD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); 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4223F58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A90A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54F4084E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A90A88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5ABA67AF" w:rsidR="00CC3B33" w:rsidRPr="00F214F6" w:rsidRDefault="00A90A88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Life imprisonment </w:t>
            </w:r>
            <w:r w:rsidR="00725E5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– 15 years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4FA217DE" w:rsidR="00D7225E" w:rsidRPr="00F214F6" w:rsidRDefault="001C1D9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1BF31123" w:rsidR="00CC3B33" w:rsidRPr="00F214F6" w:rsidRDefault="009B2696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Globe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3BA9CB35" w:rsidR="00CC3B33" w:rsidRPr="00BD77D6" w:rsidRDefault="00BD77D6" w:rsidP="00A85E1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3" w:name="bkCol1AddProp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K Vaughan QC </w:t>
            </w:r>
            <w:bookmarkEnd w:id="3"/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(appearing pro bono) for the </w:t>
            </w:r>
            <w:bookmarkStart w:id="4" w:name="bkPart1AddProp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applicant Tahir Aziz</w:t>
            </w:r>
            <w:r w:rsidR="00032E98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;</w:t>
            </w:r>
            <w:bookmarkStart w:id="5" w:name="bkCol2AddProp"/>
            <w:bookmarkEnd w:id="4"/>
            <w:r w:rsidR="00032E98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J </w:t>
            </w:r>
            <w:proofErr w:type="spellStart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Bennathan</w:t>
            </w:r>
            <w:proofErr w:type="spellEnd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QC and Ms D Cooper </w:t>
            </w:r>
            <w:bookmarkEnd w:id="5"/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(appearing pro bono) for the </w:t>
            </w:r>
            <w:bookmarkStart w:id="6" w:name="bkPart2AddProp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applicant </w:t>
            </w:r>
            <w:proofErr w:type="spellStart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Mohibur</w:t>
            </w:r>
            <w:proofErr w:type="spellEnd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Rahman</w:t>
            </w:r>
            <w:r w:rsidR="00032E98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;</w:t>
            </w:r>
            <w:bookmarkEnd w:id="6"/>
            <w:r w:rsidR="00032E98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S </w:t>
            </w:r>
            <w:proofErr w:type="spellStart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Kamlish</w:t>
            </w:r>
            <w:proofErr w:type="spellEnd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QC and Ms C </w:t>
            </w:r>
            <w:proofErr w:type="spellStart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>Oborne</w:t>
            </w:r>
            <w:proofErr w:type="spellEnd"/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(appearing pro bono) for the applicant </w:t>
            </w:r>
            <w:proofErr w:type="spellStart"/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Naweed</w:t>
            </w:r>
            <w:proofErr w:type="spellEnd"/>
            <w:r w:rsidR="00A85E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M</w:t>
            </w:r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ahmood Ali</w:t>
            </w:r>
            <w:r w:rsidR="00A85E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R Menon QC </w:t>
            </w:r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(appearing pro bono) for the applicant </w:t>
            </w:r>
            <w:proofErr w:type="spellStart"/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Khobaib</w:t>
            </w:r>
            <w:proofErr w:type="spellEnd"/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85E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H</w:t>
            </w:r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ussain</w:t>
            </w:r>
            <w:r w:rsidR="00A85E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; </w:t>
            </w:r>
            <w:r w:rsidRPr="00BD77D6">
              <w:rPr>
                <w:rFonts w:ascii="Arial Nova Light" w:hAnsi="Arial Nova Light" w:cstheme="majorBidi"/>
                <w:bCs/>
                <w:color w:val="000000" w:themeColor="text1"/>
                <w:sz w:val="24"/>
                <w:szCs w:val="24"/>
              </w:rPr>
              <w:t xml:space="preserve">Mr G Patterson QC and Mr W Emlyn-Jones </w:t>
            </w:r>
            <w:r w:rsidRPr="00BD77D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the Respondent </w:t>
            </w:r>
            <w:r w:rsidR="00A85E1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5323FF54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40B3E871" w14:textId="77777777" w:rsidR="00CC3B33" w:rsidRDefault="00F02FAD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0E8FB62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10AC6539" w:rsidR="00A90295" w:rsidRPr="00F214F6" w:rsidRDefault="00A90295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274FB8CA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B964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21DB05F0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B96413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defence on behalf of the appellant and his co-defendants </w:t>
            </w:r>
            <w:r w:rsidR="00DD24D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sought an investigation into whether either of the undercover officers fingerprints or DNA were on the </w:t>
            </w:r>
            <w:r w:rsidR="00F167C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sports bag recovered or any of its contents</w:t>
            </w:r>
          </w:p>
          <w:p w14:paraId="6A7F8241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749561EF" w:rsidR="00A90295" w:rsidRPr="00F214F6" w:rsidRDefault="00A9029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D3CC03F" w:rsidR="00CC3B33" w:rsidRPr="00F214F6" w:rsidRDefault="00B96413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15022D31" w:rsidR="00CC3B33" w:rsidRPr="00F214F6" w:rsidRDefault="00F167C0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192EDB1D" w:rsidR="00CC3B33" w:rsidRPr="00F214F6" w:rsidRDefault="00F167C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3C625FEC" w14:textId="3ADE6F7F" w:rsidR="00EB79EB" w:rsidRPr="00F214F6" w:rsidRDefault="00F167C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766F2CEC" w14:textId="02681FA0" w:rsidR="00D92554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44964A5A" w:rsidR="00CC3B33" w:rsidRPr="00F214F6" w:rsidRDefault="0030305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619FCB5D" w:rsidR="00CC3B33" w:rsidRPr="00F214F6" w:rsidRDefault="0030305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01B217CF" w:rsidR="00CC3B33" w:rsidRPr="00F214F6" w:rsidRDefault="0030305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2984C97D" w:rsidR="00CC3B33" w:rsidRPr="00F214F6" w:rsidRDefault="006C777E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3F269B3" w:rsidR="00CC3B33" w:rsidRPr="00F214F6" w:rsidRDefault="006C777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439A104D" w:rsidR="00CC3B33" w:rsidRPr="00F214F6" w:rsidRDefault="006C777E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2EE54928" w14:textId="77777777" w:rsidR="00CC3B33" w:rsidRDefault="006C777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D344971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5EB3B2F5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06BE6496" w14:textId="77777777" w:rsidR="00CC3B33" w:rsidRDefault="006C777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125815E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9E5FA40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13E5505A" w14:textId="77777777" w:rsidR="00CC3B33" w:rsidRDefault="006C777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5F48383A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3D377737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6036638C" w14:textId="77777777" w:rsidR="00CC3B33" w:rsidRDefault="006C777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2195CC73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790C1960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31499ADC" w14:textId="77777777" w:rsidR="00CC3B33" w:rsidRDefault="006C777E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FC6BE24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2ABD0A87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45061A4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6C77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F031AC1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6C777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25262213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7964E71C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1DBC29FD" w:rsidR="00CC3B33" w:rsidRPr="00F214F6" w:rsidRDefault="00F8289B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2E5F4A89" w:rsidR="00CC3B33" w:rsidRPr="00F214F6" w:rsidRDefault="00F8289B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3A08A137" w14:textId="77777777" w:rsidR="00CC3B33" w:rsidRDefault="00F8289B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81D91F8" w14:textId="77777777" w:rsidR="00A90295" w:rsidRPr="00A90295" w:rsidRDefault="00A90295" w:rsidP="00A90295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A9029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C" w14:textId="1E158128" w:rsidR="00A90295" w:rsidRPr="00F214F6" w:rsidRDefault="00A9029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36A1AB24" w:rsidR="00CC3B33" w:rsidRPr="00F214F6" w:rsidRDefault="00C82039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5755C685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62419BD5" w14:textId="77777777" w:rsidR="0029680B" w:rsidRDefault="00C82039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0A0416FE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191F5662" w:rsidR="00432BE1" w:rsidRPr="00F214F6" w:rsidRDefault="00432BE1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0ED37864" w14:textId="77777777" w:rsidR="00CC3B33" w:rsidRDefault="00C8203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1BE476D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4A0A7912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494473AF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216E6BD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0B2C9B0A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55B9390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538D48E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59D18156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3D1D6DB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42C87D3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1CD64997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33684C44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ECF79CF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59D3F4EF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7AC83542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6DB015BE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67426FCF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626768EF" w:rsidR="00CC3B33" w:rsidRPr="00F214F6" w:rsidRDefault="007F2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4FF0AEB1" w:rsidR="00CC3B33" w:rsidRPr="00F214F6" w:rsidRDefault="007F2354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7FA3796F" w14:textId="77777777" w:rsidR="00CC3B33" w:rsidRDefault="007F2354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D768432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34FD9755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400BD820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Q90.</w:t>
            </w:r>
            <w:r w:rsidR="007F235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99</w:t>
            </w:r>
          </w:p>
          <w:p w14:paraId="2FC0CA7E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53017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12251F7D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36B097EA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55C94EC5" w:rsidR="00EB79EB" w:rsidRPr="00F214F6" w:rsidRDefault="005301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738382C5" w:rsidR="00CC3B33" w:rsidRPr="00F214F6" w:rsidRDefault="005301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10595D1B" w:rsidR="00EB79EB" w:rsidRPr="00F214F6" w:rsidRDefault="005301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589C172F" w:rsidR="00F02664" w:rsidRPr="00F214F6" w:rsidRDefault="00530176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6203950D" w:rsidR="00CC3B33" w:rsidRPr="00F214F6" w:rsidRDefault="0053017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777B1F03" w:rsidR="00C77DBF" w:rsidRPr="00F214F6" w:rsidRDefault="0007704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7B2A3403" w14:textId="77777777" w:rsidR="00CC3B33" w:rsidRDefault="0007704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D1A4071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3F60AF19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523FD1B6" w14:textId="77777777" w:rsidR="00CC3B33" w:rsidRDefault="0007704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55D1545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33CCC8CB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452E32B7" w14:textId="77777777" w:rsidR="00CC3B33" w:rsidRDefault="0007704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D844D5D" w14:textId="77777777" w:rsidR="00432BE1" w:rsidRPr="00432BE1" w:rsidRDefault="00432BE1" w:rsidP="00432BE1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432BE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40A64191" w:rsidR="00432BE1" w:rsidRPr="00F214F6" w:rsidRDefault="00432BE1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7" w:name="_GoBack"/>
            <w:bookmarkEnd w:id="7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45B2A994" w:rsidR="00A35D9A" w:rsidRPr="00F214F6" w:rsidRDefault="00077046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41947E44" w:rsidR="00CC3B33" w:rsidRPr="00F214F6" w:rsidRDefault="00077046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077046">
              <w:rPr>
                <w:rFonts w:ascii="Arial Nova Light" w:hAnsi="Arial Nova Light"/>
                <w:color w:val="000000" w:themeColor="text1"/>
              </w:rPr>
              <w:t>The judge</w:t>
            </w:r>
            <w:r w:rsidR="002E689B">
              <w:rPr>
                <w:rFonts w:ascii="Arial Nova Light" w:hAnsi="Arial Nova Light"/>
                <w:color w:val="000000" w:themeColor="text1"/>
              </w:rPr>
              <w:t xml:space="preserve"> </w:t>
            </w:r>
            <w:r w:rsidRPr="00077046">
              <w:rPr>
                <w:rFonts w:ascii="Arial Nova Light" w:hAnsi="Arial Nova Light"/>
                <w:color w:val="000000" w:themeColor="text1"/>
              </w:rPr>
              <w:t xml:space="preserve">said that </w:t>
            </w:r>
            <w:r w:rsidR="002E689B">
              <w:rPr>
                <w:rFonts w:ascii="Arial Nova Light" w:hAnsi="Arial Nova Light"/>
                <w:color w:val="000000" w:themeColor="text1"/>
              </w:rPr>
              <w:t>one of the undercover officer</w:t>
            </w:r>
            <w:r w:rsidRPr="00077046">
              <w:rPr>
                <w:rFonts w:ascii="Arial Nova Light" w:hAnsi="Arial Nova Light"/>
                <w:color w:val="000000" w:themeColor="text1"/>
              </w:rPr>
              <w:t xml:space="preserve">’s DNA and/or fingerprints were found on any item from the bag, </w:t>
            </w:r>
            <w:r w:rsidR="002E689B">
              <w:rPr>
                <w:rFonts w:ascii="Arial Nova Light" w:hAnsi="Arial Nova Light"/>
                <w:color w:val="000000" w:themeColor="text1"/>
              </w:rPr>
              <w:t>“[the officer’s]</w:t>
            </w:r>
            <w:r w:rsidRPr="00077046">
              <w:rPr>
                <w:rFonts w:ascii="Arial Nova Light" w:hAnsi="Arial Nova Light"/>
                <w:color w:val="000000" w:themeColor="text1"/>
              </w:rPr>
              <w:t xml:space="preserve"> evidence is such that he either might have touched the bag and its contents on the course of examining and/or moving them, likewise, he may have shed DNA on them simply by being in the near vicinity of them”.  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755415A1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642698" w:rsidRPr="00F214F6" w14:paraId="6E40CE34" w14:textId="77777777" w:rsidTr="00AD1A27">
        <w:tc>
          <w:tcPr>
            <w:tcW w:w="6345" w:type="dxa"/>
          </w:tcPr>
          <w:p w14:paraId="034FB51C" w14:textId="22FC1544" w:rsidR="00642698" w:rsidRPr="00F214F6" w:rsidRDefault="00642698" w:rsidP="00642698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CA6EFA">
              <w:rPr>
                <w:rFonts w:ascii="Arial Nova Light" w:hAnsi="Arial Nova Light"/>
                <w:sz w:val="24"/>
                <w:szCs w:val="24"/>
              </w:rPr>
              <w:lastRenderedPageBreak/>
              <w:t>102. For Digital evidence, were any technical problems presented at the appeal hearing? If yes, what? Provide a quote if short, otherwise summarise</w:t>
            </w:r>
          </w:p>
        </w:tc>
        <w:tc>
          <w:tcPr>
            <w:tcW w:w="9072" w:type="dxa"/>
          </w:tcPr>
          <w:p w14:paraId="16C9A5F7" w14:textId="77777777" w:rsidR="00642698" w:rsidRPr="00CA6EFA" w:rsidRDefault="00642698" w:rsidP="0064269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szCs w:val="24"/>
              </w:rPr>
            </w:pPr>
            <w:r w:rsidRPr="00CA6EFA">
              <w:rPr>
                <w:rFonts w:ascii="Arial Nova Light" w:hAnsi="Arial Nova Light"/>
                <w:szCs w:val="24"/>
              </w:rPr>
              <w:t xml:space="preserve">Q102: </w:t>
            </w:r>
            <w:r>
              <w:rPr>
                <w:rFonts w:ascii="Arial Nova Light" w:hAnsi="Arial Nova Light"/>
                <w:szCs w:val="24"/>
              </w:rPr>
              <w:t>2</w:t>
            </w:r>
          </w:p>
          <w:p w14:paraId="23E39E68" w14:textId="50F0A0CA" w:rsidR="00642698" w:rsidRPr="00F214F6" w:rsidRDefault="00642698" w:rsidP="00642698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CA6EFA">
              <w:rPr>
                <w:rFonts w:ascii="Arial Nova Light" w:hAnsi="Arial Nova Light"/>
                <w:color w:val="000000" w:themeColor="text1"/>
                <w:szCs w:val="24"/>
              </w:rPr>
              <w:t>Q102b: 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557C90FB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D53E0B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5F78E4DF" w:rsidR="00907A59" w:rsidRPr="00F214F6" w:rsidRDefault="0056327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2B395608" w:rsidR="00907A59" w:rsidRPr="00F214F6" w:rsidRDefault="00563273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1C63B4D2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734C3608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3B623CC3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22FE6595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2B039B42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52915D50" w:rsidR="000F5116" w:rsidRPr="00F214F6" w:rsidRDefault="00563273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1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5717230C" w:rsidR="000F5116" w:rsidRPr="00F214F6" w:rsidRDefault="004301E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310EC80D" w:rsidR="000F5116" w:rsidRPr="00F214F6" w:rsidRDefault="004301E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4E9E8162" w:rsidR="000F5116" w:rsidRPr="00F214F6" w:rsidRDefault="004301E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0BFEEDE1" w:rsidR="000F5116" w:rsidRPr="00F214F6" w:rsidRDefault="004301E1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2</w:t>
            </w:r>
          </w:p>
        </w:tc>
      </w:tr>
      <w:tr w:rsidR="00DC67E1" w:rsidRPr="00F214F6" w14:paraId="53D75FFB" w14:textId="77777777" w:rsidTr="009978C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89F09" w14:textId="012AF915" w:rsidR="00DC67E1" w:rsidRPr="00F214F6" w:rsidRDefault="00DC67E1" w:rsidP="00DC67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lastRenderedPageBreak/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0ADC" w14:textId="29B0F29F" w:rsidR="00FD675F" w:rsidRDefault="00FD675F" w:rsidP="00FD675F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1</w:t>
            </w:r>
          </w:p>
          <w:p w14:paraId="3B7A09D1" w14:textId="74CD7A07" w:rsidR="00DC67E1" w:rsidRDefault="00FD675F" w:rsidP="00FD675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3</w:t>
            </w:r>
          </w:p>
        </w:tc>
      </w:tr>
      <w:tr w:rsidR="00AF7812" w:rsidRPr="00F214F6" w14:paraId="7476844C" w14:textId="77777777" w:rsidTr="009978C2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91A3" w14:textId="75A7F059" w:rsidR="00AF7812" w:rsidRDefault="00AF7812" w:rsidP="00AF7812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7D65" w14:textId="7D8B55A7" w:rsidR="00AF7812" w:rsidRDefault="00AF7812" w:rsidP="00AF7812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6F462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6DA1D508" w14:textId="08E6A67F" w:rsidR="00AF7812" w:rsidRDefault="00AF7812" w:rsidP="00AF7812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6F462A">
              <w:rPr>
                <w:rFonts w:ascii="Arial Nova Light" w:hAnsi="Arial Nova Light" w:cstheme="majorBidi"/>
                <w:color w:val="000000" w:themeColor="text1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EA538B" w14:textId="77777777" w:rsidR="001E0B0A" w:rsidRDefault="001E0B0A" w:rsidP="00187203">
      <w:pPr>
        <w:spacing w:after="0" w:line="240" w:lineRule="auto"/>
      </w:pPr>
      <w:r>
        <w:separator/>
      </w:r>
    </w:p>
  </w:endnote>
  <w:endnote w:type="continuationSeparator" w:id="0">
    <w:p w14:paraId="11240DA4" w14:textId="77777777" w:rsidR="001E0B0A" w:rsidRDefault="001E0B0A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D4417" w14:textId="77777777" w:rsidR="001E0B0A" w:rsidRDefault="001E0B0A" w:rsidP="00187203">
      <w:pPr>
        <w:spacing w:after="0" w:line="240" w:lineRule="auto"/>
      </w:pPr>
      <w:r>
        <w:separator/>
      </w:r>
    </w:p>
  </w:footnote>
  <w:footnote w:type="continuationSeparator" w:id="0">
    <w:p w14:paraId="4D31740C" w14:textId="77777777" w:rsidR="001E0B0A" w:rsidRDefault="001E0B0A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2D65"/>
    <w:rsid w:val="00024091"/>
    <w:rsid w:val="00032E98"/>
    <w:rsid w:val="00033F18"/>
    <w:rsid w:val="00034807"/>
    <w:rsid w:val="00044E5D"/>
    <w:rsid w:val="00050B46"/>
    <w:rsid w:val="00054A86"/>
    <w:rsid w:val="00055EF0"/>
    <w:rsid w:val="000642D6"/>
    <w:rsid w:val="00077046"/>
    <w:rsid w:val="00083FFE"/>
    <w:rsid w:val="00092855"/>
    <w:rsid w:val="0009515D"/>
    <w:rsid w:val="00097755"/>
    <w:rsid w:val="000A4EC3"/>
    <w:rsid w:val="000C67E9"/>
    <w:rsid w:val="000E65C1"/>
    <w:rsid w:val="000F5116"/>
    <w:rsid w:val="0011134F"/>
    <w:rsid w:val="001221BE"/>
    <w:rsid w:val="00141779"/>
    <w:rsid w:val="00147804"/>
    <w:rsid w:val="00154B87"/>
    <w:rsid w:val="0018382A"/>
    <w:rsid w:val="00184214"/>
    <w:rsid w:val="001871AC"/>
    <w:rsid w:val="00187203"/>
    <w:rsid w:val="00196060"/>
    <w:rsid w:val="00197B70"/>
    <w:rsid w:val="001A2D1E"/>
    <w:rsid w:val="001B3245"/>
    <w:rsid w:val="001C0D45"/>
    <w:rsid w:val="001C1D90"/>
    <w:rsid w:val="001C4D47"/>
    <w:rsid w:val="001C5945"/>
    <w:rsid w:val="001D6D26"/>
    <w:rsid w:val="001E0B0A"/>
    <w:rsid w:val="001F22F7"/>
    <w:rsid w:val="00206551"/>
    <w:rsid w:val="002278BF"/>
    <w:rsid w:val="00250C4F"/>
    <w:rsid w:val="00255E5F"/>
    <w:rsid w:val="002613B5"/>
    <w:rsid w:val="00274535"/>
    <w:rsid w:val="0028308F"/>
    <w:rsid w:val="0029602E"/>
    <w:rsid w:val="0029680B"/>
    <w:rsid w:val="002A0936"/>
    <w:rsid w:val="002B7601"/>
    <w:rsid w:val="002D3EDC"/>
    <w:rsid w:val="002E689B"/>
    <w:rsid w:val="002E75B4"/>
    <w:rsid w:val="00301AE4"/>
    <w:rsid w:val="0030305B"/>
    <w:rsid w:val="00332ACD"/>
    <w:rsid w:val="0033791C"/>
    <w:rsid w:val="003420D0"/>
    <w:rsid w:val="00351578"/>
    <w:rsid w:val="00353568"/>
    <w:rsid w:val="00354D14"/>
    <w:rsid w:val="003A0A0C"/>
    <w:rsid w:val="003A29C8"/>
    <w:rsid w:val="003A4007"/>
    <w:rsid w:val="003B1314"/>
    <w:rsid w:val="003B51F0"/>
    <w:rsid w:val="003B60E4"/>
    <w:rsid w:val="003C3D1A"/>
    <w:rsid w:val="003C6ABD"/>
    <w:rsid w:val="003D0993"/>
    <w:rsid w:val="003D6522"/>
    <w:rsid w:val="003E1548"/>
    <w:rsid w:val="00416404"/>
    <w:rsid w:val="00417F03"/>
    <w:rsid w:val="00426926"/>
    <w:rsid w:val="004301E1"/>
    <w:rsid w:val="00432A9E"/>
    <w:rsid w:val="00432BE1"/>
    <w:rsid w:val="00434D7D"/>
    <w:rsid w:val="00440933"/>
    <w:rsid w:val="00463D75"/>
    <w:rsid w:val="00470DD4"/>
    <w:rsid w:val="0047148B"/>
    <w:rsid w:val="004814E2"/>
    <w:rsid w:val="004A33E6"/>
    <w:rsid w:val="004A44C9"/>
    <w:rsid w:val="004A6530"/>
    <w:rsid w:val="004B2E8A"/>
    <w:rsid w:val="004B32DB"/>
    <w:rsid w:val="004C51D2"/>
    <w:rsid w:val="004D1D32"/>
    <w:rsid w:val="004D1DE0"/>
    <w:rsid w:val="004D4ABF"/>
    <w:rsid w:val="004D7C73"/>
    <w:rsid w:val="004E3100"/>
    <w:rsid w:val="004F1CFE"/>
    <w:rsid w:val="004F5DA4"/>
    <w:rsid w:val="00500E52"/>
    <w:rsid w:val="00504AFE"/>
    <w:rsid w:val="00505881"/>
    <w:rsid w:val="00506BC8"/>
    <w:rsid w:val="00517475"/>
    <w:rsid w:val="005263CF"/>
    <w:rsid w:val="00530176"/>
    <w:rsid w:val="00540327"/>
    <w:rsid w:val="0054055B"/>
    <w:rsid w:val="00541F85"/>
    <w:rsid w:val="005515E1"/>
    <w:rsid w:val="005544E2"/>
    <w:rsid w:val="00555108"/>
    <w:rsid w:val="00563273"/>
    <w:rsid w:val="005B1A3B"/>
    <w:rsid w:val="005C1ABD"/>
    <w:rsid w:val="005C5552"/>
    <w:rsid w:val="005E6686"/>
    <w:rsid w:val="006109DB"/>
    <w:rsid w:val="00621FE2"/>
    <w:rsid w:val="00624A77"/>
    <w:rsid w:val="00642698"/>
    <w:rsid w:val="00650F5E"/>
    <w:rsid w:val="0065681E"/>
    <w:rsid w:val="00664CD9"/>
    <w:rsid w:val="00671DF0"/>
    <w:rsid w:val="00694917"/>
    <w:rsid w:val="006B0518"/>
    <w:rsid w:val="006B1ED2"/>
    <w:rsid w:val="006B3E2B"/>
    <w:rsid w:val="006B67A6"/>
    <w:rsid w:val="006C71A1"/>
    <w:rsid w:val="006C777E"/>
    <w:rsid w:val="006D71C4"/>
    <w:rsid w:val="006D7C30"/>
    <w:rsid w:val="006E4C42"/>
    <w:rsid w:val="006F3EB0"/>
    <w:rsid w:val="006F462A"/>
    <w:rsid w:val="006F48BE"/>
    <w:rsid w:val="00703FCC"/>
    <w:rsid w:val="007106AC"/>
    <w:rsid w:val="0071493C"/>
    <w:rsid w:val="00725E52"/>
    <w:rsid w:val="007415FA"/>
    <w:rsid w:val="007608D1"/>
    <w:rsid w:val="007659F7"/>
    <w:rsid w:val="007700FE"/>
    <w:rsid w:val="007846B2"/>
    <w:rsid w:val="007A0132"/>
    <w:rsid w:val="007B467D"/>
    <w:rsid w:val="007B63C7"/>
    <w:rsid w:val="007C09F8"/>
    <w:rsid w:val="007C712E"/>
    <w:rsid w:val="007E0BE0"/>
    <w:rsid w:val="007E78B1"/>
    <w:rsid w:val="007F2354"/>
    <w:rsid w:val="007F3561"/>
    <w:rsid w:val="00822889"/>
    <w:rsid w:val="00823B61"/>
    <w:rsid w:val="00830569"/>
    <w:rsid w:val="00847F94"/>
    <w:rsid w:val="008513B8"/>
    <w:rsid w:val="00873BFC"/>
    <w:rsid w:val="00897696"/>
    <w:rsid w:val="008A00C1"/>
    <w:rsid w:val="008B0C26"/>
    <w:rsid w:val="008B34D6"/>
    <w:rsid w:val="008C01BB"/>
    <w:rsid w:val="008D033C"/>
    <w:rsid w:val="0090333A"/>
    <w:rsid w:val="00906F86"/>
    <w:rsid w:val="00907A59"/>
    <w:rsid w:val="009111D6"/>
    <w:rsid w:val="009162DB"/>
    <w:rsid w:val="00922DBD"/>
    <w:rsid w:val="0093054D"/>
    <w:rsid w:val="00951074"/>
    <w:rsid w:val="00962A8E"/>
    <w:rsid w:val="009642C0"/>
    <w:rsid w:val="0097046D"/>
    <w:rsid w:val="00985ED4"/>
    <w:rsid w:val="0099300B"/>
    <w:rsid w:val="009B254A"/>
    <w:rsid w:val="009B2696"/>
    <w:rsid w:val="009B6FDB"/>
    <w:rsid w:val="009C54B8"/>
    <w:rsid w:val="009D6682"/>
    <w:rsid w:val="009D74E0"/>
    <w:rsid w:val="00A00F86"/>
    <w:rsid w:val="00A037A7"/>
    <w:rsid w:val="00A06CDF"/>
    <w:rsid w:val="00A162D8"/>
    <w:rsid w:val="00A35D9A"/>
    <w:rsid w:val="00A37417"/>
    <w:rsid w:val="00A85E1C"/>
    <w:rsid w:val="00A90295"/>
    <w:rsid w:val="00A90A88"/>
    <w:rsid w:val="00AA42DF"/>
    <w:rsid w:val="00AD1A27"/>
    <w:rsid w:val="00AD4F3C"/>
    <w:rsid w:val="00AE001D"/>
    <w:rsid w:val="00AF10F1"/>
    <w:rsid w:val="00AF7812"/>
    <w:rsid w:val="00B03677"/>
    <w:rsid w:val="00B072EE"/>
    <w:rsid w:val="00B0755C"/>
    <w:rsid w:val="00B16C69"/>
    <w:rsid w:val="00B20AC5"/>
    <w:rsid w:val="00B2148C"/>
    <w:rsid w:val="00B3276D"/>
    <w:rsid w:val="00B33A51"/>
    <w:rsid w:val="00B414DC"/>
    <w:rsid w:val="00B4438E"/>
    <w:rsid w:val="00B57863"/>
    <w:rsid w:val="00B918C9"/>
    <w:rsid w:val="00B96413"/>
    <w:rsid w:val="00B96A7F"/>
    <w:rsid w:val="00BA2CD8"/>
    <w:rsid w:val="00BA51A8"/>
    <w:rsid w:val="00BA7AB8"/>
    <w:rsid w:val="00BA7DF9"/>
    <w:rsid w:val="00BB3B98"/>
    <w:rsid w:val="00BD58D8"/>
    <w:rsid w:val="00BD77D6"/>
    <w:rsid w:val="00BE7ACA"/>
    <w:rsid w:val="00BF1A1C"/>
    <w:rsid w:val="00C04236"/>
    <w:rsid w:val="00C278D3"/>
    <w:rsid w:val="00C42256"/>
    <w:rsid w:val="00C47288"/>
    <w:rsid w:val="00C51D00"/>
    <w:rsid w:val="00C77DBF"/>
    <w:rsid w:val="00C82039"/>
    <w:rsid w:val="00C82539"/>
    <w:rsid w:val="00C83493"/>
    <w:rsid w:val="00C95F10"/>
    <w:rsid w:val="00C96F87"/>
    <w:rsid w:val="00CA297F"/>
    <w:rsid w:val="00CC3B33"/>
    <w:rsid w:val="00CC4AFC"/>
    <w:rsid w:val="00CF78FC"/>
    <w:rsid w:val="00D11F75"/>
    <w:rsid w:val="00D23830"/>
    <w:rsid w:val="00D53E0B"/>
    <w:rsid w:val="00D573E4"/>
    <w:rsid w:val="00D7225E"/>
    <w:rsid w:val="00D80F5C"/>
    <w:rsid w:val="00D818A1"/>
    <w:rsid w:val="00D92554"/>
    <w:rsid w:val="00D94151"/>
    <w:rsid w:val="00D970E4"/>
    <w:rsid w:val="00DB20A5"/>
    <w:rsid w:val="00DB2C1F"/>
    <w:rsid w:val="00DC2AFD"/>
    <w:rsid w:val="00DC34AA"/>
    <w:rsid w:val="00DC649D"/>
    <w:rsid w:val="00DC67E1"/>
    <w:rsid w:val="00DD24D8"/>
    <w:rsid w:val="00DE1EBB"/>
    <w:rsid w:val="00DE3410"/>
    <w:rsid w:val="00DF32A8"/>
    <w:rsid w:val="00E16710"/>
    <w:rsid w:val="00E22D4F"/>
    <w:rsid w:val="00E301D2"/>
    <w:rsid w:val="00E54A2C"/>
    <w:rsid w:val="00E613C2"/>
    <w:rsid w:val="00E720A3"/>
    <w:rsid w:val="00E72634"/>
    <w:rsid w:val="00E81AE6"/>
    <w:rsid w:val="00EB5FD3"/>
    <w:rsid w:val="00EB79EB"/>
    <w:rsid w:val="00EC156F"/>
    <w:rsid w:val="00ED596A"/>
    <w:rsid w:val="00F017B0"/>
    <w:rsid w:val="00F02664"/>
    <w:rsid w:val="00F02D07"/>
    <w:rsid w:val="00F02FAD"/>
    <w:rsid w:val="00F06321"/>
    <w:rsid w:val="00F0669C"/>
    <w:rsid w:val="00F167C0"/>
    <w:rsid w:val="00F214F6"/>
    <w:rsid w:val="00F260E7"/>
    <w:rsid w:val="00F32DC2"/>
    <w:rsid w:val="00F456B0"/>
    <w:rsid w:val="00F460E6"/>
    <w:rsid w:val="00F52BDC"/>
    <w:rsid w:val="00F5354D"/>
    <w:rsid w:val="00F60F70"/>
    <w:rsid w:val="00F8259B"/>
    <w:rsid w:val="00F8289B"/>
    <w:rsid w:val="00F85BDD"/>
    <w:rsid w:val="00FB2B10"/>
    <w:rsid w:val="00FC2C57"/>
    <w:rsid w:val="00FC4F1D"/>
    <w:rsid w:val="00FC785C"/>
    <w:rsid w:val="00FD2328"/>
    <w:rsid w:val="00FD551A"/>
    <w:rsid w:val="00FD675F"/>
    <w:rsid w:val="00FE0952"/>
    <w:rsid w:val="00FF40C5"/>
    <w:rsid w:val="00FF5E69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98818-8289-49D9-AAFD-ABEFBA3F2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2345</Words>
  <Characters>13373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18</cp:revision>
  <cp:lastPrinted>2019-01-14T14:22:00Z</cp:lastPrinted>
  <dcterms:created xsi:type="dcterms:W3CDTF">2019-10-08T02:01:00Z</dcterms:created>
  <dcterms:modified xsi:type="dcterms:W3CDTF">2020-05-05T10:07:00Z</dcterms:modified>
</cp:coreProperties>
</file>