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AB9FB" w14:textId="14CF8BD6" w:rsidR="00372C26" w:rsidRDefault="00372C26">
      <w:pPr>
        <w:jc w:val="center"/>
      </w:pPr>
    </w:p>
    <w:p w14:paraId="20EDE1E5" w14:textId="657A6664" w:rsidR="00372C26" w:rsidRDefault="00000000">
      <w:pPr>
        <w:jc w:val="center"/>
      </w:pPr>
      <w:r>
        <w:rPr>
          <w:b/>
          <w:color w:val="1F3A5F"/>
          <w:sz w:val="44"/>
        </w:rPr>
        <w:t>Functional Requirements Document (FRD)</w:t>
      </w:r>
    </w:p>
    <w:tbl>
      <w:tblPr>
        <w:tblStyle w:val="TableGrid"/>
        <w:tblW w:w="0" w:type="auto"/>
        <w:jc w:val="center"/>
        <w:tblLook w:val="04A0" w:firstRow="1" w:lastRow="0" w:firstColumn="1" w:lastColumn="0" w:noHBand="0" w:noVBand="1"/>
      </w:tblPr>
      <w:tblGrid>
        <w:gridCol w:w="4986"/>
        <w:gridCol w:w="4986"/>
      </w:tblGrid>
      <w:tr w:rsidR="00372C26" w14:paraId="7AA8AA3B" w14:textId="77777777">
        <w:trPr>
          <w:jc w:val="center"/>
        </w:trPr>
        <w:tc>
          <w:tcPr>
            <w:tcW w:w="4986" w:type="dxa"/>
            <w:shd w:val="clear" w:color="auto" w:fill="E8EEF6"/>
          </w:tcPr>
          <w:p w14:paraId="60FFCA82" w14:textId="77777777" w:rsidR="00372C26" w:rsidRDefault="00000000">
            <w:r>
              <w:rPr>
                <w:b/>
              </w:rPr>
              <w:t>Request</w:t>
            </w:r>
          </w:p>
        </w:tc>
        <w:tc>
          <w:tcPr>
            <w:tcW w:w="4986" w:type="dxa"/>
          </w:tcPr>
          <w:p w14:paraId="5008BF88" w14:textId="77777777" w:rsidR="00372C26" w:rsidRDefault="00000000">
            <w:r>
              <w:t>Service desk #47155, Change ID 1004</w:t>
            </w:r>
          </w:p>
        </w:tc>
      </w:tr>
      <w:tr w:rsidR="00372C26" w14:paraId="68BE6B03" w14:textId="77777777">
        <w:trPr>
          <w:jc w:val="center"/>
        </w:trPr>
        <w:tc>
          <w:tcPr>
            <w:tcW w:w="4986" w:type="dxa"/>
            <w:shd w:val="clear" w:color="auto" w:fill="E8EEF6"/>
          </w:tcPr>
          <w:p w14:paraId="339793DE" w14:textId="77777777" w:rsidR="00372C26" w:rsidRDefault="00000000">
            <w:r>
              <w:rPr>
                <w:b/>
              </w:rPr>
              <w:t>System</w:t>
            </w:r>
          </w:p>
        </w:tc>
        <w:tc>
          <w:tcPr>
            <w:tcW w:w="4986" w:type="dxa"/>
          </w:tcPr>
          <w:p w14:paraId="59107DFE" w14:textId="77777777" w:rsidR="00372C26" w:rsidRDefault="00000000">
            <w:r>
              <w:t>Sewerage &amp; Irrigation Meter Reading (DIP Field Service)</w:t>
            </w:r>
          </w:p>
        </w:tc>
      </w:tr>
      <w:tr w:rsidR="00372C26" w14:paraId="0BD273DA" w14:textId="77777777">
        <w:trPr>
          <w:jc w:val="center"/>
        </w:trPr>
        <w:tc>
          <w:tcPr>
            <w:tcW w:w="4986" w:type="dxa"/>
            <w:shd w:val="clear" w:color="auto" w:fill="E8EEF6"/>
          </w:tcPr>
          <w:p w14:paraId="6C1C47F3" w14:textId="77777777" w:rsidR="00372C26" w:rsidRDefault="00000000">
            <w:r>
              <w:rPr>
                <w:b/>
              </w:rPr>
              <w:t>Version</w:t>
            </w:r>
          </w:p>
        </w:tc>
        <w:tc>
          <w:tcPr>
            <w:tcW w:w="4986" w:type="dxa"/>
          </w:tcPr>
          <w:p w14:paraId="14012AC5" w14:textId="77777777" w:rsidR="00372C26" w:rsidRDefault="00000000">
            <w:r>
              <w:t>1.0</w:t>
            </w:r>
          </w:p>
        </w:tc>
      </w:tr>
      <w:tr w:rsidR="00372C26" w14:paraId="32DD275A" w14:textId="77777777">
        <w:trPr>
          <w:jc w:val="center"/>
        </w:trPr>
        <w:tc>
          <w:tcPr>
            <w:tcW w:w="4986" w:type="dxa"/>
            <w:shd w:val="clear" w:color="auto" w:fill="E8EEF6"/>
          </w:tcPr>
          <w:p w14:paraId="23B33316" w14:textId="77777777" w:rsidR="00372C26" w:rsidRDefault="00000000">
            <w:r>
              <w:rPr>
                <w:b/>
              </w:rPr>
              <w:t>Date</w:t>
            </w:r>
          </w:p>
        </w:tc>
        <w:tc>
          <w:tcPr>
            <w:tcW w:w="4986" w:type="dxa"/>
          </w:tcPr>
          <w:p w14:paraId="2CBB9202" w14:textId="77777777" w:rsidR="00372C26" w:rsidRDefault="00000000">
            <w:r>
              <w:t>18 October 2026</w:t>
            </w:r>
          </w:p>
        </w:tc>
      </w:tr>
    </w:tbl>
    <w:p w14:paraId="693B6C41" w14:textId="77777777" w:rsidR="00372C26" w:rsidRDefault="00372C26"/>
    <w:p w14:paraId="515FEC48" w14:textId="77777777" w:rsidR="00372C26" w:rsidRDefault="00000000">
      <w:r>
        <w:t>This change lets the meter reader finish a property on the phone and have the bill figures worked out automatically, so Finance no longer prepares them by hand. It also lets Owners Association plots, such as plot 598-1319, be read and billed like every other plot.</w:t>
      </w:r>
    </w:p>
    <w:p w14:paraId="3D511947" w14:textId="77777777" w:rsidR="00372C26" w:rsidRDefault="00000000">
      <w:pPr>
        <w:pStyle w:val="ListNumber"/>
      </w:pPr>
      <w:r>
        <w:t>The reader reads every meter of a property on the phone, as today.</w:t>
      </w:r>
    </w:p>
    <w:p w14:paraId="6B4382E5" w14:textId="77777777" w:rsidR="00372C26" w:rsidRDefault="00000000">
      <w:pPr>
        <w:pStyle w:val="ListNumber"/>
      </w:pPr>
      <w:r>
        <w:t xml:space="preserve">When all meters are read, a </w:t>
      </w:r>
      <w:r>
        <w:rPr>
          <w:b/>
        </w:rPr>
        <w:t>Finalize property</w:t>
      </w:r>
      <w:r>
        <w:t xml:space="preserve"> button appears. Until then the phone shows how many meters are still left.</w:t>
      </w:r>
    </w:p>
    <w:p w14:paraId="18017DAF" w14:textId="77777777" w:rsidR="00372C26" w:rsidRDefault="00000000">
      <w:pPr>
        <w:pStyle w:val="ListNumber"/>
      </w:pPr>
      <w:r>
        <w:t xml:space="preserve">The reader presses </w:t>
      </w:r>
      <w:r>
        <w:rPr>
          <w:b/>
        </w:rPr>
        <w:t>Finalize property</w:t>
      </w:r>
      <w:r>
        <w:t>. The system works out the bill figures and saves them for Finance.</w:t>
      </w:r>
    </w:p>
    <w:p w14:paraId="0C3F6B09" w14:textId="77777777" w:rsidR="00372C26" w:rsidRDefault="00000000">
      <w:pPr>
        <w:pStyle w:val="ListNumber"/>
      </w:pPr>
      <w:r>
        <w:t>If a meter was read wrongly, the reader can read it again and finalize again. The new figures replace the old ones; the old ones are kept for the record.</w:t>
      </w:r>
    </w:p>
    <w:p w14:paraId="77F9DE2E" w14:textId="77777777" w:rsidR="00372C26" w:rsidRDefault="00000000">
      <w:pPr>
        <w:pStyle w:val="ListNumber"/>
      </w:pPr>
      <w:r>
        <w:t>When every property of the month is finalized, the month is closed. The phone shows a message and accepts no new readings until IT opens the month again.</w:t>
      </w:r>
    </w:p>
    <w:p w14:paraId="47CD8777" w14:textId="77777777" w:rsidR="00372C26" w:rsidRDefault="00000000">
      <w:pPr>
        <w:pStyle w:val="Heading1"/>
      </w:pPr>
      <w:r>
        <w:t>Functional requirements</w:t>
      </w:r>
    </w:p>
    <w:p w14:paraId="32D2CAB4" w14:textId="77777777" w:rsidR="00372C26" w:rsidRDefault="00000000">
      <w:pPr>
        <w:pStyle w:val="Heading2"/>
      </w:pPr>
      <w:r>
        <w:t>A. Finalizing a property</w:t>
      </w:r>
    </w:p>
    <w:tbl>
      <w:tblPr>
        <w:tblStyle w:val="TableGrid"/>
        <w:tblW w:w="0" w:type="auto"/>
        <w:jc w:val="center"/>
        <w:tblLook w:val="04A0" w:firstRow="1" w:lastRow="0" w:firstColumn="1" w:lastColumn="0" w:noHBand="0" w:noVBand="1"/>
      </w:tblPr>
      <w:tblGrid>
        <w:gridCol w:w="9322"/>
      </w:tblGrid>
      <w:tr w:rsidR="004F16C2" w14:paraId="06AC7AF8" w14:textId="77777777" w:rsidTr="004F16C2">
        <w:trPr>
          <w:jc w:val="center"/>
        </w:trPr>
        <w:tc>
          <w:tcPr>
            <w:tcW w:w="9322" w:type="dxa"/>
            <w:shd w:val="clear" w:color="auto" w:fill="1F3A5F"/>
          </w:tcPr>
          <w:p w14:paraId="1F25C2BC" w14:textId="77777777" w:rsidR="004F16C2" w:rsidRDefault="004F16C2">
            <w:r>
              <w:rPr>
                <w:b/>
                <w:color w:val="FFFFFF"/>
                <w:sz w:val="19"/>
              </w:rPr>
              <w:t>Requirement</w:t>
            </w:r>
          </w:p>
        </w:tc>
      </w:tr>
      <w:tr w:rsidR="004F16C2" w14:paraId="18EE764C" w14:textId="77777777" w:rsidTr="004F16C2">
        <w:trPr>
          <w:jc w:val="center"/>
        </w:trPr>
        <w:tc>
          <w:tcPr>
            <w:tcW w:w="9322" w:type="dxa"/>
          </w:tcPr>
          <w:p w14:paraId="7E0174E5" w14:textId="77777777" w:rsidR="004F16C2" w:rsidRDefault="004F16C2">
            <w:r>
              <w:rPr>
                <w:sz w:val="19"/>
              </w:rPr>
              <w:t xml:space="preserve">Each property has a </w:t>
            </w:r>
            <w:r>
              <w:rPr>
                <w:b/>
                <w:sz w:val="19"/>
              </w:rPr>
              <w:t>Finalize property</w:t>
            </w:r>
            <w:r>
              <w:rPr>
                <w:sz w:val="19"/>
              </w:rPr>
              <w:t xml:space="preserve"> button on the phone. Pressing it saves the property's readings for the month as bill figures for Finance.</w:t>
            </w:r>
          </w:p>
        </w:tc>
      </w:tr>
      <w:tr w:rsidR="004F16C2" w14:paraId="32A59AE6" w14:textId="77777777" w:rsidTr="004F16C2">
        <w:trPr>
          <w:jc w:val="center"/>
        </w:trPr>
        <w:tc>
          <w:tcPr>
            <w:tcW w:w="9322" w:type="dxa"/>
          </w:tcPr>
          <w:p w14:paraId="306520BC" w14:textId="77777777" w:rsidR="004F16C2" w:rsidRDefault="004F16C2">
            <w:r>
              <w:rPr>
                <w:sz w:val="19"/>
              </w:rPr>
              <w:t>The button can only be used when every meter of the property has been read (or marked as not accessible). The phone shows how many meters are left, and the system checks again before saving.</w:t>
            </w:r>
          </w:p>
        </w:tc>
      </w:tr>
      <w:tr w:rsidR="004F16C2" w14:paraId="6156D3DE" w14:textId="77777777" w:rsidTr="004F16C2">
        <w:trPr>
          <w:jc w:val="center"/>
        </w:trPr>
        <w:tc>
          <w:tcPr>
            <w:tcW w:w="9322" w:type="dxa"/>
          </w:tcPr>
          <w:p w14:paraId="6B66C9C1" w14:textId="77777777" w:rsidR="004F16C2" w:rsidRDefault="004F16C2">
            <w:r>
              <w:rPr>
                <w:sz w:val="19"/>
              </w:rPr>
              <w:t>A property's sewerage meter and irrigation meter with the same meter number appear together on one line. A meter with no partner appears on its own line.</w:t>
            </w:r>
          </w:p>
        </w:tc>
      </w:tr>
      <w:tr w:rsidR="004F16C2" w14:paraId="278FEE47" w14:textId="77777777" w:rsidTr="004F16C2">
        <w:trPr>
          <w:jc w:val="center"/>
        </w:trPr>
        <w:tc>
          <w:tcPr>
            <w:tcW w:w="9322" w:type="dxa"/>
          </w:tcPr>
          <w:p w14:paraId="499D032F" w14:textId="77777777" w:rsidR="004F16C2" w:rsidRDefault="004F16C2">
            <w:r>
              <w:rPr>
                <w:sz w:val="19"/>
              </w:rPr>
              <w:t>If a property is finalized a second time, the new figures are used and the earlier figures are kept for the record, not deleted.</w:t>
            </w:r>
          </w:p>
        </w:tc>
      </w:tr>
    </w:tbl>
    <w:p w14:paraId="57B4E937" w14:textId="77777777" w:rsidR="00372C26" w:rsidRDefault="00372C26"/>
    <w:p>
      <w:r>
        <w:rPr>
          <w:b/>
        </w:rPr>
        <w:t>What the reader sees</w:t>
      </w:r>
    </w:p>
    <w:tbl>
      <w:tblPr>
        <w:tblW w:type="auto" w:w="0"/>
        <w:jc w:val="center"/>
        <w:tblLook w:firstColumn="1" w:firstRow="1" w:lastColumn="0" w:lastRow="0" w:noHBand="0" w:noVBand="1" w:val="04A0"/>
      </w:tblPr>
      <w:tblGrid>
        <w:gridCol w:w="3324"/>
        <w:gridCol w:w="3324"/>
        <w:gridCol w:w="3324"/>
      </w:tblGrid>
      <w:tr>
        <w:tc>
          <w:tcPr>
            <w:tcW w:type="dxa" w:w="3324"/>
          </w:tcPr>
          <w:p>
            <w:pPr>
              <w:jc w:val="center"/>
            </w:pPr>
            <w:r>
              <w:drawing>
                <wp:inline xmlns:a="http://schemas.openxmlformats.org/drawingml/2006/main" xmlns:pic="http://schemas.openxmlformats.org/drawingml/2006/picture">
                  <wp:extent cx="1872000" cy="4058277"/>
                  <wp:docPr id="1" name="Picture 1"/>
                  <wp:cNvGraphicFramePr>
                    <a:graphicFrameLocks noChangeAspect="1"/>
                  </wp:cNvGraphicFramePr>
                  <a:graphic>
                    <a:graphicData uri="http://schemas.openxmlformats.org/drawingml/2006/picture">
                      <pic:pic>
                        <pic:nvPicPr>
                          <pic:cNvPr id="0" name="15_finalize_meters_left.png"/>
                          <pic:cNvPicPr/>
                        </pic:nvPicPr>
                        <pic:blipFill>
                          <a:blip r:embed="rId12"/>
                          <a:stretch>
                            <a:fillRect/>
                          </a:stretch>
                        </pic:blipFill>
                        <pic:spPr>
                          <a:xfrm>
                            <a:off x="0" y="0"/>
                            <a:ext cx="1872000" cy="4058277"/>
                          </a:xfrm>
                          <a:prstGeom prst="rect"/>
                        </pic:spPr>
                      </pic:pic>
                    </a:graphicData>
                  </a:graphic>
                </wp:inline>
              </w:drawing>
            </w:r>
          </w:p>
        </w:tc>
        <w:tc>
          <w:tcPr>
            <w:tcW w:type="dxa" w:w="3324"/>
          </w:tcPr>
          <w:p>
            <w:pPr>
              <w:jc w:val="center"/>
            </w:pPr>
            <w:r>
              <w:drawing>
                <wp:inline xmlns:a="http://schemas.openxmlformats.org/drawingml/2006/main" xmlns:pic="http://schemas.openxmlformats.org/drawingml/2006/picture">
                  <wp:extent cx="1872000" cy="4058277"/>
                  <wp:docPr id="2" name="Picture 2"/>
                  <wp:cNvGraphicFramePr>
                    <a:graphicFrameLocks noChangeAspect="1"/>
                  </wp:cNvGraphicFramePr>
                  <a:graphic>
                    <a:graphicData uri="http://schemas.openxmlformats.org/drawingml/2006/picture">
                      <pic:pic>
                        <pic:nvPicPr>
                          <pic:cNvPr id="0" name="16_finalize_ready.png"/>
                          <pic:cNvPicPr/>
                        </pic:nvPicPr>
                        <pic:blipFill>
                          <a:blip r:embed="rId13"/>
                          <a:stretch>
                            <a:fillRect/>
                          </a:stretch>
                        </pic:blipFill>
                        <pic:spPr>
                          <a:xfrm>
                            <a:off x="0" y="0"/>
                            <a:ext cx="1872000" cy="4058277"/>
                          </a:xfrm>
                          <a:prstGeom prst="rect"/>
                        </pic:spPr>
                      </pic:pic>
                    </a:graphicData>
                  </a:graphic>
                </wp:inline>
              </w:drawing>
            </w:r>
          </w:p>
        </w:tc>
        <w:tc>
          <w:tcPr>
            <w:tcW w:type="dxa" w:w="3324"/>
          </w:tcPr>
          <w:p>
            <w:pPr>
              <w:jc w:val="center"/>
            </w:pPr>
            <w:r>
              <w:drawing>
                <wp:inline xmlns:a="http://schemas.openxmlformats.org/drawingml/2006/main" xmlns:pic="http://schemas.openxmlformats.org/drawingml/2006/picture">
                  <wp:extent cx="1872000" cy="4058277"/>
                  <wp:docPr id="3" name="Picture 3"/>
                  <wp:cNvGraphicFramePr>
                    <a:graphicFrameLocks noChangeAspect="1"/>
                  </wp:cNvGraphicFramePr>
                  <a:graphic>
                    <a:graphicData uri="http://schemas.openxmlformats.org/drawingml/2006/picture">
                      <pic:pic>
                        <pic:nvPicPr>
                          <pic:cNvPr id="0" name="17_finalize_confirm.png"/>
                          <pic:cNvPicPr/>
                        </pic:nvPicPr>
                        <pic:blipFill>
                          <a:blip r:embed="rId14"/>
                          <a:stretch>
                            <a:fillRect/>
                          </a:stretch>
                        </pic:blipFill>
                        <pic:spPr>
                          <a:xfrm>
                            <a:off x="0" y="0"/>
                            <a:ext cx="1872000" cy="4058277"/>
                          </a:xfrm>
                          <a:prstGeom prst="rect"/>
                        </pic:spPr>
                      </pic:pic>
                    </a:graphicData>
                  </a:graphic>
                </wp:inline>
              </w:drawing>
            </w:r>
          </w:p>
        </w:tc>
      </w:tr>
      <w:tr>
        <w:tc>
          <w:tcPr>
            <w:tcW w:type="dxa" w:w="3324"/>
          </w:tcPr>
          <w:p>
            <w:pPr>
              <w:jc w:val="center"/>
            </w:pPr>
            <w:r>
              <w:rPr>
                <w:i/>
                <w:sz w:val="18"/>
              </w:rPr>
              <w:t>1. Meters still to read: the button is grey and shows how many are left.</w:t>
            </w:r>
          </w:p>
        </w:tc>
        <w:tc>
          <w:tcPr>
            <w:tcW w:type="dxa" w:w="3324"/>
          </w:tcPr>
          <w:p>
            <w:pPr>
              <w:jc w:val="center"/>
            </w:pPr>
            <w:r>
              <w:rPr>
                <w:i/>
                <w:sz w:val="18"/>
              </w:rPr>
              <w:t>2. Every meter is read: the button can be pressed.</w:t>
            </w:r>
          </w:p>
        </w:tc>
        <w:tc>
          <w:tcPr>
            <w:tcW w:type="dxa" w:w="3324"/>
          </w:tcPr>
          <w:p>
            <w:pPr>
              <w:jc w:val="center"/>
            </w:pPr>
            <w:r>
              <w:rPr>
                <w:i/>
                <w:sz w:val="18"/>
              </w:rPr>
              <w:t>3. The phone asks once more before sending the property to the office.</w:t>
            </w:r>
          </w:p>
        </w:tc>
      </w:tr>
    </w:tbl>
    <w:p>
      <w:r>
        <w:rPr>
          <w:i/>
          <w:sz w:val="16"/>
        </w:rPr>
        <w:t>Screens from the app with sample data.</w:t>
      </w:r>
    </w:p>
    <w:p/>
    <w:p w14:paraId="5263D180" w14:textId="77777777" w:rsidR="00372C26" w:rsidRDefault="00000000">
      <w:pPr>
        <w:pStyle w:val="Heading2"/>
      </w:pPr>
      <w:r>
        <w:t>B. Working out the amounts</w:t>
      </w:r>
    </w:p>
    <w:tbl>
      <w:tblPr>
        <w:tblStyle w:val="TableGrid"/>
        <w:tblW w:w="0" w:type="auto"/>
        <w:jc w:val="center"/>
        <w:tblLook w:val="04A0" w:firstRow="1" w:lastRow="0" w:firstColumn="1" w:lastColumn="0" w:noHBand="0" w:noVBand="1"/>
      </w:tblPr>
      <w:tblGrid>
        <w:gridCol w:w="9490"/>
      </w:tblGrid>
      <w:tr w:rsidR="004F16C2" w14:paraId="650073AA" w14:textId="77777777" w:rsidTr="004F16C2">
        <w:trPr>
          <w:jc w:val="center"/>
        </w:trPr>
        <w:tc>
          <w:tcPr>
            <w:tcW w:w="9490" w:type="dxa"/>
            <w:shd w:val="clear" w:color="auto" w:fill="1F3A5F"/>
          </w:tcPr>
          <w:p w14:paraId="07230195" w14:textId="77777777" w:rsidR="004F16C2" w:rsidRDefault="004F16C2">
            <w:r>
              <w:rPr>
                <w:b/>
                <w:color w:val="FFFFFF"/>
                <w:sz w:val="19"/>
              </w:rPr>
              <w:t>Requirement</w:t>
            </w:r>
          </w:p>
        </w:tc>
      </w:tr>
      <w:tr w:rsidR="004F16C2" w14:paraId="64744362" w14:textId="77777777" w:rsidTr="004F16C2">
        <w:trPr>
          <w:jc w:val="center"/>
        </w:trPr>
        <w:tc>
          <w:tcPr>
            <w:tcW w:w="9490" w:type="dxa"/>
          </w:tcPr>
          <w:p w14:paraId="19581D99" w14:textId="77777777" w:rsidR="004F16C2" w:rsidRDefault="004F16C2">
            <w:r>
              <w:rPr>
                <w:sz w:val="19"/>
              </w:rPr>
              <w:t>Sewerage amount = water used × the property's rate × 1.2 × the rate factor (as a percentage). The irrigation amount is worked out the same way. Amounts are rounded to 2 decimals.</w:t>
            </w:r>
          </w:p>
        </w:tc>
      </w:tr>
      <w:tr w:rsidR="004F16C2" w14:paraId="466CAA6E" w14:textId="77777777" w:rsidTr="004F16C2">
        <w:trPr>
          <w:jc w:val="center"/>
        </w:trPr>
        <w:tc>
          <w:tcPr>
            <w:tcW w:w="9490" w:type="dxa"/>
          </w:tcPr>
          <w:p w14:paraId="3D3F74B2" w14:textId="77777777" w:rsidR="004F16C2" w:rsidRDefault="004F16C2">
            <w:r>
              <w:rPr>
                <w:sz w:val="19"/>
              </w:rPr>
              <w:t>VAT is 5% of the sewerage amount and 5% of the irrigation amount. The total is both amounts plus both VAT amounts.</w:t>
            </w:r>
          </w:p>
        </w:tc>
      </w:tr>
      <w:tr w:rsidR="004F16C2" w14:paraId="2C8807EB" w14:textId="77777777" w:rsidTr="004F16C2">
        <w:trPr>
          <w:jc w:val="center"/>
        </w:trPr>
        <w:tc>
          <w:tcPr>
            <w:tcW w:w="9490" w:type="dxa"/>
          </w:tcPr>
          <w:p w14:paraId="28003F45" w14:textId="77777777" w:rsidR="004F16C2" w:rsidRDefault="004F16C2">
            <w:r>
              <w:rPr>
                <w:sz w:val="19"/>
              </w:rPr>
              <w:t>Some plots are not charged for irrigation after an agreed date. The first is plot 597-905, from 1 March 2025. IT keeps this list.</w:t>
            </w:r>
          </w:p>
        </w:tc>
      </w:tr>
      <w:tr w:rsidR="004F16C2" w14:paraId="3CE8BEC4" w14:textId="77777777" w:rsidTr="004F16C2">
        <w:trPr>
          <w:jc w:val="center"/>
        </w:trPr>
        <w:tc>
          <w:tcPr>
            <w:tcW w:w="9490" w:type="dxa"/>
          </w:tcPr>
          <w:p w14:paraId="39744786" w14:textId="77777777" w:rsidR="004F16C2" w:rsidRDefault="004F16C2">
            <w:r>
              <w:rPr>
                <w:sz w:val="19"/>
              </w:rPr>
              <w:t>Each line also shows 10% of the sewerage amount.</w:t>
            </w:r>
          </w:p>
        </w:tc>
      </w:tr>
      <w:tr w:rsidR="004F16C2" w14:paraId="6325B164" w14:textId="77777777" w:rsidTr="004F16C2">
        <w:trPr>
          <w:jc w:val="center"/>
        </w:trPr>
        <w:tc>
          <w:tcPr>
            <w:tcW w:w="9490" w:type="dxa"/>
          </w:tcPr>
          <w:p w14:paraId="24015BA6" w14:textId="77777777" w:rsidR="004F16C2" w:rsidRDefault="004F16C2">
            <w:r>
              <w:rPr>
                <w:sz w:val="19"/>
              </w:rPr>
              <w:lastRenderedPageBreak/>
              <w:t>Minimum irrigation charge: if the irrigation amount is lower than 10% of the sewerage amount, the plot is charged 10% of the sewerage amount instead, but never more than 500.</w:t>
            </w:r>
          </w:p>
        </w:tc>
      </w:tr>
    </w:tbl>
    <w:p w14:paraId="5269AC95" w14:textId="77777777" w:rsidR="00372C26" w:rsidRDefault="00000000">
      <w:pPr>
        <w:pStyle w:val="Heading2"/>
      </w:pPr>
      <w:r>
        <w:t>C. Customer and billing details</w:t>
      </w:r>
    </w:p>
    <w:tbl>
      <w:tblPr>
        <w:tblStyle w:val="TableGrid"/>
        <w:tblW w:w="0" w:type="auto"/>
        <w:jc w:val="center"/>
        <w:tblLook w:val="04A0" w:firstRow="1" w:lastRow="0" w:firstColumn="1" w:lastColumn="0" w:noHBand="0" w:noVBand="1"/>
      </w:tblPr>
      <w:tblGrid>
        <w:gridCol w:w="9322"/>
      </w:tblGrid>
      <w:tr w:rsidR="004F16C2" w14:paraId="5C937EEA" w14:textId="77777777" w:rsidTr="004F16C2">
        <w:trPr>
          <w:jc w:val="center"/>
        </w:trPr>
        <w:tc>
          <w:tcPr>
            <w:tcW w:w="9322" w:type="dxa"/>
            <w:shd w:val="clear" w:color="auto" w:fill="1F3A5F"/>
          </w:tcPr>
          <w:p w14:paraId="4010B8EF" w14:textId="77777777" w:rsidR="004F16C2" w:rsidRDefault="004F16C2">
            <w:r>
              <w:rPr>
                <w:b/>
                <w:color w:val="FFFFFF"/>
                <w:sz w:val="19"/>
              </w:rPr>
              <w:t>Requirement</w:t>
            </w:r>
          </w:p>
        </w:tc>
      </w:tr>
      <w:tr w:rsidR="004F16C2" w14:paraId="6859EEC8" w14:textId="77777777" w:rsidTr="004F16C2">
        <w:trPr>
          <w:jc w:val="center"/>
        </w:trPr>
        <w:tc>
          <w:tcPr>
            <w:tcW w:w="9322" w:type="dxa"/>
          </w:tcPr>
          <w:p w14:paraId="3232F7D2" w14:textId="77777777" w:rsidR="004F16C2" w:rsidRDefault="004F16C2">
            <w:r>
              <w:rPr>
                <w:sz w:val="19"/>
              </w:rPr>
              <w:t xml:space="preserve">Each line carries the tenant, the tenant's Baan code, the company name and the transaction code, taken from the property system </w:t>
            </w:r>
            <w:proofErr w:type="gramStart"/>
            <w:r>
              <w:rPr>
                <w:sz w:val="19"/>
              </w:rPr>
              <w:t>at the moment</w:t>
            </w:r>
            <w:proofErr w:type="gramEnd"/>
            <w:r>
              <w:rPr>
                <w:sz w:val="19"/>
              </w:rPr>
              <w:t xml:space="preserve"> the property is finalized. This makes sure the latest Baan code is used, even if it changed during the month.</w:t>
            </w:r>
          </w:p>
        </w:tc>
      </w:tr>
      <w:tr w:rsidR="004F16C2" w14:paraId="60A9631F" w14:textId="77777777" w:rsidTr="004F16C2">
        <w:trPr>
          <w:jc w:val="center"/>
        </w:trPr>
        <w:tc>
          <w:tcPr>
            <w:tcW w:w="9322" w:type="dxa"/>
          </w:tcPr>
          <w:p w14:paraId="3B73B311" w14:textId="77777777" w:rsidR="004F16C2" w:rsidRDefault="004F16C2">
            <w:r>
              <w:rPr>
                <w:sz w:val="19"/>
              </w:rPr>
              <w:t>Each line carries the billing month's start and end dates, taken from the reading period set up in the property system.</w:t>
            </w:r>
          </w:p>
        </w:tc>
      </w:tr>
      <w:tr w:rsidR="004F16C2" w14:paraId="6D9A21E9" w14:textId="77777777" w:rsidTr="004F16C2">
        <w:trPr>
          <w:jc w:val="center"/>
        </w:trPr>
        <w:tc>
          <w:tcPr>
            <w:tcW w:w="9322" w:type="dxa"/>
          </w:tcPr>
          <w:p w14:paraId="5E047F72" w14:textId="77777777" w:rsidR="004F16C2" w:rsidRDefault="004F16C2">
            <w:r>
              <w:rPr>
                <w:sz w:val="19"/>
              </w:rPr>
              <w:t>Each line carries the fixed billing codes: VAT code SSD, sewerage charge type "</w:t>
            </w:r>
            <w:proofErr w:type="gramStart"/>
            <w:r>
              <w:rPr>
                <w:sz w:val="19"/>
              </w:rPr>
              <w:t>sew</w:t>
            </w:r>
            <w:proofErr w:type="gramEnd"/>
            <w:r>
              <w:rPr>
                <w:sz w:val="19"/>
              </w:rPr>
              <w:t>" and irrigation charge type "Irri".</w:t>
            </w:r>
          </w:p>
        </w:tc>
      </w:tr>
    </w:tbl>
    <w:p w14:paraId="4D13DE41" w14:textId="77777777" w:rsidR="00372C26" w:rsidRDefault="00372C26"/>
    <w:p w14:paraId="3D3D492A" w14:textId="0CF91B80" w:rsidR="00372C26" w:rsidRDefault="004F16C2">
      <w:pPr>
        <w:pStyle w:val="Heading2"/>
      </w:pPr>
      <w:r>
        <w:t>D</w:t>
      </w:r>
      <w:r w:rsidR="00000000">
        <w:t>. Owners Association plots (new in this request)</w:t>
      </w:r>
    </w:p>
    <w:tbl>
      <w:tblPr>
        <w:tblStyle w:val="TableGrid"/>
        <w:tblW w:w="0" w:type="auto"/>
        <w:jc w:val="center"/>
        <w:tblLook w:val="04A0" w:firstRow="1" w:lastRow="0" w:firstColumn="1" w:lastColumn="0" w:noHBand="0" w:noVBand="1"/>
      </w:tblPr>
      <w:tblGrid>
        <w:gridCol w:w="9575"/>
      </w:tblGrid>
      <w:tr w:rsidR="004F16C2" w14:paraId="50D1DED5" w14:textId="77777777" w:rsidTr="004F16C2">
        <w:trPr>
          <w:jc w:val="center"/>
        </w:trPr>
        <w:tc>
          <w:tcPr>
            <w:tcW w:w="9575" w:type="dxa"/>
            <w:shd w:val="clear" w:color="auto" w:fill="1F3A5F"/>
          </w:tcPr>
          <w:p w14:paraId="1124EE2D" w14:textId="77777777" w:rsidR="004F16C2" w:rsidRDefault="004F16C2">
            <w:r>
              <w:rPr>
                <w:b/>
                <w:color w:val="FFFFFF"/>
                <w:sz w:val="19"/>
              </w:rPr>
              <w:t>Requirement</w:t>
            </w:r>
          </w:p>
        </w:tc>
      </w:tr>
      <w:tr w:rsidR="004F16C2" w14:paraId="52870263" w14:textId="77777777" w:rsidTr="004F16C2">
        <w:trPr>
          <w:jc w:val="center"/>
        </w:trPr>
        <w:tc>
          <w:tcPr>
            <w:tcW w:w="9575" w:type="dxa"/>
          </w:tcPr>
          <w:p w14:paraId="2735B5AA" w14:textId="77777777" w:rsidR="004F16C2" w:rsidRDefault="004F16C2">
            <w:r>
              <w:rPr>
                <w:sz w:val="19"/>
              </w:rPr>
              <w:t>Plots whose tenant is an Owners Association (OA) have no booking form or customer record today, so the phone refuses their readings. IT will keep a list of these plots with the OA's name and Baan code.</w:t>
            </w:r>
          </w:p>
        </w:tc>
      </w:tr>
      <w:tr w:rsidR="004F16C2" w14:paraId="7F930950" w14:textId="77777777" w:rsidTr="004F16C2">
        <w:trPr>
          <w:jc w:val="center"/>
        </w:trPr>
        <w:tc>
          <w:tcPr>
            <w:tcW w:w="9575" w:type="dxa"/>
          </w:tcPr>
          <w:p w14:paraId="0A692A93" w14:textId="77777777" w:rsidR="004F16C2" w:rsidRDefault="004F16C2">
            <w:r>
              <w:rPr>
                <w:sz w:val="19"/>
              </w:rPr>
              <w:t>For a plot on this list, the phone shows the OA as the tenant and accepts its readings.</w:t>
            </w:r>
          </w:p>
        </w:tc>
      </w:tr>
      <w:tr w:rsidR="004F16C2" w14:paraId="468AF5A7" w14:textId="77777777" w:rsidTr="004F16C2">
        <w:trPr>
          <w:jc w:val="center"/>
        </w:trPr>
        <w:tc>
          <w:tcPr>
            <w:tcW w:w="9575" w:type="dxa"/>
          </w:tcPr>
          <w:p w14:paraId="1776E063" w14:textId="77777777" w:rsidR="004F16C2" w:rsidRDefault="004F16C2">
            <w:r>
              <w:rPr>
                <w:sz w:val="19"/>
              </w:rPr>
              <w:t>When an OA plot is finalized, its lines carry the OA's name and Baan code, so Finance bills it like every other plot, with no manual invoice.</w:t>
            </w:r>
          </w:p>
        </w:tc>
      </w:tr>
      <w:tr w:rsidR="004F16C2" w14:paraId="0AFE23DD" w14:textId="77777777" w:rsidTr="004F16C2">
        <w:trPr>
          <w:jc w:val="center"/>
        </w:trPr>
        <w:tc>
          <w:tcPr>
            <w:tcW w:w="9575" w:type="dxa"/>
          </w:tcPr>
          <w:p w14:paraId="5E62AFC6" w14:textId="77777777" w:rsidR="004F16C2" w:rsidRDefault="004F16C2">
            <w:r>
              <w:rPr>
                <w:sz w:val="19"/>
              </w:rPr>
              <w:t>The first plot on the list is 598-1319 (request #47155). Other OA plots are added to the same list.</w:t>
            </w:r>
          </w:p>
        </w:tc>
      </w:tr>
    </w:tbl>
    <w:p>
      <w:pPr>
        <w:pStyle w:val="Heading2"/>
      </w:pPr>
      <w:r>
        <w:t>E. Technology upgrade</w:t>
      </w:r>
    </w:p>
    <w:p>
      <w:r>
        <w:t>The phone app is built with Kotlin, a programming language, and a set of building blocks (libraries) that draw the screens, talk to the server and store files. The version the app was first planned on, Kotlin 1.7, dates from 2022 and is no longer updated by its makers. This change moves the app to the latest releases so it stays supported, secure and accepted by Google Play and the Apple App Store.</w:t>
      </w:r>
    </w:p>
    <w:tbl>
      <w:tblPr>
        <w:tblStyle w:val="TableGrid"/>
        <w:tblW w:type="auto" w:w="0"/>
        <w:jc w:val="center"/>
        <w:tblLook w:firstColumn="1" w:firstRow="1" w:lastColumn="0" w:lastRow="0" w:noHBand="0" w:noVBand="1" w:val="04A0"/>
      </w:tblPr>
      <w:tblGrid>
        <w:gridCol w:w="9972"/>
      </w:tblGrid>
      <w:tr>
        <w:tc>
          <w:tcPr>
            <w:tcW w:type="dxa" w:w="9972"/>
            <w:shd w:val="clear" w:color="auto" w:fill="1F3A5F"/>
          </w:tcPr>
          <w:p>
            <w:r/>
            <w:r>
              <w:rPr>
                <w:b/>
                <w:color w:val="FFFFFF"/>
                <w:sz w:val="19"/>
              </w:rPr>
              <w:t>Requirement</w:t>
            </w:r>
          </w:p>
        </w:tc>
      </w:tr>
      <w:tr>
        <w:tc>
          <w:tcPr>
            <w:tcW w:type="dxa" w:w="9972"/>
          </w:tcPr>
          <w:p>
            <w:r/>
            <w:r>
              <w:rPr>
                <w:b/>
                <w:sz w:val="19"/>
              </w:rPr>
              <w:t>The app is moved to the latest stable release of Kotlin (2.4.21) and of each building block it uses.</w:t>
            </w:r>
          </w:p>
        </w:tc>
      </w:tr>
      <w:tr>
        <w:tc>
          <w:tcPr>
            <w:tcW w:type="dxa" w:w="9972"/>
          </w:tcPr>
          <w:p>
            <w:r/>
            <w:r>
              <w:rPr>
                <w:b/>
                <w:sz w:val="19"/>
              </w:rPr>
              <w:t>Nothing changes in how the reader takes a reading: the screens, steps and buttons stay the same.</w:t>
            </w:r>
          </w:p>
        </w:tc>
      </w:tr>
      <w:tr>
        <w:tc>
          <w:tcPr>
            <w:tcW w:type="dxa" w:w="9972"/>
          </w:tcPr>
          <w:p>
            <w:r/>
            <w:r>
              <w:rPr>
                <w:b/>
                <w:sz w:val="19"/>
              </w:rPr>
              <w:t>The upgraded app must pass all existing automatic tests and the UAT test cases before it is released.</w:t>
            </w:r>
          </w:p>
        </w:tc>
      </w:tr>
      <w:tr>
        <w:tc>
          <w:tcPr>
            <w:tcW w:type="dxa" w:w="9972"/>
          </w:tcPr>
          <w:p>
            <w:r/>
            <w:r>
              <w:rPr>
                <w:b/>
                <w:sz w:val="19"/>
              </w:rPr>
              <w:t>The upgraded app is released as version 2.1.0.</w:t>
            </w:r>
          </w:p>
        </w:tc>
      </w:tr>
    </w:tbl>
    <w:p/>
    <w:p>
      <w:pPr>
        <w:pStyle w:val="Heading3"/>
      </w:pPr>
      <w:r>
        <w:t>Upgrade scope</w:t>
      </w:r>
    </w:p>
    <w:p>
      <w:r>
        <w:t>The phone app's language and main libraries move to their latest stable releases; nothing changes for the reader except fixes.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Component</w:t>
            </w:r>
          </w:p>
        </w:tc>
        <w:tc>
          <w:tcPr>
            <w:tcW w:type="dxa" w:w="3324"/>
            <w:shd w:val="clear" w:color="auto" w:fill="1F3A5F"/>
          </w:tcPr>
          <w:p>
            <w:r/>
            <w:r>
              <w:rPr>
                <w:b/>
                <w:color w:val="FFFFFF"/>
                <w:sz w:val="19"/>
              </w:rPr>
              <w:t>Current</w:t>
            </w:r>
          </w:p>
        </w:tc>
        <w:tc>
          <w:tcPr>
            <w:tcW w:type="dxa" w:w="3324"/>
            <w:shd w:val="clear" w:color="auto" w:fill="1F3A5F"/>
          </w:tcPr>
          <w:p>
            <w:r/>
            <w:r>
              <w:rPr>
                <w:b/>
                <w:color w:val="FFFFFF"/>
                <w:sz w:val="19"/>
              </w:rPr>
              <w:t>Target</w:t>
            </w:r>
          </w:p>
        </w:tc>
      </w:tr>
      <w:tr>
        <w:tc>
          <w:tcPr>
            <w:tcW w:type="dxa" w:w="3324"/>
          </w:tcPr>
          <w:p>
            <w:r/>
            <w:r>
              <w:rPr>
                <w:b/>
                <w:sz w:val="19"/>
              </w:rPr>
              <w:t>Kotlin</w:t>
            </w:r>
          </w:p>
        </w:tc>
        <w:tc>
          <w:tcPr>
            <w:tcW w:type="dxa" w:w="3324"/>
          </w:tcPr>
          <w:p>
            <w:r/>
            <w:r>
              <w:rPr>
                <w:sz w:val="19"/>
              </w:rPr>
              <w:t>2.1.0</w:t>
            </w:r>
          </w:p>
        </w:tc>
        <w:tc>
          <w:tcPr>
            <w:tcW w:type="dxa" w:w="3324"/>
          </w:tcPr>
          <w:p>
            <w:r/>
            <w:r>
              <w:rPr>
                <w:sz w:val="19"/>
              </w:rPr>
              <w:t>2.4.21</w:t>
            </w:r>
          </w:p>
        </w:tc>
      </w:tr>
      <w:tr>
        <w:tc>
          <w:tcPr>
            <w:tcW w:type="dxa" w:w="3324"/>
          </w:tcPr>
          <w:p>
            <w:r/>
            <w:r>
              <w:rPr>
                <w:b/>
                <w:sz w:val="19"/>
              </w:rPr>
              <w:t>Compose Multiplatform (screens)</w:t>
            </w:r>
          </w:p>
        </w:tc>
        <w:tc>
          <w:tcPr>
            <w:tcW w:type="dxa" w:w="3324"/>
          </w:tcPr>
          <w:p>
            <w:r/>
            <w:r>
              <w:rPr>
                <w:sz w:val="19"/>
              </w:rPr>
              <w:t>1.7.3</w:t>
            </w:r>
          </w:p>
        </w:tc>
        <w:tc>
          <w:tcPr>
            <w:tcW w:type="dxa" w:w="3324"/>
          </w:tcPr>
          <w:p>
            <w:r/>
            <w:r>
              <w:rPr>
                <w:sz w:val="19"/>
              </w:rPr>
              <w:t>1.12.2</w:t>
            </w:r>
          </w:p>
        </w:tc>
      </w:tr>
      <w:tr>
        <w:tc>
          <w:tcPr>
            <w:tcW w:type="dxa" w:w="3324"/>
          </w:tcPr>
          <w:p>
            <w:r/>
            <w:r>
              <w:rPr>
                <w:b/>
                <w:sz w:val="19"/>
              </w:rPr>
              <w:t>Ktor (server calls)</w:t>
            </w:r>
          </w:p>
        </w:tc>
        <w:tc>
          <w:tcPr>
            <w:tcW w:type="dxa" w:w="3324"/>
          </w:tcPr>
          <w:p>
            <w:r/>
            <w:r>
              <w:rPr>
                <w:sz w:val="19"/>
              </w:rPr>
              <w:t>3.0.3</w:t>
            </w:r>
          </w:p>
        </w:tc>
        <w:tc>
          <w:tcPr>
            <w:tcW w:type="dxa" w:w="3324"/>
          </w:tcPr>
          <w:p>
            <w:r/>
            <w:r>
              <w:rPr>
                <w:sz w:val="19"/>
              </w:rPr>
              <w:t>3.6.0</w:t>
            </w:r>
          </w:p>
        </w:tc>
      </w:tr>
      <w:tr>
        <w:tc>
          <w:tcPr>
            <w:tcW w:type="dxa" w:w="3324"/>
          </w:tcPr>
          <w:p>
            <w:r/>
            <w:r>
              <w:rPr>
                <w:b/>
                <w:sz w:val="19"/>
              </w:rPr>
              <w:t>kotlinx-coroutines</w:t>
            </w:r>
          </w:p>
        </w:tc>
        <w:tc>
          <w:tcPr>
            <w:tcW w:type="dxa" w:w="3324"/>
          </w:tcPr>
          <w:p>
            <w:r/>
            <w:r>
              <w:rPr>
                <w:sz w:val="19"/>
              </w:rPr>
              <w:t>1.9.0</w:t>
            </w:r>
          </w:p>
        </w:tc>
        <w:tc>
          <w:tcPr>
            <w:tcW w:type="dxa" w:w="3324"/>
          </w:tcPr>
          <w:p>
            <w:r/>
            <w:r>
              <w:rPr>
                <w:sz w:val="19"/>
              </w:rPr>
              <w:t>1.11.0</w:t>
            </w:r>
          </w:p>
        </w:tc>
      </w:tr>
      <w:tr>
        <w:tc>
          <w:tcPr>
            <w:tcW w:type="dxa" w:w="3324"/>
          </w:tcPr>
          <w:p>
            <w:r/>
            <w:r>
              <w:rPr>
                <w:b/>
                <w:sz w:val="19"/>
              </w:rPr>
              <w:t>kotlinx-serialization</w:t>
            </w:r>
          </w:p>
        </w:tc>
        <w:tc>
          <w:tcPr>
            <w:tcW w:type="dxa" w:w="3324"/>
          </w:tcPr>
          <w:p>
            <w:r/>
            <w:r>
              <w:rPr>
                <w:sz w:val="19"/>
              </w:rPr>
              <w:t>1.7.3</w:t>
            </w:r>
          </w:p>
        </w:tc>
        <w:tc>
          <w:tcPr>
            <w:tcW w:type="dxa" w:w="3324"/>
          </w:tcPr>
          <w:p>
            <w:r/>
            <w:r>
              <w:rPr>
                <w:sz w:val="19"/>
              </w:rPr>
              <w:t>1.11.0</w:t>
            </w:r>
          </w:p>
        </w:tc>
      </w:tr>
      <w:tr>
        <w:tc>
          <w:tcPr>
            <w:tcW w:type="dxa" w:w="3324"/>
          </w:tcPr>
          <w:p>
            <w:r/>
            <w:r>
              <w:rPr>
                <w:b/>
                <w:sz w:val="19"/>
              </w:rPr>
              <w:t>Okio (files)</w:t>
            </w:r>
          </w:p>
        </w:tc>
        <w:tc>
          <w:tcPr>
            <w:tcW w:type="dxa" w:w="3324"/>
          </w:tcPr>
          <w:p>
            <w:r/>
            <w:r>
              <w:rPr>
                <w:sz w:val="19"/>
              </w:rPr>
              <w:t>3.9.1</w:t>
            </w:r>
          </w:p>
        </w:tc>
        <w:tc>
          <w:tcPr>
            <w:tcW w:type="dxa" w:w="3324"/>
          </w:tcPr>
          <w:p>
            <w:r/>
            <w:r>
              <w:rPr>
                <w:sz w:val="19"/>
              </w:rPr>
              <w:t>3.18.2</w:t>
            </w:r>
          </w:p>
        </w:tc>
      </w:tr>
      <w:tr>
        <w:tc>
          <w:tcPr>
            <w:tcW w:type="dxa" w:w="3324"/>
          </w:tcPr>
          <w:p>
            <w:r/>
            <w:r>
              <w:rPr>
                <w:b/>
                <w:sz w:val="19"/>
              </w:rPr>
              <w:t>kotlinx-datetime</w:t>
            </w:r>
          </w:p>
        </w:tc>
        <w:tc>
          <w:tcPr>
            <w:tcW w:type="dxa" w:w="3324"/>
          </w:tcPr>
          <w:p>
            <w:r/>
            <w:r>
              <w:rPr>
                <w:sz w:val="19"/>
              </w:rPr>
              <w:t>0.6.1</w:t>
            </w:r>
          </w:p>
        </w:tc>
        <w:tc>
          <w:tcPr>
            <w:tcW w:type="dxa" w:w="3324"/>
          </w:tcPr>
          <w:p>
            <w:r/>
            <w:r>
              <w:rPr>
                <w:sz w:val="19"/>
              </w:rPr>
              <w:t>0.6.2</w:t>
            </w:r>
          </w:p>
        </w:tc>
      </w:tr>
    </w:tbl>
    <w:p/>
    <w:p>
      <w:r>
        <w:t>Not in this change: kotlinx-datetime 0.7+ (moves date types into Kotlin itself; a separate code change) and Android Gradle Plugin 9 (needs the app split into separate modules). Both are proposed as a later CR.</w:t>
      </w:r>
    </w:p>
    <w:p>
      <w:pPr>
        <w:pStyle w:val="Heading2"/>
      </w:pPr>
      <w:r>
        <w:t>F. Comparison: 2022 version and now</w:t>
      </w:r>
    </w:p>
    <w:p>
      <w:r>
        <w:t>The table compares the 2022 generation of the platform, what the app runs on today, and what it will run on after this change.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Area</w:t>
            </w:r>
          </w:p>
        </w:tc>
        <w:tc>
          <w:tcPr>
            <w:tcW w:type="dxa" w:w="2493"/>
            <w:shd w:val="clear" w:color="auto" w:fill="1F3A5F"/>
          </w:tcPr>
          <w:p>
            <w:r/>
            <w:r>
              <w:rPr>
                <w:b/>
                <w:color w:val="FFFFFF"/>
                <w:sz w:val="19"/>
              </w:rPr>
              <w:t>2022 version</w:t>
            </w:r>
          </w:p>
        </w:tc>
        <w:tc>
          <w:tcPr>
            <w:tcW w:type="dxa" w:w="2493"/>
            <w:shd w:val="clear" w:color="auto" w:fill="1F3A5F"/>
          </w:tcPr>
          <w:p>
            <w:r/>
            <w:r>
              <w:rPr>
                <w:b/>
                <w:color w:val="FFFFFF"/>
                <w:sz w:val="19"/>
              </w:rPr>
              <w:t>Today</w:t>
            </w:r>
          </w:p>
        </w:tc>
        <w:tc>
          <w:tcPr>
            <w:tcW w:type="dxa" w:w="2493"/>
            <w:shd w:val="clear" w:color="auto" w:fill="1F3A5F"/>
          </w:tcPr>
          <w:p>
            <w:r/>
            <w:r>
              <w:rPr>
                <w:b/>
                <w:color w:val="FFFFFF"/>
                <w:sz w:val="19"/>
              </w:rPr>
              <w:t>After this change</w:t>
            </w:r>
          </w:p>
        </w:tc>
      </w:tr>
      <w:tr>
        <w:tc>
          <w:tcPr>
            <w:tcW w:type="dxa" w:w="2493"/>
          </w:tcPr>
          <w:p>
            <w:r/>
            <w:r>
              <w:rPr>
                <w:b/>
                <w:sz w:val="19"/>
              </w:rPr>
              <w:t>Programming language (Kotlin)</w:t>
            </w:r>
          </w:p>
        </w:tc>
        <w:tc>
          <w:tcPr>
            <w:tcW w:type="dxa" w:w="2493"/>
          </w:tcPr>
          <w:p>
            <w:r/>
            <w:r>
              <w:rPr>
                <w:sz w:val="19"/>
              </w:rPr>
              <w:t>1.7.x (2022)</w:t>
            </w:r>
          </w:p>
        </w:tc>
        <w:tc>
          <w:tcPr>
            <w:tcW w:type="dxa" w:w="2493"/>
          </w:tcPr>
          <w:p>
            <w:r/>
            <w:r>
              <w:rPr>
                <w:sz w:val="19"/>
              </w:rPr>
              <w:t>2.1.0 (late 2024)</w:t>
            </w:r>
          </w:p>
        </w:tc>
        <w:tc>
          <w:tcPr>
            <w:tcW w:type="dxa" w:w="2493"/>
          </w:tcPr>
          <w:p>
            <w:r/>
            <w:r>
              <w:rPr>
                <w:sz w:val="19"/>
              </w:rPr>
              <w:t>2.4.21 (latest)</w:t>
            </w:r>
          </w:p>
        </w:tc>
      </w:tr>
      <w:tr>
        <w:tc>
          <w:tcPr>
            <w:tcW w:type="dxa" w:w="2493"/>
          </w:tcPr>
          <w:p>
            <w:r/>
            <w:r>
              <w:rPr>
                <w:b/>
                <w:sz w:val="19"/>
              </w:rPr>
              <w:t>Screens (Compose)</w:t>
            </w:r>
          </w:p>
        </w:tc>
        <w:tc>
          <w:tcPr>
            <w:tcW w:type="dxa" w:w="2493"/>
          </w:tcPr>
          <w:p>
            <w:r/>
            <w:r>
              <w:rPr>
                <w:sz w:val="19"/>
              </w:rPr>
              <w:t>Jetpack Compose 1.2, Android only</w:t>
            </w:r>
          </w:p>
        </w:tc>
        <w:tc>
          <w:tcPr>
            <w:tcW w:type="dxa" w:w="2493"/>
          </w:tcPr>
          <w:p>
            <w:r/>
            <w:r>
              <w:rPr>
                <w:sz w:val="19"/>
              </w:rPr>
              <w:t>Compose Multiplatform 1.7.3, Android and iPhone</w:t>
            </w:r>
          </w:p>
        </w:tc>
        <w:tc>
          <w:tcPr>
            <w:tcW w:type="dxa" w:w="2493"/>
          </w:tcPr>
          <w:p>
            <w:r/>
            <w:r>
              <w:rPr>
                <w:sz w:val="19"/>
              </w:rPr>
              <w:t>Compose Multiplatform 1.12.2</w:t>
            </w:r>
          </w:p>
        </w:tc>
      </w:tr>
      <w:tr>
        <w:tc>
          <w:tcPr>
            <w:tcW w:type="dxa" w:w="2493"/>
          </w:tcPr>
          <w:p>
            <w:r/>
            <w:r>
              <w:rPr>
                <w:b/>
                <w:sz w:val="19"/>
              </w:rPr>
              <w:t>Server connection (Ktor)</w:t>
            </w:r>
          </w:p>
        </w:tc>
        <w:tc>
          <w:tcPr>
            <w:tcW w:type="dxa" w:w="2493"/>
          </w:tcPr>
          <w:p>
            <w:r/>
            <w:r>
              <w:rPr>
                <w:sz w:val="19"/>
              </w:rPr>
              <w:t>2.1</w:t>
            </w:r>
          </w:p>
        </w:tc>
        <w:tc>
          <w:tcPr>
            <w:tcW w:type="dxa" w:w="2493"/>
          </w:tcPr>
          <w:p>
            <w:r/>
            <w:r>
              <w:rPr>
                <w:sz w:val="19"/>
              </w:rPr>
              <w:t>3.0.3</w:t>
            </w:r>
          </w:p>
        </w:tc>
        <w:tc>
          <w:tcPr>
            <w:tcW w:type="dxa" w:w="2493"/>
          </w:tcPr>
          <w:p>
            <w:r/>
            <w:r>
              <w:rPr>
                <w:sz w:val="19"/>
              </w:rPr>
              <w:t>3.6.0</w:t>
            </w:r>
          </w:p>
        </w:tc>
      </w:tr>
      <w:tr>
        <w:tc>
          <w:tcPr>
            <w:tcW w:type="dxa" w:w="2493"/>
          </w:tcPr>
          <w:p>
            <w:r/>
            <w:r>
              <w:rPr>
                <w:b/>
                <w:sz w:val="19"/>
              </w:rPr>
              <w:t>Background work (coroutines)</w:t>
            </w:r>
          </w:p>
        </w:tc>
        <w:tc>
          <w:tcPr>
            <w:tcW w:type="dxa" w:w="2493"/>
          </w:tcPr>
          <w:p>
            <w:r/>
            <w:r>
              <w:rPr>
                <w:sz w:val="19"/>
              </w:rPr>
              <w:t>1.6</w:t>
            </w:r>
          </w:p>
        </w:tc>
        <w:tc>
          <w:tcPr>
            <w:tcW w:type="dxa" w:w="2493"/>
          </w:tcPr>
          <w:p>
            <w:r/>
            <w:r>
              <w:rPr>
                <w:sz w:val="19"/>
              </w:rPr>
              <w:t>1.9.0</w:t>
            </w:r>
          </w:p>
        </w:tc>
        <w:tc>
          <w:tcPr>
            <w:tcW w:type="dxa" w:w="2493"/>
          </w:tcPr>
          <w:p>
            <w:r/>
            <w:r>
              <w:rPr>
                <w:sz w:val="19"/>
              </w:rPr>
              <w:t>1.11.0</w:t>
            </w:r>
          </w:p>
        </w:tc>
      </w:tr>
      <w:tr>
        <w:tc>
          <w:tcPr>
            <w:tcW w:type="dxa" w:w="2493"/>
          </w:tcPr>
          <w:p>
            <w:r/>
            <w:r>
              <w:rPr>
                <w:b/>
                <w:sz w:val="19"/>
              </w:rPr>
              <w:t>Data exchange (serialization)</w:t>
            </w:r>
          </w:p>
        </w:tc>
        <w:tc>
          <w:tcPr>
            <w:tcW w:type="dxa" w:w="2493"/>
          </w:tcPr>
          <w:p>
            <w:r/>
            <w:r>
              <w:rPr>
                <w:sz w:val="19"/>
              </w:rPr>
              <w:t>1.4</w:t>
            </w:r>
          </w:p>
        </w:tc>
        <w:tc>
          <w:tcPr>
            <w:tcW w:type="dxa" w:w="2493"/>
          </w:tcPr>
          <w:p>
            <w:r/>
            <w:r>
              <w:rPr>
                <w:sz w:val="19"/>
              </w:rPr>
              <w:t>1.7.3</w:t>
            </w:r>
          </w:p>
        </w:tc>
        <w:tc>
          <w:tcPr>
            <w:tcW w:type="dxa" w:w="2493"/>
          </w:tcPr>
          <w:p>
            <w:r/>
            <w:r>
              <w:rPr>
                <w:sz w:val="19"/>
              </w:rPr>
              <w:t>1.11.0</w:t>
            </w:r>
          </w:p>
        </w:tc>
      </w:tr>
      <w:tr>
        <w:tc>
          <w:tcPr>
            <w:tcW w:type="dxa" w:w="2493"/>
          </w:tcPr>
          <w:p>
            <w:r/>
            <w:r>
              <w:rPr>
                <w:b/>
                <w:sz w:val="19"/>
              </w:rPr>
              <w:t>File storage (Okio)</w:t>
            </w:r>
          </w:p>
        </w:tc>
        <w:tc>
          <w:tcPr>
            <w:tcW w:type="dxa" w:w="2493"/>
          </w:tcPr>
          <w:p>
            <w:r/>
            <w:r>
              <w:rPr>
                <w:sz w:val="19"/>
              </w:rPr>
              <w:t>3.2</w:t>
            </w:r>
          </w:p>
        </w:tc>
        <w:tc>
          <w:tcPr>
            <w:tcW w:type="dxa" w:w="2493"/>
          </w:tcPr>
          <w:p>
            <w:r/>
            <w:r>
              <w:rPr>
                <w:sz w:val="19"/>
              </w:rPr>
              <w:t>3.9.1</w:t>
            </w:r>
          </w:p>
        </w:tc>
        <w:tc>
          <w:tcPr>
            <w:tcW w:type="dxa" w:w="2493"/>
          </w:tcPr>
          <w:p>
            <w:r/>
            <w:r>
              <w:rPr>
                <w:sz w:val="19"/>
              </w:rPr>
              <w:t>3.18.2</w:t>
            </w:r>
          </w:p>
        </w:tc>
      </w:tr>
      <w:tr>
        <w:tc>
          <w:tcPr>
            <w:tcW w:type="dxa" w:w="2493"/>
          </w:tcPr>
          <w:p>
            <w:r/>
            <w:r>
              <w:rPr>
                <w:b/>
                <w:sz w:val="19"/>
              </w:rPr>
              <w:t>Dates and times (kotlinx-datetime)</w:t>
            </w:r>
          </w:p>
        </w:tc>
        <w:tc>
          <w:tcPr>
            <w:tcW w:type="dxa" w:w="2493"/>
          </w:tcPr>
          <w:p>
            <w:r/>
            <w:r>
              <w:rPr>
                <w:sz w:val="19"/>
              </w:rPr>
              <w:t>0.4</w:t>
            </w:r>
          </w:p>
        </w:tc>
        <w:tc>
          <w:tcPr>
            <w:tcW w:type="dxa" w:w="2493"/>
          </w:tcPr>
          <w:p>
            <w:r/>
            <w:r>
              <w:rPr>
                <w:sz w:val="19"/>
              </w:rPr>
              <w:t>0.6.1</w:t>
            </w:r>
          </w:p>
        </w:tc>
        <w:tc>
          <w:tcPr>
            <w:tcW w:type="dxa" w:w="2493"/>
          </w:tcPr>
          <w:p>
            <w:r/>
            <w:r>
              <w:rPr>
                <w:sz w:val="19"/>
              </w:rPr>
              <w:t>0.6.2</w:t>
            </w:r>
          </w:p>
        </w:tc>
      </w:tr>
      <w:tr>
        <w:tc>
          <w:tcPr>
            <w:tcW w:type="dxa" w:w="2493"/>
          </w:tcPr>
          <w:p>
            <w:r/>
            <w:r>
              <w:rPr>
                <w:b/>
                <w:sz w:val="19"/>
              </w:rPr>
              <w:t>Android version targeted</w:t>
            </w:r>
          </w:p>
        </w:tc>
        <w:tc>
          <w:tcPr>
            <w:tcW w:type="dxa" w:w="2493"/>
          </w:tcPr>
          <w:p>
            <w:r/>
            <w:r>
              <w:rPr>
                <w:sz w:val="19"/>
              </w:rPr>
              <w:t>Android 12–13 (API 32–33)</w:t>
            </w:r>
          </w:p>
        </w:tc>
        <w:tc>
          <w:tcPr>
            <w:tcW w:type="dxa" w:w="2493"/>
          </w:tcPr>
          <w:p>
            <w:r/>
            <w:r>
              <w:rPr>
                <w:sz w:val="19"/>
              </w:rPr>
              <w:t>Android 16 (API 36)</w:t>
            </w:r>
          </w:p>
        </w:tc>
        <w:tc>
          <w:tcPr>
            <w:tcW w:type="dxa" w:w="2493"/>
          </w:tcPr>
          <w:p>
            <w:r/>
            <w:r>
              <w:rPr>
                <w:sz w:val="19"/>
              </w:rPr>
              <w:t>Android 16 (API 36)</w:t>
            </w:r>
          </w:p>
        </w:tc>
      </w:tr>
      <w:tr>
        <w:tc>
          <w:tcPr>
            <w:tcW w:type="dxa" w:w="2493"/>
          </w:tcPr>
          <w:p>
            <w:r/>
            <w:r>
              <w:rPr>
                <w:b/>
                <w:sz w:val="19"/>
              </w:rPr>
              <w:t>Phones supported</w:t>
            </w:r>
          </w:p>
        </w:tc>
        <w:tc>
          <w:tcPr>
            <w:tcW w:type="dxa" w:w="2493"/>
          </w:tcPr>
          <w:p>
            <w:r/>
            <w:r>
              <w:rPr>
                <w:sz w:val="19"/>
              </w:rPr>
              <w:t>Android only</w:t>
            </w:r>
          </w:p>
        </w:tc>
        <w:tc>
          <w:tcPr>
            <w:tcW w:type="dxa" w:w="2493"/>
          </w:tcPr>
          <w:p>
            <w:r/>
            <w:r>
              <w:rPr>
                <w:sz w:val="19"/>
              </w:rPr>
              <w:t>Android, iPhone and iPad</w:t>
            </w:r>
          </w:p>
        </w:tc>
        <w:tc>
          <w:tcPr>
            <w:tcW w:type="dxa" w:w="2493"/>
          </w:tcPr>
          <w:p>
            <w:r/>
            <w:r>
              <w:rPr>
                <w:sz w:val="19"/>
              </w:rPr>
              <w:t>Android, iPhone and iPad</w:t>
            </w:r>
          </w:p>
        </w:tc>
      </w:tr>
      <w:tr>
        <w:tc>
          <w:tcPr>
            <w:tcW w:type="dxa" w:w="2493"/>
          </w:tcPr>
          <w:p>
            <w:r/>
            <w:r>
              <w:rPr>
                <w:b/>
                <w:sz w:val="19"/>
              </w:rPr>
              <w:t>Maker support</w:t>
            </w:r>
          </w:p>
        </w:tc>
        <w:tc>
          <w:tcPr>
            <w:tcW w:type="dxa" w:w="2493"/>
          </w:tcPr>
          <w:p>
            <w:r/>
            <w:r>
              <w:rPr>
                <w:sz w:val="19"/>
              </w:rPr>
              <w:t>Ended</w:t>
            </w:r>
          </w:p>
        </w:tc>
        <w:tc>
          <w:tcPr>
            <w:tcW w:type="dxa" w:w="2493"/>
          </w:tcPr>
          <w:p>
            <w:r/>
            <w:r>
              <w:rPr>
                <w:sz w:val="19"/>
              </w:rPr>
              <w:t>Ending</w:t>
            </w:r>
          </w:p>
        </w:tc>
        <w:tc>
          <w:tcPr>
            <w:tcW w:type="dxa" w:w="2493"/>
          </w:tcPr>
          <w:p>
            <w:r/>
            <w:r>
              <w:rPr>
                <w:sz w:val="19"/>
              </w:rPr>
              <w:t>Current</w:t>
            </w:r>
          </w:p>
        </w:tc>
      </w:tr>
    </w:tbl>
    <w:p/>
    <w:p>
      <w:r>
        <w:t>What the upgrade means for the business:</w:t>
      </w:r>
    </w:p>
    <w:p>
      <w:pPr>
        <w:pStyle w:val="ListBullet"/>
      </w:pPr>
      <w:r>
        <w:rPr>
          <w:b/>
        </w:rPr>
        <w:t xml:space="preserve">Supported: </w:t>
      </w:r>
      <w:r>
        <w:t>the makers fix security and other problems only in current releases.</w:t>
      </w:r>
    </w:p>
    <w:p>
      <w:pPr>
        <w:pStyle w:val="ListBullet"/>
      </w:pPr>
      <w:r>
        <w:rPr>
          <w:b/>
        </w:rPr>
        <w:t xml:space="preserve">Store rules: </w:t>
      </w:r>
      <w:r>
        <w:t>Google Play and the App Store require apps to be built with recent tools to accept updates.</w:t>
      </w:r>
    </w:p>
    <w:p>
      <w:pPr>
        <w:pStyle w:val="ListBullet"/>
      </w:pPr>
      <w:r>
        <w:rPr>
          <w:b/>
        </w:rPr>
        <w:t xml:space="preserve">Faster and more stable: </w:t>
      </w:r>
      <w:r>
        <w:t>newer releases start faster, use less battery and fix known faults.</w:t>
      </w:r>
    </w:p>
    <w:p>
      <w:pPr>
        <w:pStyle w:val="ListBullet"/>
      </w:pPr>
      <w:r>
        <w:rPr>
          <w:b/>
        </w:rPr>
        <w:t xml:space="preserve">One app for all phones: </w:t>
      </w:r>
      <w:r>
        <w:t>the same app runs on Android phones, iPhones and iPads.</w:t>
      </w:r>
    </w:p>
    <w:p>
      <w:pPr>
        <w:pStyle w:val="ListBullet"/>
      </w:pPr>
      <w:r>
        <w:rPr>
          <w:b/>
        </w:rPr>
        <w:t xml:space="preserve">Lower future cost: </w:t>
      </w:r>
      <w:r>
        <w:t>small regular upgrades are cheaper than one large jump after several years.</w:t>
      </w:r>
    </w:p>
    <w:p w14:paraId="60A1D574" w14:textId="49BCE119" w:rsidR="00372C26" w:rsidRDefault="00372C26" w:rsidP="004F16C2"/>
    <w:p w14:paraId="27E3D2E3" w14:textId="77777777" w:rsidR="00000712" w:rsidRDefault="00000712" w:rsidP="004F16C2"/>
    <w:p w14:paraId="7C322F71" w14:textId="65494D1C" w:rsidR="00000712" w:rsidRDefault="00000712" w:rsidP="004F16C2">
      <w:r>
        <w:t>Reviewed by :</w:t>
      </w:r>
      <w:r>
        <w:tab/>
      </w:r>
      <w:r>
        <w:tab/>
      </w:r>
      <w:r>
        <w:tab/>
      </w:r>
      <w:r>
        <w:tab/>
      </w:r>
      <w:r>
        <w:tab/>
      </w:r>
      <w:r>
        <w:tab/>
      </w:r>
      <w:r>
        <w:tab/>
      </w:r>
      <w:r>
        <w:tab/>
        <w:t>Approved by :</w:t>
      </w:r>
    </w:p>
    <w:p w14:paraId="09263F25" w14:textId="77777777" w:rsidR="00000712" w:rsidRDefault="00000712" w:rsidP="004F16C2"/>
    <w:p w14:paraId="137D9B50" w14:textId="1399966D" w:rsidR="00000712" w:rsidRDefault="00000712" w:rsidP="004F16C2">
      <w:r>
        <w:t xml:space="preserve">Imtiyaz Hussain </w:t>
      </w:r>
      <w:r>
        <w:tab/>
      </w:r>
      <w:r>
        <w:tab/>
      </w:r>
      <w:r>
        <w:tab/>
      </w:r>
      <w:r>
        <w:tab/>
      </w:r>
      <w:r>
        <w:tab/>
      </w:r>
      <w:r>
        <w:tab/>
      </w:r>
      <w:r>
        <w:tab/>
      </w:r>
      <w:r>
        <w:tab/>
        <w:t xml:space="preserve">Nidhi </w:t>
      </w:r>
      <w:proofErr w:type="spellStart"/>
      <w:r>
        <w:t>Singhvi</w:t>
      </w:r>
      <w:proofErr w:type="spellEnd"/>
    </w:p>
    <w:p w14:paraId="42DD3D39" w14:textId="77777777" w:rsidR="00000712" w:rsidRDefault="00000712" w:rsidP="004F16C2"/>
    <w:p w14:paraId="66594FAD" w14:textId="77777777" w:rsidR="00000712" w:rsidRDefault="00000712" w:rsidP="00000712">
      <w:r>
        <w:t>Signature</w:t>
      </w:r>
      <w:r>
        <w:tab/>
      </w:r>
      <w:r>
        <w:tab/>
      </w:r>
      <w:r>
        <w:tab/>
      </w:r>
      <w:r>
        <w:tab/>
      </w:r>
      <w:r>
        <w:tab/>
      </w:r>
      <w:r>
        <w:tab/>
      </w:r>
      <w:r>
        <w:tab/>
      </w:r>
      <w:r>
        <w:tab/>
      </w:r>
      <w:proofErr w:type="spellStart"/>
      <w:r>
        <w:t>Signature</w:t>
      </w:r>
      <w:proofErr w:type="spellEnd"/>
    </w:p>
    <w:p w14:paraId="76AE0ED7" w14:textId="0B5289F3" w:rsidR="00000712" w:rsidRDefault="00000712" w:rsidP="004F16C2"/>
    <w:sectPr w:rsidR="00000712" w:rsidSect="00034616">
      <w:headerReference w:type="default" r:id="rId8"/>
      <w:footerReference w:type="default" r:id="rId9"/>
      <w:pgSz w:w="12240" w:h="15840"/>
      <w:pgMar w:top="907" w:right="1134" w:bottom="144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BF3EF" w14:textId="77777777" w:rsidR="00737F30" w:rsidRDefault="00737F30">
      <w:pPr>
        <w:spacing w:after="0" w:line="240" w:lineRule="auto"/>
      </w:pPr>
      <w:r>
        <w:separator/>
      </w:r>
    </w:p>
  </w:endnote>
  <w:endnote w:type="continuationSeparator" w:id="0">
    <w:p w14:paraId="0B6C157A" w14:textId="77777777" w:rsidR="00737F30" w:rsidRDefault="00737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B5B07" w14:textId="77777777" w:rsidR="00372C26" w:rsidRDefault="00000000">
    <w:pPr>
      <w:pStyle w:val="Footer"/>
      <w:jc w:val="center"/>
    </w:pPr>
    <w:r>
      <w:rPr>
        <w:sz w:val="16"/>
      </w:rPr>
      <w:t>Functional Requirements Document (</w:t>
    </w:r>
    <w:proofErr w:type="gramStart"/>
    <w:r>
      <w:rPr>
        <w:sz w:val="16"/>
      </w:rPr>
      <w:t>FRD) ·</w:t>
    </w:r>
    <w:proofErr w:type="gramEnd"/>
    <w:r>
      <w:rPr>
        <w:sz w:val="16"/>
      </w:rPr>
      <w:t xml:space="preserve"> Sewerage &amp; Irrigation Meter Reading System · Dubai Investments Park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14079" w14:textId="77777777" w:rsidR="00737F30" w:rsidRDefault="00737F30">
      <w:pPr>
        <w:spacing w:after="0" w:line="240" w:lineRule="auto"/>
      </w:pPr>
      <w:r>
        <w:separator/>
      </w:r>
    </w:p>
  </w:footnote>
  <w:footnote w:type="continuationSeparator" w:id="0">
    <w:p w14:paraId="11515EAF" w14:textId="77777777" w:rsidR="00737F30" w:rsidRDefault="00737F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500F4" w14:textId="77777777" w:rsidR="00372C26" w:rsidRDefault="00000000">
    <w:pPr>
      <w:pStyle w:val="Header"/>
    </w:pPr>
    <w:r>
      <w:rPr>
        <w:noProof/>
      </w:rPr>
      <w:drawing>
        <wp:inline distT="0" distB="0" distL="0" distR="0" wp14:anchorId="599C17C3" wp14:editId="54487638">
          <wp:extent cx="1800000" cy="655046"/>
          <wp:effectExtent l="0" t="0" r="0" b="0"/>
          <wp:docPr id="1008098083" name="Picture 1008098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p_logo.png"/>
                  <pic:cNvPicPr/>
                </pic:nvPicPr>
                <pic:blipFill>
                  <a:blip r:embed="rId1"/>
                  <a:stretch>
                    <a:fillRect/>
                  </a:stretch>
                </pic:blipFill>
                <pic:spPr>
                  <a:xfrm>
                    <a:off x="0" y="0"/>
                    <a:ext cx="1800000" cy="655046"/>
                  </a:xfrm>
                  <a:prstGeom prst="rect">
                    <a:avLst/>
                  </a:prstGeom>
                </pic:spPr>
              </pic:pic>
            </a:graphicData>
          </a:graphic>
        </wp:inline>
      </w:drawing>
    </w:r>
    <w:r>
      <w:rPr>
        <w:sz w:val="16"/>
      </w:rPr>
      <w:tab/>
    </w:r>
    <w:r>
      <w:rPr>
        <w:sz w:val="16"/>
      </w:rPr>
      <w:tab/>
      <w:t>CR #47155 · Change ID 1004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1371276">
    <w:abstractNumId w:val="8"/>
  </w:num>
  <w:num w:numId="2" w16cid:durableId="412242790">
    <w:abstractNumId w:val="6"/>
  </w:num>
  <w:num w:numId="3" w16cid:durableId="1677463386">
    <w:abstractNumId w:val="5"/>
  </w:num>
  <w:num w:numId="4" w16cid:durableId="324482080">
    <w:abstractNumId w:val="4"/>
  </w:num>
  <w:num w:numId="5" w16cid:durableId="1496536240">
    <w:abstractNumId w:val="7"/>
  </w:num>
  <w:num w:numId="6" w16cid:durableId="14775214">
    <w:abstractNumId w:val="3"/>
  </w:num>
  <w:num w:numId="7" w16cid:durableId="1390571331">
    <w:abstractNumId w:val="2"/>
  </w:num>
  <w:num w:numId="8" w16cid:durableId="122161733">
    <w:abstractNumId w:val="1"/>
  </w:num>
  <w:num w:numId="9" w16cid:durableId="223025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712"/>
    <w:rsid w:val="00034616"/>
    <w:rsid w:val="0006063C"/>
    <w:rsid w:val="0015074B"/>
    <w:rsid w:val="0029639D"/>
    <w:rsid w:val="00326F90"/>
    <w:rsid w:val="00372C26"/>
    <w:rsid w:val="004F16C2"/>
    <w:rsid w:val="00737F30"/>
    <w:rsid w:val="009306F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F9A3B0"/>
  <w14:defaultImageDpi w14:val="300"/>
  <w15:docId w15:val="{216ECF36-BAD0-4E1C-B4FC-1A27C39E7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548</Words>
  <Characters>3124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Nayyar Jawaid</cp:lastModifiedBy>
  <cp:revision>3</cp:revision>
  <dcterms:created xsi:type="dcterms:W3CDTF">2013-12-23T23:15:00Z</dcterms:created>
  <dcterms:modified xsi:type="dcterms:W3CDTF">2026-10-18T16:15:00Z</dcterms:modified>
  <cp:category/>
</cp:coreProperties>
</file>