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Dubai Investments</w:t>
      </w:r>
    </w:p>
    <w:p>
      <w:pPr>
        <w:pBdr>
          <w:bottom w:val="single" w:color="CAA04D" w:sz="12"/>
        </w:pBdr>
        <w:spacing w:after="12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0B2545"/>
          <w:sz w:val="52"/>
          <w:szCs w:val="52"/>
        </w:rPr>
        <w:t xml:space="preserve">Supplier Portal</w:t>
      </w:r>
    </w:p>
    <w:p>
      <w:pPr>
        <w:spacing w:after="400"/>
      </w:pPr>
      <w:r>
        <w:rPr>
          <w:rFonts w:ascii="Calibri" w:cs="Calibri" w:eastAsia="Calibri" w:hAnsi="Calibri"/>
          <w:color w:val="6B7280"/>
          <w:sz w:val="28"/>
          <w:szCs w:val="28"/>
        </w:rPr>
        <w:t xml:space="preserve">Database Schema &amp; Relationships</w:t>
      </w:r>
    </w:p>
    <w:tbl>
      <w:tblPr>
        <w:tblW w:type="dxa" w:w="98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Document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Database Schema &amp; Entity Relationships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 Portal (.NET 8, EF Core 8.0.11, SQL Server / Azure SQL)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Version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Date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15 September 2026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1. Overview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Supplier Portal persists data in Microsoft SQL Server (on-premises) or Azure SQL Database, accessed through Entity Framework Core 8 using the DbContextFactory pattern. Two database contexts map the schema: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ApplicationDbContext</w:t>
      </w:r>
      <w:r>
        <w:rPr>
          <w:rFonts w:ascii="Calibri" w:cs="Calibri" w:eastAsia="Calibri" w:hAnsi="Calibri"/>
        </w:rPr>
        <w:t xml:space="preserve"> — the supplier, customer, user and master-data schema (default </w:t>
      </w:r>
      <w:r>
        <w:rPr>
          <w:rFonts w:ascii="Calibri" w:cs="Calibri" w:eastAsia="Calibri" w:hAnsi="Calibri"/>
          <w:i/>
          <w:iCs/>
        </w:rPr>
        <w:t xml:space="preserve">dbo</w:t>
      </w:r>
      <w:r>
        <w:rPr>
          <w:rFonts w:ascii="Calibri" w:cs="Calibri" w:eastAsia="Calibri" w:hAnsi="Calibri"/>
        </w:rPr>
        <w:t xml:space="preserve"> schema).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LeasingDbContext</w:t>
      </w:r>
      <w:r>
        <w:rPr>
          <w:rFonts w:ascii="Calibri" w:cs="Calibri" w:eastAsia="Calibri" w:hAnsi="Calibri"/>
        </w:rPr>
        <w:t xml:space="preserve"> — the Landlord/Leasing bounded context (</w:t>
      </w:r>
      <w:r>
        <w:rPr>
          <w:rFonts w:ascii="Calibri" w:cs="Calibri" w:eastAsia="Calibri" w:hAnsi="Calibri"/>
          <w:i/>
          <w:iCs/>
        </w:rPr>
        <w:t xml:space="preserve">leasing</w:t>
      </w:r>
      <w:r>
        <w:rPr>
          <w:rFonts w:ascii="Calibri" w:cs="Calibri" w:eastAsia="Calibri" w:hAnsi="Calibri"/>
        </w:rPr>
        <w:t xml:space="preserve"> schema), with its own migration-history table so leasing tables never clash with the supplier schema.</w:t>
      </w:r>
    </w:p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Conventions: every entity has an identity integer primary key named Id unless stated. String lengths shown are the declared [MaxLength]. Foreign keys use ON DELETE RESTRICT unless noted (child collections cascade). Navigation properties are not columns.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2. Master Data &amp; Security (dbo)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2.1 BusinessUnit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Dubai Investments group entity / company. Suppliers, customers and users are scoped to business units.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Code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Unique index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Name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string(200)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Domain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string(200)?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Self-service host per BU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LogoUrl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string(500)?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Logo / Thumbnail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byte[]?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Branding images (DB)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LogoBlobKey / ThumbnailBlobKey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string(400)?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Blob-stored branding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LogoContentType / ThumbnailContentType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string(100)?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CreatedAt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DateTime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2.2 Department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Code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string(30)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Name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string(150)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IsActive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bool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2.3 User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An internal application user (staff). Authenticated locally, via Active Directory, or via Entra SSO.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Username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string(100)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FullName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string(200)?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Designation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string(150)?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DepartmentId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Department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Email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string(256)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Unique index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ProfilePhoto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byte[]?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or ProfilePhotoBlobKey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PasswordHash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AuthSource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enum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Local / ActiveDirectory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AdLogin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string(256)?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Subject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string(100)?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SSO subject id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UserType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enum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Administrator / NormalUser / LeasingManager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PortalAccess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enum [Flags]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 / Landlord / Broker / Customer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CompanyBusinessUnitId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BusinessUnit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IsActive / IsDefaultAdmin / IsPendingRegistration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bool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CreatedAt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DateTime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Many-to-many: User ⇄ BusinessUnit through the join table UserBusinessUnits (composite PK UserId+BusinessUnitId, both FKs cascade).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2.4 LookupValue (shared dropdown table)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single table holding every dropdown option, keyed by a Category enum. One row = one option in a category. Uniqueness is enforced by UNIQUE (Category, Code).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Category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enum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18 categories (see below)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Code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string(50)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Unique per category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DisplayName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string(200)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Shown text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PhoneCode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string(10)?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Country category only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IsActive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bool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Default true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Categories: TaxOrganizationType, SupplierType, Country, Province, VatCode, PaymentMethod, PaymentTerms, Prefix, Currency, BusinessRelationship, CommunicationMethod, SupplierStatus, VatRegistrationType, BusinessPartnerType, BusinessLocationType, EInvoicingWave, LicensingAuthority.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2.5 Bank &amp; BankBranch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Bank.Id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Bank.Name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string(200)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BankBranch.Id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BankBranch.BankId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Bank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BankBranch.Name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string(200)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2.6 AuditLog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Timestamp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DateTime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ActorUsername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string(100)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Action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enum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Login/Logout/Create/Update/Activate/Deactivate/Delete/Notify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EntityType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string(50)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EntityId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Loose reference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Details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string(500)?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2.7 Configuration tables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SupplierFieldSetting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Per-field label, Step, Sequence, IsMandatory, IsVisibleToSupplier, IsRemoved. Unique FieldKey.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SupplierTabSetting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Wizard tab Step (unique), Title, IsVisible.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CustomerDocumentType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Configurable KYC checklist: Name, Requirement, IsRequired, Sequence, IsActive.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CustomerFieldConfig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Per-field: Section, GroupName, Sequence, FieldKind, Business/Customer control, IsVisible, IsRequired.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3. Supplier Domain (dbo)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3.1 Supplier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central supplier record (~150 columns). Columns are grouped below by section; primary-contact and one address are held as flat columns, with additional contacts, bank accounts and VAT-group entities as child tables.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1800"/>
        <w:gridCol w:w="4900"/>
        <w:gridCol w:w="2800"/>
      </w:tblGrid>
      <w:tr>
        <w:trPr>
          <w:tblHeader/>
        </w:trPr>
        <w:tc>
          <w:tcPr>
            <w:tcW w:type="dxa" w:w="18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Group</w:t>
            </w:r>
          </w:p>
        </w:tc>
        <w:tc>
          <w:tcPr>
            <w:tcW w:type="dxa" w:w="4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Representative columns</w:t>
            </w:r>
          </w:p>
        </w:tc>
        <w:tc>
          <w:tcPr>
            <w:tcW w:type="dxa" w:w="28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Lookup / FK</w:t>
            </w:r>
          </w:p>
        </w:tc>
      </w:tr>
      <w:tr>
        <w:tc>
          <w:tcPr>
            <w:tcW w:type="dxa" w:w="1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Identity</w:t>
            </w:r>
          </w:p>
        </w:tc>
        <w:tc>
          <w:tcPr>
            <w:tcW w:type="dxa" w:w="4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SupplierNumber, Priority, SupplierName, Email, IsDraft, IsActive, CreatedAt/By, UpdatedAt/By</w:t>
            </w:r>
          </w:p>
        </w:tc>
        <w:tc>
          <w:tcPr>
            <w:tcW w:type="dxa" w:w="2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BusinessUnitId → BusinessUnit (required)</w:t>
            </w:r>
          </w:p>
        </w:tc>
      </w:tr>
      <w:tr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Classification / tax</w:t>
            </w:r>
          </w:p>
        </w:tc>
        <w:tc>
          <w:tcPr>
            <w:tcW w:type="dxa" w:w="4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TaxRegistrationNumber, VatRegistered, SupplierTin, DunsNumber, CorporateWebSite, TradeLicense* , LicenseType, IsOneTimeSupplier</w:t>
            </w:r>
          </w:p>
        </w:tc>
        <w:tc>
          <w:tcPr>
            <w:tcW w:type="dxa" w:w="2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TaxOrganizationTypeId, SupplierTypeId, TaxpayerCountryId, CountryNameId, VatRegistrationTypeId, BusinessPartnerTypeId, BusinessLocationTypeId, EInvoicingWaveId, TradeLicenseIssuingBodyId, BusinessRelationshipId → LookupValue</w:t>
            </w:r>
          </w:p>
        </w:tc>
      </w:tr>
      <w:tr>
        <w:tc>
          <w:tcPr>
            <w:tcW w:type="dxa" w:w="1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</w:t>
            </w:r>
          </w:p>
        </w:tc>
        <w:tc>
          <w:tcPr>
            <w:tcW w:type="dxa" w:w="4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AddressLine1/2, City/State, PostalCode, VAT-certificate address block, address-purpose flags, RemittanceEmail, business phone</w:t>
            </w:r>
          </w:p>
        </w:tc>
        <w:tc>
          <w:tcPr>
            <w:tcW w:type="dxa" w:w="2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CityId, CountryId, BusinessPhoneCountryCodeId → LookupValue (VatCityId/VatCountryId are plain columns, no FK)</w:t>
            </w:r>
          </w:p>
        </w:tc>
      </w:tr>
      <w:tr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4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Prefix, First/Middle/Last name, ContactEmail, Phone/Mobile + area codes</w:t>
            </w:r>
          </w:p>
        </w:tc>
        <w:tc>
          <w:tcPr>
            <w:tcW w:type="dxa" w:w="2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PrefixId, PhoneCountryCodeId, MobileCountryCodeId → LookupValue</w:t>
            </w:r>
          </w:p>
        </w:tc>
      </w:tr>
      <w:tr>
        <w:tc>
          <w:tcPr>
            <w:tcW w:type="dxa" w:w="1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Site / assignment</w:t>
            </w:r>
          </w:p>
        </w:tc>
        <w:tc>
          <w:tcPr>
            <w:tcW w:type="dxa" w:w="4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SupplierSite, communication e-mail, function flags (IsOrdering, IsSourcingOnly, IsPurchasing, IsPay, IsPrimaryPay)</w:t>
            </w:r>
          </w:p>
        </w:tc>
        <w:tc>
          <w:tcPr>
            <w:tcW w:type="dxa" w:w="2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SupplierSiteBuId, ProcurementBuId, ClientBuId, BillToBuId → BusinessUnit; CommunicationMethodId → LookupValue</w:t>
            </w:r>
          </w:p>
        </w:tc>
      </w:tr>
      <w:tr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Payment / banking</w:t>
            </w:r>
          </w:p>
        </w:tc>
        <w:tc>
          <w:tcPr>
            <w:tcW w:type="dxa" w:w="4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AccountName/Number, SwiftCode, Iban, dates, intermediary-bank block, AllowInternationalPayments</w:t>
            </w:r>
          </w:p>
        </w:tc>
        <w:tc>
          <w:tcPr>
            <w:tcW w:type="dxa" w:w="2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PaymentMethodId, PaymentTermsId, VatCodeId, CurrencyId, AccountCountryCodeId, AccountCurrencyCodeId, IntermediaryCountryId → LookupValue; BankId → Bank; BankBranchId → BankBranch</w:t>
            </w:r>
          </w:p>
        </w:tc>
      </w:tr>
      <w:tr>
        <w:tc>
          <w:tcPr>
            <w:tcW w:type="dxa" w:w="1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Status / ownership / disclaimer</w:t>
            </w:r>
          </w:p>
        </w:tc>
        <w:tc>
          <w:tcPr>
            <w:tcW w:type="dxa" w:w="4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ReviewRemarks, DisclaimerAcknowledged/At/By/Text/Signature, DisclaimerSignatureImage [NotMapped]</w:t>
            </w:r>
          </w:p>
        </w:tc>
        <w:tc>
          <w:tcPr>
            <w:tcW w:type="dxa" w:w="2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StatusId → LookupValue; AssignedToUserId → User; DepartmentId → Department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In total Supplier declares 25 foreign keys to LookupValue, five to BusinessUnit (one required), one each to Bank and BankBranch, and convention FKs to User (AssignedToUserId) and Department (DepartmentId). All LookupValue/BusinessUnit/Bank FKs use ON DELETE RESTRICT.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3.2 Supplier child tables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SupplierContact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Additional contacts; Prefix/Phone/Mobile country codes → LookupValue; SortOrder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SupplierBankAccount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Bank, BankBranch, currency/country codes; SortOrder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SupplierVatGroupEntity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VAT-group members; EInvoicingWaveId/BusinessLocationTypeId are plain columns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SupplierPartner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Trade-licence owners/partners (name, share, role, nationality)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SupplierDocument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Type (TradeLicense/VatCertification/Other/BankConfirmationLetter/SignedDeclaration); Content (byte[]) or BlobKey; index (SupplierId, DocumentType)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SupplierAccessToken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Self-service link + OTP + session hashes; unique TokenHash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SupplierFieldChange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Self-service change audit; FK → SupplierAccessToken (NoAction); index (SupplierId, IsAcknowledged)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4. Customer Domain (dbo)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Customer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BusinessUnit (Restrict, optional)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CST/KYC master (~60 account fields, mostly free text). Status Draft→For Review→Completed/Returned. BaanRef/CustomerId/CustomerCode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CustomerContact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Customer (Cascade, 1-to-1)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~74 KYC contact fields (identity, passport, visa, UAE Pass, PEP, employer)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CustomerDocument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Customer (Cascade)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KYC files; Content (byte[]) or BlobKey; DocumentType (string)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CustomerAccessToken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Customer (Cascade)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Self-service link + OTP + session hashes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Customer LOV-style fields (account type, nationality, country, etc.) are stored as free-text string columns, not foreign keys. The Customer's only real foreign key is BusinessUnitId.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5. Leasing / Landlord Domain (leasing schema)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separate bounded context (LeasingDbContext) with its own migration history. Reads the read-only dbo.Property view; owns the leasing.* tables.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Premises (view)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dbo.Property (read-only view)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Property/building/lease reference data; never migrated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Landlord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leasing.Landlords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Registration record; Status (Draft…RegistrationComplete), signing rule, review/reject/complete audit, Circularo signature fields; BusinessUnitId (no cross-context FK)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LandlordPremises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Landlord (Cascade)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Join to Premises (co-ownership); unique (LandlordId, PremisesId)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LandlordContact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Landlord (Cascade)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Owner/representative/manager/legal; Emirates-ID details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LandlordSignatory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Landlord (Cascade)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Signing parties; order; primary flag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LandlordDocument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Landlord (Cascade)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EmiratesId/TradeLicense/MOA/POA/TitleDeed/… ; content as Base64 (varchar max); versioned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LandlordRegistrationComment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Landlord (Cascade)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Correction/Rejection/Note; index (LandlordId, IsResolved)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LandlordAccessToken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Landlord (Cascade)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Link + OTP + session + UAE Pass verification fields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LandlordFieldChange / LandlordEvent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LandlordId indexed (loose)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Self-service change audit and lifecycle event log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MaintainTenantUaePassEmail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dbo (shared, external)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Tenant UAE Pass e-mail ownership list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6. Relationships Summary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6.1 Supplier schema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BusinessUnit 1—* Supplier (BusinessUnitId, required, Restrict) plus 4 optional BU refs (Site/Procurement/Client/BillTo).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User ⇄ BusinessUnit many-to-many (UserBusinessUnits); BusinessUnit 1—* User (CompanyBusinessUnitId).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Department 1—* User and 1—* Supplier; User 1—* Supplier (AssignedToUserId).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Supplier 1—* {Contact, BankAccount, VatGroupEntity, AccessToken, FieldChange, Document, Partner} — all cascade.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Bank 1—* BankBranch (cascade); LookupValue 1—* Supplier/SupplierContact/SupplierBankAccount (Restrict).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SupplierAccessToken 1—* SupplierFieldChange (NoAction, to avoid multiple cascade paths).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6.2 Customer schema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BusinessUnit 1—* Customer; Customer 1—1 CustomerContact; Customer 1—* {Document, AccessToken} (cascade).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6.3 Leasing schema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Landlord 1—* {Premises, Contact, Signatory, Document, Comment, AccessToken} (cascade).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LandlordPremises is the join for Landlord *—* Premises co-ownership (Premises is a read-only view; PremisesId is a snapshot key, no DB FK).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LandlordFieldChange / LandlordEvent associate by LandlordId (indexed) with no configured FK. Leasing is a separate context, so there is no EF-level FK from Landlord to BusinessUnit.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7. Indexes &amp; Integrity Notes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Unique indexes: BusinessUnit.Code, User.Email, LookupValue(Category, Code), SupplierFieldSetting.FieldKey, SupplierTabSetting.Step, SupplierAccessToken.TokenHash, LandlordPremises(LandlordId, PremisesId).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[NotMapped] (not columns): Supplier.DisclaimerSignatureImage, Premises.Zone.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Blob columns (byte[]): BusinessUnit.Logo/Thumbnail, User.ProfilePhoto, SupplierDocument.Content, CustomerDocument.Content. LandlordDocument stores Base64 in a varchar(max) column.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Both contexts are registered with EnableRetryOnFailure() for Azure SQL transient-fault resilience.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Confidential   |   Page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5"/>
        <w:szCs w:val="15"/>
      </w:rPr>
      <w:t xml:space="preserve"> of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A04D" w:sz="6"/>
      </w:pBdr>
      <w:jc w:val="right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Database Schema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5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Portal — Database Schema</dc:title>
  <dc:creator>Supplier Portal QA</dc:creator>
  <cp:lastModifiedBy>Un-named</cp:lastModifiedBy>
  <cp:revision>1</cp:revision>
  <dcterms:created xsi:type="dcterms:W3CDTF">2026-09-15T17:44:51.629Z</dcterms:created>
  <dcterms:modified xsi:type="dcterms:W3CDTF">2026-09-15T17:44:51.629Z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