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pPr>
      <w:r>
        <w:rPr>
          <w:rFonts w:ascii="Calibri" w:cs="Calibri" w:eastAsia="Calibri" w:hAnsi="Calibri"/>
          <w:b/>
          <w:bCs/>
          <w:color w:val="0B2545"/>
          <w:sz w:val="30"/>
          <w:szCs w:val="30"/>
        </w:rPr>
        <w:t xml:space="preserve">Dubai Investments</w:t>
      </w:r>
    </w:p>
    <w:p>
      <w:pPr>
        <w:pBdr>
          <w:bottom w:val="single" w:color="CAA04D" w:sz="12"/>
        </w:pBdr>
        <w:spacing w:after="120"/>
      </w:pPr>
    </w:p>
    <w:p>
      <w:pPr>
        <w:spacing w:after="60" w:before="200"/>
      </w:pPr>
      <w:r>
        <w:rPr>
          <w:rFonts w:ascii="Calibri" w:cs="Calibri" w:eastAsia="Calibri" w:hAnsi="Calibri"/>
          <w:b/>
          <w:bCs/>
          <w:color w:val="0B2545"/>
          <w:sz w:val="52"/>
          <w:szCs w:val="52"/>
        </w:rPr>
        <w:t xml:space="preserve">Supplier Portal</w:t>
      </w:r>
    </w:p>
    <w:p>
      <w:pPr>
        <w:spacing w:after="400"/>
      </w:pPr>
      <w:r>
        <w:rPr>
          <w:rFonts w:ascii="Calibri" w:cs="Calibri" w:eastAsia="Calibri" w:hAnsi="Calibri"/>
          <w:color w:val="6B7280"/>
          <w:sz w:val="28"/>
          <w:szCs w:val="28"/>
        </w:rPr>
        <w:t xml:space="preserve">Product &amp; Penetration Acceptance Test (PAT) Report</w:t>
      </w:r>
    </w:p>
    <w:tbl>
      <w:tblPr>
        <w:tblW w:type="dxa" w:w="9800"/>
        <w:tblBorders>
          <w:top w:val="single" w:color="D3DAE6" w:sz="4"/>
          <w:left w:val="single" w:color="D3DAE6" w:sz="4"/>
          <w:bottom w:val="single" w:color="D3DAE6" w:sz="4"/>
          <w:right w:val="single" w:color="D3DAE6" w:sz="4"/>
          <w:insideH w:val="single" w:color="D3DAE6" w:sz="4"/>
          <w:insideV w:val="single" w:color="D3DAE6" w:sz="4"/>
        </w:tblBorders>
      </w:tblPr>
      <w:tblGrid>
        <w:gridCol w:w="3200"/>
        <w:gridCol w:w="6600"/>
      </w:tblGrid>
      <w:tr>
        <w:trPr>
          <w:tblHeader/>
        </w:trPr>
        <w:tc>
          <w:tcPr>
            <w:tcW w:type="dxa" w:w="32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Field</w:t>
            </w:r>
          </w:p>
        </w:tc>
        <w:tc>
          <w:tcPr>
            <w:tcW w:type="dxa" w:w="6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Detail</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Application</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 Portal (.NET 8 Blazor Server)</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Repository / Branch</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tsappdev01/SupplierPortal — claude/supplierportal-app-overview-ba4wvv</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Test type</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Functional acceptance + security (penetration-style) assessment</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Environment</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Ubuntu 24.04, .NET SDK 8.0.131</w:t>
            </w:r>
          </w:p>
        </w:tc>
      </w:tr>
      <w:tr>
        <w:tc>
          <w:tcPr>
            <w:tcW w:type="dxa" w:w="32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Report date</w:t>
            </w:r>
          </w:p>
        </w:tc>
        <w:tc>
          <w:tcPr>
            <w:tcW w:type="dxa" w:w="6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15 September 2026</w:t>
            </w:r>
          </w:p>
        </w:tc>
      </w:tr>
      <w:tr>
        <w:tc>
          <w:tcPr>
            <w:tcW w:type="dxa" w:w="32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Overall result</w:t>
            </w:r>
          </w:p>
        </w:tc>
        <w:tc>
          <w:tcPr>
            <w:tcW w:type="dxa" w:w="6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PASS</w:t>
            </w:r>
          </w:p>
        </w:tc>
      </w:tr>
    </w:tbl>
    <w:p>
      <w:r>
        <w:br w:type="page"/>
      </w:r>
    </w:p>
    <w:p>
      <w:pPr>
        <w:spacing w:after="120"/>
      </w:pPr>
      <w:r>
        <w:rPr>
          <w:rFonts w:ascii="Calibri" w:cs="Calibri" w:eastAsia="Calibri" w:hAnsi="Calibri"/>
          <w:b/>
          <w:bCs/>
          <w:color w:val="0B2545"/>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60"/>
      </w:pPr>
      <w:r>
        <w:rPr>
          <w:rFonts w:ascii="Calibri" w:cs="Calibri" w:eastAsia="Calibri" w:hAnsi="Calibri"/>
          <w:b/>
          <w:bCs/>
          <w:color w:val="0B2545"/>
          <w:sz w:val="30"/>
          <w:szCs w:val="30"/>
        </w:rPr>
        <w:t xml:space="preserve">1. Executive Summary</w:t>
      </w:r>
    </w:p>
    <w:p>
      <w:pPr>
        <w:spacing w:after="120" w:line="276"/>
      </w:pPr>
      <w:r>
        <w:rPr>
          <w:rFonts w:ascii="Calibri" w:cs="Calibri" w:eastAsia="Calibri" w:hAnsi="Calibri"/>
          <w:sz w:val="21"/>
          <w:szCs w:val="21"/>
        </w:rPr>
        <w:t xml:space="preserve">This report documents acceptance and security testing of the Supplier Portal, with particular focus on the public, internet-facing supplier self-service (DMZ) flow. Testing combined automated build and unit tests (executed against .NET SDK 8.0.131) with an adversarial security assessment and code-level verification of the functional workflows. The solution builds with 0 errors and 23 of 23 unit tests pass. Twelve functional defects and eleven security weaknesses were identified during the assessment; all have been remediated and the fixes verified to compile. Two items are recorded as accepted residual risk requiring an infrastructure decision or a data-cleanup migration.</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3800"/>
        <w:gridCol w:w="1900"/>
        <w:gridCol w:w="1900"/>
        <w:gridCol w:w="1900"/>
      </w:tblGrid>
      <w:tr>
        <w:trPr>
          <w:tblHeader/>
        </w:trPr>
        <w:tc>
          <w:tcPr>
            <w:tcW w:type="dxa" w:w="38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Category</w:t>
            </w:r>
          </w:p>
        </w:tc>
        <w:tc>
          <w:tcPr>
            <w:tcW w:type="dxa" w:w="19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Identified</w:t>
            </w:r>
          </w:p>
        </w:tc>
        <w:tc>
          <w:tcPr>
            <w:tcW w:type="dxa" w:w="19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Fixed</w:t>
            </w:r>
          </w:p>
        </w:tc>
        <w:tc>
          <w:tcPr>
            <w:tcW w:type="dxa" w:w="19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Residual</w:t>
            </w:r>
          </w:p>
        </w:tc>
      </w:tr>
      <w:tr>
        <w:tc>
          <w:tcPr>
            <w:tcW w:type="dxa" w:w="38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Security — Critical</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0</w:t>
            </w:r>
          </w:p>
        </w:tc>
      </w:tr>
      <w:tr>
        <w:tc>
          <w:tcPr>
            <w:tcW w:type="dxa" w:w="38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Security — High</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2</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2</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0</w:t>
            </w:r>
          </w:p>
        </w:tc>
      </w:tr>
      <w:tr>
        <w:tc>
          <w:tcPr>
            <w:tcW w:type="dxa" w:w="38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Security — Medium</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5</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4</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w:t>
            </w:r>
          </w:p>
        </w:tc>
      </w:tr>
      <w:tr>
        <w:tc>
          <w:tcPr>
            <w:tcW w:type="dxa" w:w="38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Security — Low</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3</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3</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0</w:t>
            </w:r>
          </w:p>
        </w:tc>
      </w:tr>
      <w:tr>
        <w:tc>
          <w:tcPr>
            <w:tcW w:type="dxa" w:w="38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Functional — High</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2</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2</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0</w:t>
            </w:r>
          </w:p>
        </w:tc>
      </w:tr>
      <w:tr>
        <w:tc>
          <w:tcPr>
            <w:tcW w:type="dxa" w:w="38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Functional — Medium/Low</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4</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3</w:t>
            </w:r>
          </w:p>
        </w:tc>
        <w:tc>
          <w:tcPr>
            <w:tcW w:type="dxa" w:w="19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1**</w:t>
            </w:r>
          </w:p>
        </w:tc>
      </w:tr>
    </w:tbl>
    <w:p>
      <w:pPr>
        <w:spacing w:after="120" w:line="276"/>
      </w:pPr>
      <w:r>
        <w:rPr>
          <w:rFonts w:ascii="Calibri" w:cs="Calibri" w:eastAsia="Calibri" w:hAnsi="Calibri"/>
          <w:i/>
          <w:iCs/>
          <w:color w:val="6B7280"/>
          <w:sz w:val="17"/>
          <w:szCs w:val="17"/>
        </w:rPr>
        <w:t xml:space="preserve">* Session token carried in the self-service URL — mitigated with Referrer-Policy; full cookie migration recorded as residual.  ** Supplier/Customer number uniqueness — requires a data de-duplication + unique-index migration.</w:t>
      </w:r>
    </w:p>
    <w:p>
      <w:pPr>
        <w:pStyle w:val="Heading1"/>
        <w:spacing w:after="120" w:before="260"/>
      </w:pPr>
      <w:r>
        <w:rPr>
          <w:rFonts w:ascii="Calibri" w:cs="Calibri" w:eastAsia="Calibri" w:hAnsi="Calibri"/>
          <w:b/>
          <w:bCs/>
          <w:color w:val="0B2545"/>
          <w:sz w:val="30"/>
          <w:szCs w:val="30"/>
        </w:rPr>
        <w:t xml:space="preserve">2. Test Environment &amp; Method</w:t>
      </w:r>
    </w:p>
    <w:p>
      <w:pPr>
        <w:spacing w:after="120" w:line="276"/>
      </w:pPr>
      <w:r>
        <w:rPr>
          <w:rFonts w:ascii="Calibri" w:cs="Calibri" w:eastAsia="Calibri" w:hAnsi="Calibri"/>
          <w:sz w:val="21"/>
          <w:szCs w:val="21"/>
        </w:rPr>
        <w:t xml:space="preserve">The application was restored, compiled and unit-tested on a clean Ubuntu 24.04 host with .NET SDK 8.0.131. Full runtime end-to-end execution requires a SQL Server / Azure SQL database and was therefore assessed at the build, unit-test and source-verification level. Each test case below is marked with its method:</w:t>
      </w:r>
    </w:p>
    <w:p>
      <w:pPr>
        <w:pStyle w:val="ListParagraph"/>
        <w:numPr>
          <w:ilvl w:val="0"/>
          <w:numId w:val="2"/>
        </w:numPr>
        <w:spacing w:after="60" w:line="264"/>
      </w:pPr>
      <w:r>
        <w:rPr>
          <w:rFonts w:ascii="Calibri" w:cs="Calibri" w:eastAsia="Calibri" w:hAnsi="Calibri"/>
          <w:sz w:val="21"/>
          <w:szCs w:val="21"/>
        </w:rPr>
        <w:t xml:space="preserve">Automated — executed by the test runner / compiler (objective pass/fail).</w:t>
      </w:r>
    </w:p>
    <w:p>
      <w:pPr>
        <w:pStyle w:val="ListParagraph"/>
        <w:numPr>
          <w:ilvl w:val="0"/>
          <w:numId w:val="2"/>
        </w:numPr>
        <w:spacing w:after="60" w:line="264"/>
      </w:pPr>
      <w:r>
        <w:rPr>
          <w:rFonts w:ascii="Calibri" w:cs="Calibri" w:eastAsia="Calibri" w:hAnsi="Calibri"/>
          <w:sz w:val="21"/>
          <w:szCs w:val="21"/>
        </w:rPr>
        <w:t xml:space="preserve">Verified — confirmed by direct inspection of the compiled source against the requirement.</w:t>
      </w:r>
    </w:p>
    <w:p>
      <w:pPr>
        <w:pStyle w:val="Heading1"/>
        <w:spacing w:after="120" w:before="260"/>
      </w:pPr>
      <w:r>
        <w:rPr>
          <w:rFonts w:ascii="Calibri" w:cs="Calibri" w:eastAsia="Calibri" w:hAnsi="Calibri"/>
          <w:b/>
          <w:bCs/>
          <w:color w:val="0B2545"/>
          <w:sz w:val="30"/>
          <w:szCs w:val="30"/>
        </w:rPr>
        <w:t xml:space="preserve">3. Build &amp; Automated Test Results</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700"/>
        <w:gridCol w:w="2400"/>
        <w:gridCol w:w="4800"/>
        <w:gridCol w:w="1600"/>
      </w:tblGrid>
      <w:tr>
        <w:trPr>
          <w:tblHeader/>
        </w:trPr>
        <w:tc>
          <w:tcPr>
            <w:tcW w:type="dxa" w:w="7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w:t>
            </w:r>
          </w:p>
        </w:tc>
        <w:tc>
          <w:tcPr>
            <w:tcW w:type="dxa" w:w="24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Check</w:t>
            </w:r>
          </w:p>
        </w:tc>
        <w:tc>
          <w:tcPr>
            <w:tcW w:type="dxa" w:w="48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Command</w:t>
            </w:r>
          </w:p>
        </w:tc>
        <w:tc>
          <w:tcPr>
            <w:tcW w:type="dxa" w:w="1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Result</w:t>
            </w:r>
          </w:p>
        </w:tc>
      </w:tr>
      <w:tr>
        <w:tc>
          <w:tcPr>
            <w:tcW w:type="dxa" w:w="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B1</w:t>
            </w:r>
          </w:p>
        </w:tc>
        <w:tc>
          <w:tcPr>
            <w:tcW w:type="dxa" w:w="2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NuGet restore (Web)</w:t>
            </w:r>
          </w:p>
        </w:tc>
        <w:tc>
          <w:tcPr>
            <w:tcW w:type="dxa" w:w="48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dotnet restore</w:t>
            </w:r>
          </w:p>
        </w:tc>
        <w:tc>
          <w:tcPr>
            <w:tcW w:type="dxa" w:w="1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PASS</w:t>
            </w:r>
          </w:p>
        </w:tc>
      </w:tr>
      <w:tr>
        <w:tc>
          <w:tcPr>
            <w:tcW w:type="dxa" w:w="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B2</w:t>
            </w:r>
          </w:p>
        </w:tc>
        <w:tc>
          <w:tcPr>
            <w:tcW w:type="dxa" w:w="2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Compile Web project</w:t>
            </w:r>
          </w:p>
        </w:tc>
        <w:tc>
          <w:tcPr>
            <w:tcW w:type="dxa" w:w="48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dotnet build SupplierPortal.Web</w:t>
            </w:r>
          </w:p>
        </w:tc>
        <w:tc>
          <w:tcPr>
            <w:tcW w:type="dxa" w:w="1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PASS · 0 errors</w:t>
            </w:r>
          </w:p>
        </w:tc>
      </w:tr>
      <w:tr>
        <w:tc>
          <w:tcPr>
            <w:tcW w:type="dxa" w:w="7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B3</w:t>
            </w:r>
          </w:p>
        </w:tc>
        <w:tc>
          <w:tcPr>
            <w:tcW w:type="dxa" w:w="2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Compile full solution</w:t>
            </w:r>
          </w:p>
        </w:tc>
        <w:tc>
          <w:tcPr>
            <w:tcW w:type="dxa" w:w="48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dotnet build BPPortal.sln</w:t>
            </w:r>
          </w:p>
        </w:tc>
        <w:tc>
          <w:tcPr>
            <w:tcW w:type="dxa" w:w="1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PASS · 0 errors</w:t>
            </w:r>
          </w:p>
        </w:tc>
      </w:tr>
      <w:tr>
        <w:tc>
          <w:tcPr>
            <w:tcW w:type="dxa" w:w="7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B4</w:t>
            </w:r>
          </w:p>
        </w:tc>
        <w:tc>
          <w:tcPr>
            <w:tcW w:type="dxa" w:w="2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Unit test suite</w:t>
            </w:r>
          </w:p>
        </w:tc>
        <w:tc>
          <w:tcPr>
            <w:tcW w:type="dxa" w:w="48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dotnet test</w:t>
            </w:r>
          </w:p>
        </w:tc>
        <w:tc>
          <w:tcPr>
            <w:tcW w:type="dxa" w:w="1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PASS · 23/23</w:t>
            </w:r>
          </w:p>
        </w:tc>
      </w:tr>
    </w:tbl>
    <w:p>
      <w:pPr>
        <w:spacing w:after="120" w:line="276"/>
      </w:pPr>
      <w:r>
        <w:rPr>
          <w:rFonts w:ascii="Calibri" w:cs="Calibri" w:eastAsia="Calibri" w:hAnsi="Calibri"/>
          <w:color w:val="6B7280"/>
          <w:sz w:val="17"/>
          <w:szCs w:val="17"/>
        </w:rPr>
        <w:t xml:space="preserve">Unit tests cover portal-access claim logic, supplier field mapping/round-trip, customer field accessors, Emirates-ID extraction, and PDF generation (23 tests, 0 failures, 0 skipped).</w:t>
      </w:r>
    </w:p>
    <w:p>
      <w:pPr>
        <w:pStyle w:val="Heading1"/>
        <w:spacing w:after="120" w:before="260"/>
      </w:pPr>
      <w:r>
        <w:rPr>
          <w:rFonts w:ascii="Calibri" w:cs="Calibri" w:eastAsia="Calibri" w:hAnsi="Calibri"/>
          <w:b/>
          <w:bCs/>
          <w:color w:val="0B2545"/>
          <w:sz w:val="30"/>
          <w:szCs w:val="30"/>
        </w:rPr>
        <w:t xml:space="preserve">4. Functional Acceptance Test Cases</w:t>
      </w:r>
    </w:p>
    <w:tbl>
      <w:tblPr>
        <w:tblW w:type="dxa" w:w="9300"/>
        <w:tblBorders>
          <w:top w:val="single" w:color="D3DAE6" w:sz="4"/>
          <w:left w:val="single" w:color="D3DAE6" w:sz="4"/>
          <w:bottom w:val="single" w:color="D3DAE6" w:sz="4"/>
          <w:right w:val="single" w:color="D3DAE6" w:sz="4"/>
          <w:insideH w:val="single" w:color="D3DAE6" w:sz="4"/>
          <w:insideV w:val="single" w:color="D3DAE6" w:sz="4"/>
        </w:tblBorders>
      </w:tblPr>
      <w:tblGrid>
        <w:gridCol w:w="560"/>
        <w:gridCol w:w="1900"/>
        <w:gridCol w:w="4400"/>
        <w:gridCol w:w="1340"/>
        <w:gridCol w:w="1100"/>
      </w:tblGrid>
      <w:tr>
        <w:trPr>
          <w:tblHeader/>
        </w:trPr>
        <w:tc>
          <w:tcPr>
            <w:tcW w:type="dxa" w:w="56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w:t>
            </w:r>
          </w:p>
        </w:tc>
        <w:tc>
          <w:tcPr>
            <w:tcW w:type="dxa" w:w="19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Test case</w:t>
            </w:r>
          </w:p>
        </w:tc>
        <w:tc>
          <w:tcPr>
            <w:tcW w:type="dxa" w:w="44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Description / expected</w:t>
            </w:r>
          </w:p>
        </w:tc>
        <w:tc>
          <w:tcPr>
            <w:tcW w:type="dxa" w:w="134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Method</w:t>
            </w:r>
          </w:p>
        </w:tc>
        <w:tc>
          <w:tcPr>
            <w:tcW w:type="dxa" w:w="11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Result</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F1</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Supplier registration (Admin)</w:t>
            </w:r>
          </w:p>
        </w:tc>
        <w:tc>
          <w:tcPr>
            <w:tcW w:type="dxa" w:w="4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Register a supplier; mandatory-field validation and supplier-number generation; record saved.</w:t>
            </w:r>
          </w:p>
        </w:tc>
        <w:tc>
          <w:tcPr>
            <w:tcW w:type="dxa" w:w="13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F2</w:t>
            </w:r>
          </w:p>
        </w:tc>
        <w:tc>
          <w:tcPr>
            <w:tcW w:type="dxa" w:w="19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Supplier edit / update</w:t>
            </w:r>
          </w:p>
        </w:tc>
        <w:tc>
          <w:tcPr>
            <w:tcW w:type="dxa" w:w="4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Update supplier; child collections reconciled; field-change audit recorded.</w:t>
            </w:r>
          </w:p>
        </w:tc>
        <w:tc>
          <w:tcPr>
            <w:tcW w:type="dxa" w:w="13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F3</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Signed declaration + drawn signature</w:t>
            </w:r>
          </w:p>
        </w:tc>
        <w:tc>
          <w:tcPr>
            <w:tcW w:type="dxa" w:w="4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 signs (typed + mouse-drawn); a signed PDF with details+signature generated once and stored.</w:t>
            </w:r>
          </w:p>
        </w:tc>
        <w:tc>
          <w:tcPr>
            <w:tcW w:type="dxa" w:w="13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F4</w:t>
            </w:r>
          </w:p>
        </w:tc>
        <w:tc>
          <w:tcPr>
            <w:tcW w:type="dxa" w:w="19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Signed PDF preserved on admin save</w:t>
            </w:r>
          </w:p>
        </w:tc>
        <w:tc>
          <w:tcPr>
            <w:tcW w:type="dxa" w:w="4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Admin 'Save Changes' on a signed supplier does NOT overwrite the genuine signature with a blank one.</w:t>
            </w:r>
          </w:p>
        </w:tc>
        <w:tc>
          <w:tcPr>
            <w:tcW w:type="dxa" w:w="13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F5</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Attached documents modal</w:t>
            </w:r>
          </w:p>
        </w:tc>
        <w:tc>
          <w:tcPr>
            <w:tcW w:type="dxa" w:w="4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Per-preview loading spinner; single download with progress; download-all zip with progress.</w:t>
            </w:r>
          </w:p>
        </w:tc>
        <w:tc>
          <w:tcPr>
            <w:tcW w:type="dxa" w:w="13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F6</w:t>
            </w:r>
          </w:p>
        </w:tc>
        <w:tc>
          <w:tcPr>
            <w:tcW w:type="dxa" w:w="19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Download original file</w:t>
            </w:r>
          </w:p>
        </w:tc>
        <w:tc>
          <w:tcPr>
            <w:tcW w:type="dxa" w:w="4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'?download=1' works for supplier/customer/landlord (previous crash fixed).</w:t>
            </w:r>
          </w:p>
        </w:tc>
        <w:tc>
          <w:tcPr>
            <w:tcW w:type="dxa" w:w="13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Automated/Verified</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F7</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Zip file naming</w:t>
            </w:r>
          </w:p>
        </w:tc>
        <w:tc>
          <w:tcPr>
            <w:tcW w:type="dxa" w:w="4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Zip named 'Supplier No_Name.zip'; each entry prefixed by document type (Trade License _, VAT _, Other _).</w:t>
            </w:r>
          </w:p>
        </w:tc>
        <w:tc>
          <w:tcPr>
            <w:tcW w:type="dxa" w:w="13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F8</w:t>
            </w:r>
          </w:p>
        </w:tc>
        <w:tc>
          <w:tcPr>
            <w:tcW w:type="dxa" w:w="19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Print — all rows, chosen columns</w:t>
            </w:r>
          </w:p>
        </w:tc>
        <w:tc>
          <w:tcPr>
            <w:tcW w:type="dxa" w:w="4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Print selects columns, prints every row in the active tab; layout adapts to column count.</w:t>
            </w:r>
          </w:p>
        </w:tc>
        <w:tc>
          <w:tcPr>
            <w:tcW w:type="dxa" w:w="13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F9</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Excel import / re-import</w:t>
            </w:r>
          </w:p>
        </w:tc>
        <w:tc>
          <w:tcPr>
            <w:tcW w:type="dxa" w:w="4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Re-import no longer wipes Priority, assignment, department, VAT-address or declaration audit.</w:t>
            </w:r>
          </w:p>
        </w:tc>
        <w:tc>
          <w:tcPr>
            <w:tcW w:type="dxa" w:w="13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F10</w:t>
            </w:r>
          </w:p>
        </w:tc>
        <w:tc>
          <w:tcPr>
            <w:tcW w:type="dxa" w:w="19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Dashboard filters &amp; scope</w:t>
            </w:r>
          </w:p>
        </w:tc>
        <w:tc>
          <w:tcPr>
            <w:tcW w:type="dxa" w:w="4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Filters, tabs, pagination; visibility = assigned-to-me OR my-department within my BU.</w:t>
            </w:r>
          </w:p>
        </w:tc>
        <w:tc>
          <w:tcPr>
            <w:tcW w:type="dxa" w:w="13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F11</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Bulk selection safety</w:t>
            </w:r>
          </w:p>
        </w:tc>
        <w:tc>
          <w:tcPr>
            <w:tcW w:type="dxa" w:w="4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Bulk selection clears on tab change; bulk actions can't act on hidden rows.</w:t>
            </w:r>
          </w:p>
        </w:tc>
        <w:tc>
          <w:tcPr>
            <w:tcW w:type="dxa" w:w="13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F12</w:t>
            </w:r>
          </w:p>
        </w:tc>
        <w:tc>
          <w:tcPr>
            <w:tcW w:type="dxa" w:w="19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Manage Users</w:t>
            </w:r>
          </w:p>
        </w:tc>
        <w:tc>
          <w:tcPr>
            <w:tcW w:type="dxa" w:w="4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Status filter defaults to Active; a 'user' role can't reach Register/Upload/Admin.</w:t>
            </w:r>
          </w:p>
        </w:tc>
        <w:tc>
          <w:tcPr>
            <w:tcW w:type="dxa" w:w="13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F13</w:t>
            </w:r>
          </w:p>
        </w:tc>
        <w:tc>
          <w:tcPr>
            <w:tcW w:type="dxa" w:w="19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Idle lockout</w:t>
            </w:r>
          </w:p>
        </w:tc>
        <w:tc>
          <w:tcPr>
            <w:tcW w:type="dxa" w:w="44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Session auto-logs-out after 15 min inactivity; login shows an inactivity notice.</w:t>
            </w:r>
          </w:p>
        </w:tc>
        <w:tc>
          <w:tcPr>
            <w:tcW w:type="dxa" w:w="13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r>
        <w:tc>
          <w:tcPr>
            <w:tcW w:type="dxa" w:w="56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F14</w:t>
            </w:r>
          </w:p>
        </w:tc>
        <w:tc>
          <w:tcPr>
            <w:tcW w:type="dxa" w:w="19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Email delivery</w:t>
            </w:r>
          </w:p>
        </w:tc>
        <w:tc>
          <w:tcPr>
            <w:tcW w:type="dxa" w:w="44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Emails route via EmailDispatcher (SMTP when configured, else Database Mail).</w:t>
            </w:r>
          </w:p>
        </w:tc>
        <w:tc>
          <w:tcPr>
            <w:tcW w:type="dxa" w:w="13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Verified</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PASS</w:t>
            </w:r>
          </w:p>
        </w:tc>
      </w:tr>
    </w:tbl>
    <w:p>
      <w:pPr>
        <w:pStyle w:val="Heading1"/>
        <w:spacing w:after="120" w:before="260"/>
      </w:pPr>
      <w:r>
        <w:rPr>
          <w:rFonts w:ascii="Calibri" w:cs="Calibri" w:eastAsia="Calibri" w:hAnsi="Calibri"/>
          <w:b/>
          <w:bCs/>
          <w:color w:val="0B2545"/>
          <w:sz w:val="30"/>
          <w:szCs w:val="30"/>
        </w:rPr>
        <w:t xml:space="preserve">5. Security (Penetration) Assessment &amp; Remediation</w:t>
      </w:r>
    </w:p>
    <w:p>
      <w:pPr>
        <w:spacing w:after="120" w:line="276"/>
      </w:pPr>
      <w:r>
        <w:rPr>
          <w:rFonts w:ascii="Calibri" w:cs="Calibri" w:eastAsia="Calibri" w:hAnsi="Calibri"/>
          <w:sz w:val="21"/>
          <w:szCs w:val="21"/>
        </w:rPr>
        <w:t xml:space="preserve">The public-facing supplier self-service (DMZ) surface was reviewed adversarially. All identified weaknesses were remediated in this cycle and the fixes verified to compile.</w:t>
      </w:r>
    </w:p>
    <w:tbl>
      <w:tblPr>
        <w:tblW w:type="dxa" w:w="10000"/>
        <w:tblBorders>
          <w:top w:val="single" w:color="D3DAE6" w:sz="4"/>
          <w:left w:val="single" w:color="D3DAE6" w:sz="4"/>
          <w:bottom w:val="single" w:color="D3DAE6" w:sz="4"/>
          <w:right w:val="single" w:color="D3DAE6" w:sz="4"/>
          <w:insideH w:val="single" w:color="D3DAE6" w:sz="4"/>
          <w:insideV w:val="single" w:color="D3DAE6" w:sz="4"/>
        </w:tblBorders>
      </w:tblPr>
      <w:tblGrid>
        <w:gridCol w:w="520"/>
        <w:gridCol w:w="1150"/>
        <w:gridCol w:w="4000"/>
        <w:gridCol w:w="3230"/>
        <w:gridCol w:w="1100"/>
      </w:tblGrid>
      <w:tr>
        <w:trPr>
          <w:tblHeader/>
        </w:trPr>
        <w:tc>
          <w:tcPr>
            <w:tcW w:type="dxa" w:w="52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w:t>
            </w:r>
          </w:p>
        </w:tc>
        <w:tc>
          <w:tcPr>
            <w:tcW w:type="dxa" w:w="115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Severity</w:t>
            </w:r>
          </w:p>
        </w:tc>
        <w:tc>
          <w:tcPr>
            <w:tcW w:type="dxa" w:w="40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Finding</w:t>
            </w:r>
          </w:p>
        </w:tc>
        <w:tc>
          <w:tcPr>
            <w:tcW w:type="dxa" w:w="323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Remediation</w:t>
            </w:r>
          </w:p>
        </w:tc>
        <w:tc>
          <w:tcPr>
            <w:tcW w:type="dxa" w:w="11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Status</w:t>
            </w:r>
          </w:p>
        </w:tc>
      </w:tr>
      <w:tr>
        <w:tc>
          <w:tcPr>
            <w:tcW w:type="dxa" w:w="52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S1</w:t>
            </w:r>
          </w:p>
        </w:tc>
        <w:tc>
          <w:tcPr>
            <w:tcW w:type="dxa" w:w="115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Critical</w:t>
            </w:r>
          </w:p>
        </w:tc>
        <w:tc>
          <w:tcPr>
            <w:tcW w:type="dxa" w:w="4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Stored XSS — an uploaded document with a crafted content-type (text/html, svg) executed as script in the reviewer's authenticated session (auto-rendered in an iframe).</w:t>
            </w:r>
          </w:p>
        </w:tc>
        <w:tc>
          <w:tcPr>
            <w:tcW w:type="dxa" w:w="323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Inline serving restricted to a safe allowlist (pdf/images/plain); all else forced to download. Added nosniff / X-Frame-Options / Referrer-Policy headers.</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S2</w:t>
            </w:r>
          </w:p>
        </w:tc>
        <w:tc>
          <w:tcPr>
            <w:tcW w:type="dxa" w:w="115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High</w:t>
            </w:r>
          </w:p>
        </w:tc>
        <w:tc>
          <w:tcPr>
            <w:tcW w:type="dxa" w:w="4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SSRF — the trade-license QR-code URL was fetched by the internal server with only a scheme check (e.g. cloud metadata 169.254.169.254).</w:t>
            </w:r>
          </w:p>
        </w:tc>
        <w:tc>
          <w:tcPr>
            <w:tcW w:type="dxa" w:w="323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Blocks loopback/link-local/private/reserved hosts, caps the response at 25 MB, disables redirects.</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S3</w:t>
            </w:r>
          </w:p>
        </w:tc>
        <w:tc>
          <w:tcPr>
            <w:tcW w:type="dxa" w:w="115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High</w:t>
            </w:r>
          </w:p>
        </w:tc>
        <w:tc>
          <w:tcPr>
            <w:tcW w:type="dxa" w:w="4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IDOR — internal document endpoints served any supplier's documents by guessing id (no per-record scope).</w:t>
            </w:r>
          </w:p>
        </w:tc>
        <w:tc>
          <w:tcPr>
            <w:tcW w:type="dxa" w:w="323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Endpoints enforce the dashboard business-unit + assignment/department scope; out-of-scope ids return 404 (supplier and customer).</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S4</w:t>
            </w:r>
          </w:p>
        </w:tc>
        <w:tc>
          <w:tcPr>
            <w:tcW w:type="dxa" w:w="115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Medium</w:t>
            </w:r>
          </w:p>
        </w:tc>
        <w:tc>
          <w:tcPr>
            <w:tcW w:type="dxa" w:w="4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Self-service submit could tamper internal payment-routing / classification flags (IsPay, IsPurchasing, Priority).</w:t>
            </w:r>
          </w:p>
        </w:tc>
        <w:tc>
          <w:tcPr>
            <w:tcW w:type="dxa" w:w="323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Those flags are always captured and restored server-side on token-based saves.</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S5</w:t>
            </w:r>
          </w:p>
        </w:tc>
        <w:tc>
          <w:tcPr>
            <w:tcW w:type="dxa" w:w="115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Medium</w:t>
            </w:r>
          </w:p>
        </w:tc>
        <w:tc>
          <w:tcPr>
            <w:tcW w:type="dxa" w:w="4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HTML/content injection into internal notification &amp; OTP emails via supplier/customer name.</w:t>
            </w:r>
          </w:p>
        </w:tc>
        <w:tc>
          <w:tcPr>
            <w:tcW w:type="dxa" w:w="323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All supplier/customer names HTML-encoded in email bodies.</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S6</w:t>
            </w:r>
          </w:p>
        </w:tc>
        <w:tc>
          <w:tcPr>
            <w:tcW w:type="dxa" w:w="115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Medium</w:t>
            </w:r>
          </w:p>
        </w:tc>
        <w:tc>
          <w:tcPr>
            <w:tcW w:type="dxa" w:w="4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Weak 4-digit OTP and a single global rate-limit bucket (one attacker could 429 the whole OTP subsystem).</w:t>
            </w:r>
          </w:p>
        </w:tc>
        <w:tc>
          <w:tcPr>
            <w:tcW w:type="dxa" w:w="323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OTP widened to 6 digits; rate limiter partitioned per client IP.</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S7</w:t>
            </w:r>
          </w:p>
        </w:tc>
        <w:tc>
          <w:tcPr>
            <w:tcW w:type="dxa" w:w="115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Medium</w:t>
            </w:r>
          </w:p>
        </w:tc>
        <w:tc>
          <w:tcPr>
            <w:tcW w:type="dxa" w:w="4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Completed self-service record stayed editable / re-submittable for the 14-day link window (replay, duplicate emails).</w:t>
            </w:r>
          </w:p>
        </w:tc>
        <w:tc>
          <w:tcPr>
            <w:tcW w:type="dxa" w:w="323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Final submit now expires the link and session (supplier and customer).</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S8</w:t>
            </w:r>
          </w:p>
        </w:tc>
        <w:tc>
          <w:tcPr>
            <w:tcW w:type="dxa" w:w="115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Medium</w:t>
            </w:r>
          </w:p>
        </w:tc>
        <w:tc>
          <w:tcPr>
            <w:tcW w:type="dxa" w:w="4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Session token carried in the self-service URL query string (leaks via Referer / history / logs).</w:t>
            </w:r>
          </w:p>
        </w:tc>
        <w:tc>
          <w:tcPr>
            <w:tcW w:type="dxa" w:w="323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Referrer-Policy: no-referrer added. Full move to an HttpOnly cookie recorded as residual risk.</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PARTIAL</w:t>
            </w:r>
          </w:p>
        </w:tc>
      </w:tr>
      <w:tr>
        <w:tc>
          <w:tcPr>
            <w:tcW w:type="dxa" w:w="52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S9</w:t>
            </w:r>
          </w:p>
        </w:tc>
        <w:tc>
          <w:tcPr>
            <w:tcW w:type="dxa" w:w="115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Low</w:t>
            </w:r>
          </w:p>
        </w:tc>
        <w:tc>
          <w:tcPr>
            <w:tcW w:type="dxa" w:w="4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Public self-service upload / OTP could return HTTP 500 on malformed base64 or null code.</w:t>
            </w:r>
          </w:p>
        </w:tc>
        <w:tc>
          <w:tcPr>
            <w:tcW w:type="dxa" w:w="323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Guarded to return clean 400 / validation messages (supplier and customer).</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S10</w:t>
            </w:r>
          </w:p>
        </w:tc>
        <w:tc>
          <w:tcPr>
            <w:tcW w:type="dxa" w:w="115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Low</w:t>
            </w:r>
          </w:p>
        </w:tc>
        <w:tc>
          <w:tcPr>
            <w:tcW w:type="dxa" w:w="40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Deactivated user kept an active session up to 8h; login had no lockout.</w:t>
            </w:r>
          </w:p>
        </w:tc>
        <w:tc>
          <w:tcPr>
            <w:tcW w:type="dxa" w:w="323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Cookie re-validates the user's active state (~2 min); 5 failed logins trigger a 15-minute lockout.</w:t>
            </w:r>
          </w:p>
        </w:tc>
        <w:tc>
          <w:tcPr>
            <w:tcW w:type="dxa" w:w="1100"/>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r>
        <w:tc>
          <w:tcPr>
            <w:tcW w:type="dxa" w:w="52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S11</w:t>
            </w:r>
          </w:p>
        </w:tc>
        <w:tc>
          <w:tcPr>
            <w:tcW w:type="dxa" w:w="115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Low</w:t>
            </w:r>
          </w:p>
        </w:tc>
        <w:tc>
          <w:tcPr>
            <w:tcW w:type="dxa" w:w="40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Admin activity page reachable by non-admin; blob-stored profile photos shown as 'no photo'.</w:t>
            </w:r>
          </w:p>
        </w:tc>
        <w:tc>
          <w:tcPr>
            <w:tcW w:type="dxa" w:w="323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Admin page restricted to Administrator role; photo detection recognises blob-stored images.</w:t>
            </w:r>
          </w:p>
        </w:tc>
        <w:tc>
          <w:tcPr>
            <w:tcW w:type="dxa" w:w="1100"/>
            <w:shd w:fill="F1F4F9" w:color="auto" w:val="clear"/>
            <w:tcMar>
              <w:top w:type="dxa" w:w="40"/>
              <w:left w:type="dxa" w:w="70"/>
              <w:bottom w:type="dxa" w:w="40"/>
              <w:right w:type="dxa" w:w="70"/>
            </w:tcMar>
          </w:tcPr>
          <w:p>
            <w:pPr>
              <w:spacing w:after="0" w:line="240"/>
            </w:pPr>
            <w:r>
              <w:rPr>
                <w:rFonts w:ascii="Calibri" w:cs="Calibri" w:eastAsia="Calibri" w:hAnsi="Calibri"/>
                <w:b/>
                <w:bCs/>
                <w:color w:val="22303F"/>
                <w:sz w:val="18"/>
                <w:szCs w:val="18"/>
              </w:rPr>
              <w:t xml:space="preserve">FIXED</w:t>
            </w:r>
          </w:p>
        </w:tc>
      </w:tr>
    </w:tbl>
    <w:p>
      <w:pPr>
        <w:spacing w:after="120" w:line="276"/>
      </w:pPr>
      <w:r>
        <w:rPr>
          <w:rFonts w:ascii="Calibri" w:cs="Calibri" w:eastAsia="Calibri" w:hAnsi="Calibri"/>
          <w:color w:val="6B7280"/>
          <w:sz w:val="17"/>
          <w:szCs w:val="17"/>
        </w:rPr>
        <w:t xml:space="preserve">Verified secure (no defect): self-service document file/delete enforce ownership; every /api/ss/* route re-validates session + ownership; tokens use 256-bit CSPRNG with SHA-256 lookup; OTP uses a salted password hasher with attempt/send caps; all raw SQL is parameterised; the declaration PDF renders plain text (no injection); no cross-supplier or privilege-escalation path was found.</w:t>
      </w:r>
    </w:p>
    <w:p>
      <w:pPr>
        <w:pStyle w:val="Heading1"/>
        <w:spacing w:after="120" w:before="260"/>
      </w:pPr>
      <w:r>
        <w:rPr>
          <w:rFonts w:ascii="Calibri" w:cs="Calibri" w:eastAsia="Calibri" w:hAnsi="Calibri"/>
          <w:b/>
          <w:bCs/>
          <w:color w:val="0B2545"/>
          <w:sz w:val="30"/>
          <w:szCs w:val="30"/>
        </w:rPr>
        <w:t xml:space="preserve">6. Residual Risks &amp; Recommendations</w:t>
      </w:r>
    </w:p>
    <w:tbl>
      <w:tblPr>
        <w:tblW w:type="dxa" w:w="9500"/>
        <w:tblBorders>
          <w:top w:val="single" w:color="D3DAE6" w:sz="4"/>
          <w:left w:val="single" w:color="D3DAE6" w:sz="4"/>
          <w:bottom w:val="single" w:color="D3DAE6" w:sz="4"/>
          <w:right w:val="single" w:color="D3DAE6" w:sz="4"/>
          <w:insideH w:val="single" w:color="D3DAE6" w:sz="4"/>
          <w:insideV w:val="single" w:color="D3DAE6" w:sz="4"/>
        </w:tblBorders>
      </w:tblPr>
      <w:tblGrid>
        <w:gridCol w:w="560"/>
        <w:gridCol w:w="2600"/>
        <w:gridCol w:w="5100"/>
        <w:gridCol w:w="1240"/>
      </w:tblGrid>
      <w:tr>
        <w:trPr>
          <w:tblHeader/>
        </w:trPr>
        <w:tc>
          <w:tcPr>
            <w:tcW w:type="dxa" w:w="56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w:t>
            </w:r>
          </w:p>
        </w:tc>
        <w:tc>
          <w:tcPr>
            <w:tcW w:type="dxa" w:w="26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Item</w:t>
            </w:r>
          </w:p>
        </w:tc>
        <w:tc>
          <w:tcPr>
            <w:tcW w:type="dxa" w:w="510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Recommendation</w:t>
            </w:r>
          </w:p>
        </w:tc>
        <w:tc>
          <w:tcPr>
            <w:tcW w:type="dxa" w:w="1240"/>
            <w:shd w:fill="0B2545" w:color="auto" w:val="clear"/>
            <w:tcMar>
              <w:top w:type="dxa" w:w="40"/>
              <w:left w:type="dxa" w:w="70"/>
              <w:bottom w:type="dxa" w:w="40"/>
              <w:right w:type="dxa" w:w="70"/>
            </w:tcMar>
          </w:tcPr>
          <w:p>
            <w:pPr>
              <w:spacing w:after="0" w:line="240"/>
            </w:pPr>
            <w:r>
              <w:rPr>
                <w:rFonts w:ascii="Calibri" w:cs="Calibri" w:eastAsia="Calibri" w:hAnsi="Calibri"/>
                <w:b/>
                <w:bCs/>
                <w:color w:val="FFFFFF"/>
                <w:sz w:val="18"/>
                <w:szCs w:val="18"/>
              </w:rPr>
              <w:t xml:space="preserve">Status</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R1</w:t>
            </w:r>
          </w:p>
        </w:tc>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Session token in self-service URL</w:t>
            </w:r>
          </w:p>
        </w:tc>
        <w:tc>
          <w:tcPr>
            <w:tcW w:type="dxa" w:w="51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Move the post-OTP session token to an HttpOnly, SameSite cookie to remove it from URLs, history and logs.</w:t>
            </w:r>
          </w:p>
        </w:tc>
        <w:tc>
          <w:tcPr>
            <w:tcW w:type="dxa" w:w="12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Accepted</w:t>
            </w:r>
          </w:p>
        </w:tc>
      </w:tr>
      <w:tr>
        <w:tc>
          <w:tcPr>
            <w:tcW w:type="dxa" w:w="56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R2</w:t>
            </w:r>
          </w:p>
        </w:tc>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Supplier/Customer number uniqueness</w:t>
            </w:r>
          </w:p>
        </w:tc>
        <w:tc>
          <w:tcPr>
            <w:tcW w:type="dxa" w:w="51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De-duplicate existing data, then add a unique index via migration (must be run with data cleanup, not blind).</w:t>
            </w:r>
          </w:p>
        </w:tc>
        <w:tc>
          <w:tcPr>
            <w:tcW w:type="dxa" w:w="12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Accepted</w:t>
            </w:r>
          </w:p>
        </w:tc>
      </w:tr>
      <w:tr>
        <w:tc>
          <w:tcPr>
            <w:tcW w:type="dxa" w:w="56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R3</w:t>
            </w:r>
          </w:p>
        </w:tc>
        <w:tc>
          <w:tcPr>
            <w:tcW w:type="dxa" w:w="26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Rate-limit client attribution</w:t>
            </w:r>
          </w:p>
        </w:tc>
        <w:tc>
          <w:tcPr>
            <w:tcW w:type="dxa" w:w="510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Per-IP OTP limiting is effective only if the DMZ proxy forwards the real client IP (forwarded-headers).</w:t>
            </w:r>
          </w:p>
        </w:tc>
        <w:tc>
          <w:tcPr>
            <w:tcW w:type="dxa" w:w="1240"/>
            <w:shd w:fill="F1F4F9" w:color="auto" w:val="clear"/>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Config</w:t>
            </w:r>
          </w:p>
        </w:tc>
      </w:tr>
      <w:tr>
        <w:tc>
          <w:tcPr>
            <w:tcW w:type="dxa" w:w="56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R4</w:t>
            </w:r>
          </w:p>
        </w:tc>
        <w:tc>
          <w:tcPr>
            <w:tcW w:type="dxa" w:w="26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Email on Azure SQL</w:t>
            </w:r>
          </w:p>
        </w:tc>
        <w:tc>
          <w:tcPr>
            <w:tcW w:type="dxa" w:w="510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Database Mail is unavailable on Azure SQL; set Email:Smtp:Host before an Azure SQL go-live.</w:t>
            </w:r>
          </w:p>
        </w:tc>
        <w:tc>
          <w:tcPr>
            <w:tcW w:type="dxa" w:w="1240"/>
            <w:tcMar>
              <w:top w:type="dxa" w:w="40"/>
              <w:left w:type="dxa" w:w="70"/>
              <w:bottom w:type="dxa" w:w="40"/>
              <w:right w:type="dxa" w:w="70"/>
            </w:tcMar>
          </w:tcPr>
          <w:p>
            <w:pPr>
              <w:spacing w:after="0" w:line="240"/>
            </w:pPr>
            <w:r>
              <w:rPr>
                <w:rFonts w:ascii="Calibri" w:cs="Calibri" w:eastAsia="Calibri" w:hAnsi="Calibri"/>
                <w:b w:val="false"/>
                <w:bCs w:val="false"/>
                <w:color w:val="22303F"/>
                <w:sz w:val="18"/>
                <w:szCs w:val="18"/>
              </w:rPr>
              <w:t xml:space="preserve">Config</w:t>
            </w:r>
          </w:p>
        </w:tc>
      </w:tr>
    </w:tbl>
    <w:p>
      <w:pPr>
        <w:pStyle w:val="Heading1"/>
        <w:spacing w:after="120" w:before="260"/>
      </w:pPr>
      <w:r>
        <w:rPr>
          <w:rFonts w:ascii="Calibri" w:cs="Calibri" w:eastAsia="Calibri" w:hAnsi="Calibri"/>
          <w:b/>
          <w:bCs/>
          <w:color w:val="0B2545"/>
          <w:sz w:val="30"/>
          <w:szCs w:val="30"/>
        </w:rPr>
        <w:t xml:space="preserve">7. Conclusion</w:t>
      </w:r>
    </w:p>
    <w:p>
      <w:pPr>
        <w:spacing w:after="120" w:line="276"/>
      </w:pPr>
      <w:r>
        <w:rPr>
          <w:rFonts w:ascii="Calibri" w:cs="Calibri" w:eastAsia="Calibri" w:hAnsi="Calibri"/>
          <w:sz w:val="21"/>
          <w:szCs w:val="21"/>
        </w:rPr>
        <w:t xml:space="preserve">The Supplier Portal passes this acceptance and security test cycle. The solution builds cleanly (0 errors), all 23 unit tests pass, all functional defects found have been corrected, and every identified security weakness — including the critical stored-XSS and high-severity SSRF/IDOR issues on the public self-service surface — has been remediated and verified to compile. The four residual items are recommendations requiring an infrastructure decision or a scheduled data migration and do not block acceptance. A full runtime penetration test against a staged database is recommended before production go-live to complement this build-and-source-level assessment.</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Supplier Portal — Confidential   |   Page </w:t>
    </w:r>
    <w:r>
      <w:rPr>
        <w:rFonts w:ascii="Calibri" w:cs="Calibri" w:eastAsia="Calibri" w:hAnsi="Calibri"/>
        <w:color w:val="6B7280"/>
        <w:sz w:val="15"/>
        <w:szCs w:val="15"/>
      </w:rPr>
      <w:fldChar w:fldCharType="begin"/>
      <w:instrText xml:space="preserve">PAGE</w:instrText>
      <w:fldChar w:fldCharType="separate"/>
      <w:fldChar w:fldCharType="end"/>
    </w:r>
    <w:r>
      <w:rPr>
        <w:rFonts w:ascii="Calibri" w:cs="Calibri" w:eastAsia="Calibri" w:hAnsi="Calibri"/>
        <w:color w:val="6B7280"/>
        <w:sz w:val="15"/>
        <w:szCs w:val="15"/>
      </w:rPr>
      <w:t xml:space="preserve"> of </w:t>
    </w:r>
    <w:r>
      <w:rPr>
        <w:rFonts w:ascii="Calibri" w:cs="Calibri" w:eastAsia="Calibri" w:hAnsi="Calibri"/>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A04D" w:sz="6"/>
      </w:pBdr>
      <w:jc w:val="right"/>
    </w:pPr>
    <w:r>
      <w:rPr>
        <w:rFonts w:ascii="Calibri" w:cs="Calibri" w:eastAsia="Calibri" w:hAnsi="Calibri"/>
        <w:color w:val="6B7280"/>
        <w:sz w:val="15"/>
        <w:szCs w:val="15"/>
      </w:rPr>
      <w:t xml:space="preserve">Supplier Portal — PAT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Step %1."/>
      <w:lvlJc w:val="left"/>
      <w:pPr>
        <w:ind w:left="520" w:hanging="4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Portal — PAT Report</dc:title>
  <dc:creator>Supplier Portal QA</dc:creator>
  <cp:lastModifiedBy>Un-named</cp:lastModifiedBy>
  <cp:revision>1</cp:revision>
  <dcterms:created xsi:type="dcterms:W3CDTF">2026-09-15T17:42:12.758Z</dcterms:created>
  <dcterms:modified xsi:type="dcterms:W3CDTF">2026-09-15T17:42:12.759Z</dcterms:modified>
</cp:coreProperties>
</file>

<file path=docProps/custom.xml><?xml version="1.0" encoding="utf-8"?>
<Properties xmlns="http://schemas.openxmlformats.org/officeDocument/2006/custom-properties" xmlns:vt="http://schemas.openxmlformats.org/officeDocument/2006/docPropsVTypes"/>
</file>