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Security Hardening &amp; Controls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Security Hardening Checklist (for vulnerability / penetration review)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Applies to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SupplierPortal.Web (internal portal), SupplierPortal.SelfService (Partner Connect)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17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Purpose &amp; Scope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This document records the application-layer security controls implemented in the Supplier Portal solution and maps them to the OWASP Top 10 (2021), so a vulnerability scan or penetration test can be reviewed against a known baseline. It also lists the infrastructure-layer controls that are the operator's responsibility (WAF, TLS configuration, private networking) and the residual recommendations.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Two web applications are in scope: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Internal portal (SupplierPortal.Web) — the reviewer/admin application. Reached only over a private endpoint and gated by Entra single sign-on with deny-by-default authorization. Owns the database.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Partner Connect (SupplierPortal.SelfService) — the public-facing supplier self-service front-end. Holds no database. Every action is gated by a per-supplier secure link plus an emailed one-time passcode (OTP), and all data flows through the portal's OAuth-protected self-service API.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Trust boundaries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Supplier's browser ↔ Partner Connect: public HTTPS. No credentials; access is by secure link + OTP only. No database on this tier.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Partner Connect ↔ Portal self-service API: server-to-server over the private path. Authenticated with an OAuth2 client-credentials token (client_id + shared secret) and, per supplier, a short-lived session JWT bound to the link/OTP.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Reviewer's browser ↔ Internal portal: private endpoint + Entra SSO. Every page requires an authenticated, provisioned application user (deny-by-default).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Portal ↔ Azure SQL / Blob: private endpoints; secrets held as configuration, recommended in Key Vault.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HTTP security response headers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Both applications emit a hardened header set on every response. The public site adds a strict Content-Security-Policy and no-store caching for its sensitive per-supplier pages; the internal site uses a CSP subset that hardens without a default-src (Blazor Server renders inline component styles and a pre-paint inline script that a strict default-src would break).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600"/>
        <w:gridCol w:w="3300"/>
        <w:gridCol w:w="3600"/>
      </w:tblGrid>
      <w:tr>
        <w:trPr>
          <w:tblHeader/>
        </w:trPr>
        <w:tc>
          <w:tcPr>
            <w:tcW w:type="dxa" w:w="2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3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Value (summary)</w:t>
            </w:r>
          </w:p>
        </w:tc>
        <w:tc>
          <w:tcPr>
            <w:tcW w:type="dxa" w:w="3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max-age 1 year, includeSubDomains, preload (prod) — both the internal portal and Partner Connect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Force HTTPS; prevent SSL-strip.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Public: default-src 'self' + strict allowlist. Internal: frame-ancestors 'self'; object-src 'none'; base-uri 'self'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Mitigate XSS, clickjacking, base-tag &amp; object injection.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X-Content-Type-Options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nosniff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Stop MIME sniffing of uploaded files.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X-Frame-Options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Public: DENY; Internal: SAMEORIGIN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Clickjacking / UI-redress protection.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Referrer-Policy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no-referrer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Keep secure link / session URLs out of the Referer header.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Permissions-Policy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camera=(), microphone=(), geolocation=(), payment=(), usb=() …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Deny powerful browser features the apps never use.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Cross-Origin-Opener-Policy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same-origin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Isolate the browsing context (tab-nabbing / XS-Leaks).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Cross-Origin-Resource-Policy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same-origin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Prevent other origins embedding this app's resources.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X-Permitted-Cross-Domain-Policies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none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Deny legacy Flash/PDF cross-domain policies.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Cache-Control / Pragma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Public: no-store, no-cache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Sensitive supplier pages are never cached by proxies/browser.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Server / X-Powered-By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removed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No server implementation / version disclosure.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Authentication &amp; authorization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Internal portal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Entra ID single sign-on: OpenID Connect authorization-code flow with PKCE; no tokens kept on the front channel.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Public self-registration disabled by default (Auth:AllowSelfRegistration=false): the /account/register page is turned off and administrators create all accounts. This removed the vector that allowed automated scanners to create junk pending-registration / database rows during the VA/PT; any such junk pending registrations are cleaned up by administrators.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Deny-by-default: every [Authorize] page/endpoint requires an authenticated, provisioned application user (AppUser claim); per-portal policies (Supplier/Customer/Landlord/Broker) enforced server-side, not just hidden in the UI.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Live-session revocation: a deactivated user is signed out on the next request (throttled DB check), without waiting for cookie expiry.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Auth cookie: __Host- prefix, HttpOnly, Secure, SameSite=Lax, path '/'; Data-Protection keys persisted so cookies survive restarts (no silent mass logout).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Partner Connect / self-service API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Two-layer API auth: a client-credentials portal token (proves the caller is the trusted front-end) PLUS a per-supplier session JWT minted only after OTP, scoping every data call to one supplier.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Live re-validation: each data call re-checks the link/session against database state, so completing/expiring a record revokes access immediately even while a JWT is unexpired.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 compared in constant time; client secret and signing key supplied via configuration (recommended: Key Vault).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Break-glass emergency access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break-glass secret is administrator-set and rotated in-app and stored ONLY as a salted PBKDF2-SHA256 hash (~210,000 iterations) in a protected file — never in plaintext, and never in the database.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The feature has a master switch that is a deployment setting (BreakGlass:Enabled); access is role-gated via a claims transformation so only the intended role can use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Every set / rotate of the secret is audited.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Abuse &amp; brute-force protection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600"/>
        <w:gridCol w:w="3300"/>
        <w:gridCol w:w="3600"/>
      </w:tblGrid>
      <w:tr>
        <w:trPr>
          <w:tblHeader/>
        </w:trPr>
        <w:tc>
          <w:tcPr>
            <w:tcW w:type="dxa" w:w="2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Surface</w:t>
            </w:r>
          </w:p>
        </w:tc>
        <w:tc>
          <w:tcPr>
            <w:tcW w:type="dxa" w:w="3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Limit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/connect/token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Per-endpoint rate limiter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20 / minute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OTP request &amp; verify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Per-endpoint rate limiter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10 / minute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Document upload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Per-endpoint rate limiter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30 / minute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Global (per client IP)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Fixed-window backstop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240 / minute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Internal credential/OTP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Per-IP fixed window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5 / minute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OTP code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6-digit, hashed, expiry + attempt cap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Max attempts &amp; max sends enforced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OTP issuance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Idempotent: reuse a valid code; only explicit Resend issues a new one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Prevents mail flooding / cap burn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6. Input handling &amp; data protection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Anti-forgery (CSRF) enabled on both apps; anti-forgery/Data-Protection keys persisted to disk. The anti-forgery cookie is hardened with SecurePolicy=Always (sent only over HTTPS).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File uploads: size-capped (10 MB) and body-size-capped at the server; supplier uploads restricted to an allowlist of document types (the server-generated Signed Declaration cannot be overwritten by a supplier upload).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Stored documents served with a safe-inline allowlist (PDF/images/plain) — HTML/SVG are forced to download so a crafted content type can't execute script in the app origin.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Per-record access scope on document/export endpoints — IDs cannot be enumerated across business units.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Strict server-side input validation: e-mail format is validated on the account/registration and self-service e-mail fields; self-service TIN (10 digits) and TRN (15 digits) are digit-validated; validation runs at the DMZ boundary and never trusts the client.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License QR fetch (SSRF guard): outbound redirects disabled, response size capped.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EF Core parameterised queries throughout (no string-concatenated SQL); responses serialised with cycle-ignoring JSON.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Secrets: recommended in environment variables / Key Vault; committed appsettings values should be rotated and moved to Key Vault before go-live.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7. OWASP Top 10 (2021) mapping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2600"/>
        <w:gridCol w:w="3300"/>
        <w:gridCol w:w="3600"/>
      </w:tblGrid>
      <w:tr>
        <w:trPr>
          <w:tblHeader/>
        </w:trPr>
        <w:tc>
          <w:tcPr>
            <w:tcW w:type="dxa" w:w="2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3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Primary controls</w:t>
            </w:r>
          </w:p>
        </w:tc>
        <w:tc>
          <w:tcPr>
            <w:tcW w:type="dxa" w:w="3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A01 Broken Access Control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Deny-by-default authz, per-portal policies, per-record scope, two-layer API auth + live re-validation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A02 Cryptographic Failures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HTTPS/HSTS, hashed OTP &amp; tokens, constant-time compares, Data-Protection keys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A03 Injection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EF parameterised queries, output allowlists, nosniff, CSP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A04 Insecure Design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Link+OTP+session model, idempotent OTP, rate limiting, DMZ has no DB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A05 Security Misconfiguration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Hardened headers, HSTS, Secure anti-forgery cookies, no server/version disclosure, exception handler (no stack traces in prod)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A06 Vulnerable Components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Pinned .NET 8 packages; ImageSharp updated to a patched build; dependency scan advised in CI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 / ongoing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A07 Identification &amp; Authentication Failures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Entra SSO+PKCE, public self-registration disabled, break-glass secret stored hashed (PBKDF2-SHA256), session revocation, OTP attempt/send caps, rate limiting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A08 Integrity Failures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Signed-declaration upload cannot be forged; server-generated PDFs protected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  <w:tr>
        <w:tc>
          <w:tcPr>
            <w:tcW w:type="dxa" w:w="2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A09 Logging &amp; Monitoring</w:t>
            </w:r>
          </w:p>
        </w:tc>
        <w:tc>
          <w:tcPr>
            <w:tcW w:type="dxa" w:w="3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Auth + audit logging; App Service diagnostics; recommend central log/alerting</w:t>
            </w:r>
          </w:p>
        </w:tc>
        <w:tc>
          <w:tcPr>
            <w:tcW w:type="dxa" w:w="3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Partial — infra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A10 SSRF</w:t>
            </w:r>
          </w:p>
        </w:tc>
        <w:tc>
          <w:tcPr>
            <w:tcW w:type="dxa" w:w="3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QR fetch: no-redirect + size cap; no user-controlled outbound URLs elsewhere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Addressed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8. Infrastructure controls (operator responsibility)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These are configured in Azure, not in application code, and complete the hardening posture: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Web Application Firewall (Azure Front Door / Application Gateway WAF) in front of the public site — OWASP CRS ruleset and volumetric / L7 rate limiting (a Blazor Server circuit cannot be safely HTTP-rate-limited in-process).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WAF tuning for Blazor Server: the SignalR endpoints (/_blazor WebSocket and /_blazor/negotiate) can trigger WAF false-positives; the remediation is targeted WAF exclusions plus enabling Web Sockets — not disabling security.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TLS: set the App Service minimum TLS version to 1.2 (or 1.3); disable TLS 1.0/1.1 and weak ciphers; enable HTTPS-only.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Private endpoints for both web apps, Azure SQL and Blob; public SQL/Blob access restricted to fixed lines; forwarded-headers enabled so the real client IP reaches the rate limiter.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Secrets in Key Vault (SQL, Graph, SSO, storage, OCR, ApiSecurity signing key &amp; client secret); rotate any value that was ever committed or shared.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Certificate management + HSTS preload for the custom domains; backups and geo-redundancy per policy.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Central logging/alerting (Log Analytics / Application Insights) for authentication, audit and WAF events.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9. Residual recommendations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Secrets in appsettings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Move to Key Vault / App Settings and rotate the currently committed values before go-live.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WAF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Enable OWASP CRS + rate limiting in front of Partner Connect.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TLS hardening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Enforce TLS 1.2+; disable legacy protocols/ciphers.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Dependency scanning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Enable NuGet vulnerability audit in CI; ImageSharp already updated to a patched build.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Supplier-number uniqueness</w:t>
            </w:r>
          </w:p>
        </w:tc>
        <w:tc>
          <w:tcPr>
            <w:tcW w:type="dxa" w:w="63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 a database unique index after de-duplicating existing data (documented residual).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Pen-test retest</w:t>
            </w:r>
          </w:p>
        </w:tc>
        <w:tc>
          <w:tcPr>
            <w:tcW w:type="dxa" w:w="6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Re-scan after WAF + TLS + Key Vault changes are applied.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Security Hardening &amp; Controls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Security Hardening &amp; Controls</dc:title>
  <dc:creator>Supplier Portal QA</dc:creator>
  <cp:lastModifiedBy>Un-named</cp:lastModifiedBy>
  <cp:revision>1</cp:revision>
  <dcterms:created xsi:type="dcterms:W3CDTF">2026-09-17T15:40:51.362Z</dcterms:created>
  <dcterms:modified xsi:type="dcterms:W3CDTF">2026-09-17T15:40:51.362Z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