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Dubai Investments</w:t>
      </w:r>
    </w:p>
    <w:p>
      <w:pPr>
        <w:pBdr>
          <w:bottom w:val="single" w:color="CAA04D" w:sz="12"/>
        </w:pBd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2545"/>
          <w:sz w:val="52"/>
          <w:szCs w:val="52"/>
        </w:rPr>
        <w:t xml:space="preserve">Supplier Portal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Business Requirements Document (Updated)</w:t>
      </w:r>
    </w:p>
    <w:tbl>
      <w:tblPr>
        <w:tblW w:type="dxa" w:w="98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Document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Business Requirements Document (BRD) — Updated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Product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 Portal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Scope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 Portal only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Version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2.0 (updated)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Date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17 September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1.1 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defines the business requirements for the Supplier Portal — a Dubai Investments platform that digitises supplier onboarding and master-data maintenance. It is the updated baseline reflecting the current, implemented system including the public self-service (DMZ) capability, UAE e-invoicing data capture, and the security hardening completed during acceptance testing. It covers the Supplier Portal only.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1.2 Background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Supplier master data must be collected accurately and compliantly (including UAE e-invoicing / VAT attributes) and reviewed before it enters the ERP. The portal replaces manual spreadsheet collection with a controlled, auditable workflow, allowing internal staff to request data and suppliers to complete it themselves through a secure self-service link.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In scope: </w:t>
      </w:r>
      <w:r>
        <w:rPr>
          <w:rFonts w:ascii="Calibri" w:cs="Calibri" w:eastAsia="Calibri" w:hAnsi="Calibri"/>
        </w:rPr>
        <w:t xml:space="preserve">supplier onboarding and maintenance; public self-service data collection with OTP; document capture with OCR assistance; a signed declaration; review/approval workflow; role-based administration; Excel import/export; e-mail notifications; audit logging.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</w:rPr>
        <w:t xml:space="preserve">Out of scope: </w:t>
      </w:r>
      <w:r>
        <w:rPr>
          <w:rFonts w:ascii="Calibri" w:cs="Calibri" w:eastAsia="Calibri" w:hAnsi="Calibri"/>
        </w:rPr>
        <w:t xml:space="preserve">direct ERP posting/integration (data is exported for the ERP team); accounts payable / invoicing; procurement transactions.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2. Stakeholders &amp; Users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3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Administrator</w:t>
            </w:r>
          </w:p>
        </w:tc>
        <w:tc>
          <w:tcPr>
            <w:tcW w:type="dxa" w:w="7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Full access: manage users, business units, supplier field settings, lookups, and all supplier data; run break-glass.</w:t>
            </w:r>
          </w:p>
        </w:tc>
      </w:tr>
      <w:tr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Normal User (staff)</w:t>
            </w:r>
          </w:p>
        </w:tc>
        <w:tc>
          <w:tcPr>
            <w:tcW w:type="dxa" w:w="7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Business-unit-scoped access to the suppliers assigned to them or their department; request and review submissions.</w:t>
            </w:r>
          </w:p>
        </w:tc>
      </w:tr>
      <w:tr>
        <w:tc>
          <w:tcPr>
            <w:tcW w:type="dxa" w:w="2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 (external)</w:t>
            </w:r>
          </w:p>
        </w:tc>
        <w:tc>
          <w:tcPr>
            <w:tcW w:type="dxa" w:w="7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Completes their own data via a secure self-service link (no account); verifies by OTP; uploads documents; signs the declaration.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3. Business Objectives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Collect complete, accurate supplier master data, including UAE e-invoicing and VAT attributes, first time.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Let external parties self-serve securely, reducing manual re-keying and e-mail exchanges.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Enforce review and approval before data is accepted, with a full audit trail.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Scope data visibility by business unit and ownership; protect sensitive/locked fields.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Provide a compliant, signed declaration and a durable record of what each supplier attested to.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Operate safely on the public internet (DMZ) with strong authentication and no direct database exposure.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4. Functional Requirements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4.1 Supplier onboarding &amp; maintenance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Register a supplier (admin) capturing organisation, tax/VAT, trade licence, address, contacts, site/business-unit assignment, and payment/banking details across a multi-step form.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Configurable fields: each field's label, wizard step, order, mandatory flag and supplier-visibility are administrable; tabs can be shown/hidden.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Mandatory-field validation and e-mail format validation; supplier number generated per business unit.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Assign a supplier to a user and/or department; bulk-assign department; dashboard filters by business unit, status, priority, assignee and recency.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Trade Licence and VAT certificate upload with OCR-assisted extraction of TRN / licence number / DUNS and partners.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Workflow statuses: Not Submitted → Awaiting Supplier Response → For Review → Completed (or Rejected).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4.2 Self-service (public)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Staff send a branded self-service link; the supplier verifies with a one-time passcode (OTP) sent to the e-mail on file.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The supplier completes only the fields made visible to them; locked/hidden fields are protected server-side.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Document upload (trade licence, VAT certificate, bank confirmation letter, other).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declaration must be acknowledged and signed (typed name plus a hand-drawn signature) before submission; the system stores a signed declaration PDF with the supplier's documents.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Merged Address &amp; Contact tab in the supplier wizard; VAT-registered suppliers must provide a 15-digit TRN and upload a VAT Certificate; a structured VAT Group entity table captures each group entity with TRN (15-digit) and TIN (10-digit) length validation.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Where the VAT-certificate address differs from the trade licence, an alternate VAT-certificate address (Address Line 1, Country, City/Emirate) is captured; Trade Licence upload is mandatory; and a completion e-mail is sent to the supplier on submission.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On submission the record moves to review, the requestor is notified, and the link is invalidated to prevent re-submission.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4.3 Review, notifications &amp; audit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Reviewers see supplier-made changes highlighted for acknowledgement; confirmation is requested before sending notification e-mails.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All logos and communications are branded per business unit; every workflow action is audit-logged.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4.4 Import / export &amp; printing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Import suppliers from an Excel template (duplicates detected by supplier number; re-import preserves app-managed fields).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Export to the ERP/Oracle-Fusion Excel format and PDF; print any tab's full list with a chosen set of columns.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Download a supplier's documents individually or as a zip named by supplier number and name, with each file prefixed by its document type.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4.5 Notifications, scheduled reports &amp; emergency access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Notification Groups: administrators maintain named recipient lists (for example ALL_USERS) of portal users, each with an enable/disable (Active) flag; disabled groups are retained but excluded from notifications.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Scheduled Reports: administrators schedule a supplier report (PDF or Excel) to be e-mailed as a file attachment to the active members of an active notification group, on a chosen date/time and frequency (Once / Daily / Weekly / Monthly), with optional business-unit scope; a "Run now" action is supported and the last-run status is shown.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Break-Glass emergency access: administrators can set or rotate an emergency-access secret from Settings; it is stored only as a salted hash (never in plaintext or the database), and the master switch is a deployment setting.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4.6 Administration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Manage users (roles, business units, active status), business units (branding + contact e-mail), departments, supplier field settings, lookups, notification groups, scheduled reports, and the audit log.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5. Non-Functional Requirements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75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Security</w:t>
            </w:r>
          </w:p>
        </w:tc>
        <w:tc>
          <w:tcPr>
            <w:tcW w:type="dxa" w:w="7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Public self-registration is disabled by default (accounts are created by administrators); public self-service must not expose the database; strong OTP + token model; role/business-unit-scoped access; protected fields; break-glass emergency access secret stored only as a salted hash; document uploads cannot execute as script; SSRF-safe external fetches; security response headers; login lockout, idle lockout and active-session revocation.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Compliance</w:t>
            </w:r>
          </w:p>
        </w:tc>
        <w:tc>
          <w:tcPr>
            <w:tcW w:type="dxa" w:w="7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Capture UAE e-invoicing / VAT attributes; retain a signed declaration; full audit trail.</w:t>
            </w:r>
          </w:p>
        </w:tc>
      </w:tr>
      <w:tr>
        <w:tc>
          <w:tcPr>
            <w:tcW w:type="dxa" w:w="2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Integrations / e-mail</w:t>
            </w:r>
          </w:p>
        </w:tc>
        <w:tc>
          <w:tcPr>
            <w:tcW w:type="dxa" w:w="7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Outbound e-mail, including scheduled-report file attachments, is sent via Microsoft Graph or SMTP.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Availability / resilience</w:t>
            </w:r>
          </w:p>
        </w:tc>
        <w:tc>
          <w:tcPr>
            <w:tcW w:type="dxa" w:w="7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Retry Azure SQL transient faults; best-effort integrations (OCR, e-mail) never block a save; blob storage falls back to DB/disk.</w:t>
            </w:r>
          </w:p>
        </w:tc>
      </w:tr>
      <w:tr>
        <w:tc>
          <w:tcPr>
            <w:tcW w:type="dxa" w:w="2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7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Reference data cached; short-lived DB contexts; paginated lists.</w:t>
            </w:r>
          </w:p>
        </w:tc>
      </w:tr>
      <w:tr>
        <w:tc>
          <w:tcPr>
            <w:tcW w:type="dxa" w:w="2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Usability</w:t>
            </w:r>
          </w:p>
        </w:tc>
        <w:tc>
          <w:tcPr>
            <w:tcW w:type="dxa" w:w="7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Guided multi-step forms; per-field help; progress indicators on long operations; branded, accessible UI in light/dark.</w:t>
            </w:r>
          </w:p>
        </w:tc>
      </w:tr>
      <w:tr>
        <w:tc>
          <w:tcPr>
            <w:tcW w:type="dxa" w:w="2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7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Runs on-premises (SQL Server) or on Azure (Azure SQL, Blob, Entra, SMTP).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6. Assumptions &amp;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External parties access only their own record via a time-limited link and OTP; no external user accounts are created.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On Azure SQL, e-mail must be sent via SMTP (Database Mail is unavailable).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Supplier numbers should be unique; a data-cleanup and unique-index migration is recommended before high-volume concurrent registration.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ERP posting is handled downstream from the exported data.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7. Acceptance Criteria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All functional requirements above are demonstrable; the solution builds cleanly and unit tests pass.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Security controls verified (see the PAT Report): no critical/high findings outstanding on the public self-service surface.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 supplier can be requested, complete and sign their data by self-service, and be reviewed and completed by staff, with the signed declaration retained.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Confidential   | 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04D" w:sz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Updated BRD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Portal — Updated BRD</dc:title>
  <dc:creator>Supplier Portal QA</dc:creator>
  <cp:lastModifiedBy>Un-named</cp:lastModifiedBy>
  <cp:revision>1</cp:revision>
  <dcterms:created xsi:type="dcterms:W3CDTF">2026-09-17T15:39:00.851Z</dcterms:created>
  <dcterms:modified xsi:type="dcterms:W3CDTF">2026-09-17T15:39:00.851Z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