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Dubai Investments</w:t>
      </w:r>
    </w:p>
    <w:p>
      <w:pPr>
        <w:pBdr>
          <w:bottom w:val="single" w:color="CAA04D" w:sz="12"/>
        </w:pBdr>
        <w:spacing w:after="12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B2545"/>
          <w:sz w:val="52"/>
          <w:szCs w:val="52"/>
        </w:rPr>
        <w:t xml:space="preserve">Supplier Portal</w:t>
      </w:r>
    </w:p>
    <w:p>
      <w:pPr>
        <w:spacing w:after="40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Security Hardening &amp; Controls</w:t>
      </w:r>
    </w:p>
    <w:tbl>
      <w:tblPr>
        <w:tblW w:type="dxa" w:w="9800"/>
        <w:tblBorders>
          <w:top w:val="single" w:color="D3DAE6" w:sz="4"/>
          <w:left w:val="single" w:color="D3DAE6" w:sz="4"/>
          <w:bottom w:val="single" w:color="D3DAE6" w:sz="4"/>
          <w:right w:val="single" w:color="D3DAE6" w:sz="4"/>
          <w:insideH w:val="single" w:color="D3DAE6" w:sz="4"/>
          <w:insideV w:val="single" w:color="D3DAE6" w:sz="4"/>
        </w:tblBorders>
      </w:tblPr>
      <w:tblGrid>
        <w:gridCol w:w="3200"/>
        <w:gridCol w:w="6600"/>
      </w:tblGrid>
      <w:tr>
        <w:trPr>
          <w:tblHeader/>
        </w:trPr>
        <w:tc>
          <w:tcPr>
            <w:tcW w:type="dxa" w:w="32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6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2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2303F"/>
                <w:sz w:val="18"/>
                <w:szCs w:val="18"/>
              </w:rPr>
              <w:t xml:space="preserve">Document</w:t>
            </w:r>
          </w:p>
        </w:tc>
        <w:tc>
          <w:tcPr>
            <w:tcW w:type="dxa" w:w="66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Security Hardening Checklist (for vulnerability / penetration review)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2303F"/>
                <w:sz w:val="18"/>
                <w:szCs w:val="18"/>
              </w:rPr>
              <w:t xml:space="preserve">Applies to</w:t>
            </w:r>
          </w:p>
        </w:tc>
        <w:tc>
          <w:tcPr>
            <w:tcW w:type="dxa" w:w="6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SupplierPortal.Web (internal portal), SupplierPortal.SelfService (Partner Connect)</w:t>
            </w:r>
          </w:p>
        </w:tc>
      </w:tr>
      <w:tr>
        <w:tc>
          <w:tcPr>
            <w:tcW w:type="dxa" w:w="32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2303F"/>
                <w:sz w:val="18"/>
                <w:szCs w:val="18"/>
              </w:rPr>
              <w:t xml:space="preserve">Version</w:t>
            </w:r>
          </w:p>
        </w:tc>
        <w:tc>
          <w:tcPr>
            <w:tcW w:type="dxa" w:w="66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2303F"/>
                <w:sz w:val="18"/>
                <w:szCs w:val="18"/>
              </w:rPr>
              <w:t xml:space="preserve">Date</w:t>
            </w:r>
          </w:p>
        </w:tc>
        <w:tc>
          <w:tcPr>
            <w:tcW w:type="dxa" w:w="6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16 September 2026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1. Purpose &amp; Scope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This document records the application-layer security controls implemented in the Supplier Portal solution and maps them to the OWASP Top 10 (2021), so a vulnerability scan or penetration test can be reviewed against a known baseline. It also lists the infrastructure-layer controls that are the operator's responsibility (WAF, TLS configuration, private networking) and the residual recommendations.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Two web applications are in scope: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Internal portal (SupplierPortal.Web) — the reviewer/admin application. Reached only over a private endpoint and gated by Entra single sign-on with deny-by-default authorization. Owns the database.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Partner Connect (SupplierPortal.SelfService) — the public-facing supplier self-service front-end. Holds no database. Every action is gated by a per-supplier secure link plus an emailed one-time passcode (OTP), and all data flows through the portal's OAuth-protected self-service API.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2. Trust boundaries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Supplier's browser ↔ Partner Connect: public HTTPS. No credentials; access is by secure link + OTP only. No database on this tier.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Partner Connect ↔ Portal self-service API: server-to-server over the private path. Authenticated with an OAuth2 client-credentials token (client_id + shared secret) and, per supplier, a short-lived session JWT bound to the link/OTP.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Reviewer's browser ↔ Internal portal: private endpoint + Entra SSO. Every page requires an authenticated, provisioned application user (deny-by-default).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Portal ↔ Azure SQL / Blob: private endpoints; secrets held as configuration, recommended in Key Vault.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3. HTTP security response headers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Both applications emit a hardened header set on every response. The public site adds a strict Content-Security-Policy and no-store caching for its sensitive per-supplier pages; the internal site uses a CSP subset that hardens without a default-src (Blazor Server renders inline component styles and a pre-paint inline script that a strict default-src would break).</w:t>
      </w:r>
    </w:p>
    <w:tbl>
      <w:tblPr>
        <w:tblW w:type="dxa" w:w="9500"/>
        <w:tblBorders>
          <w:top w:val="single" w:color="D3DAE6" w:sz="4"/>
          <w:left w:val="single" w:color="D3DAE6" w:sz="4"/>
          <w:bottom w:val="single" w:color="D3DAE6" w:sz="4"/>
          <w:right w:val="single" w:color="D3DAE6" w:sz="4"/>
          <w:insideH w:val="single" w:color="D3DAE6" w:sz="4"/>
          <w:insideV w:val="single" w:color="D3DAE6" w:sz="4"/>
        </w:tblBorders>
      </w:tblPr>
      <w:tblGrid>
        <w:gridCol w:w="2600"/>
        <w:gridCol w:w="3300"/>
        <w:gridCol w:w="3600"/>
      </w:tblGrid>
      <w:tr>
        <w:trPr>
          <w:tblHeader/>
        </w:trPr>
        <w:tc>
          <w:tcPr>
            <w:tcW w:type="dxa" w:w="26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Header</w:t>
            </w:r>
          </w:p>
        </w:tc>
        <w:tc>
          <w:tcPr>
            <w:tcW w:type="dxa" w:w="33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 (summary)</w:t>
            </w:r>
          </w:p>
        </w:tc>
        <w:tc>
          <w:tcPr>
            <w:tcW w:type="dxa" w:w="36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6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Strict-Transport-Security</w:t>
            </w:r>
          </w:p>
        </w:tc>
        <w:tc>
          <w:tcPr>
            <w:tcW w:type="dxa" w:w="33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max-age (HSTS), prod only</w:t>
            </w:r>
          </w:p>
        </w:tc>
        <w:tc>
          <w:tcPr>
            <w:tcW w:type="dxa" w:w="36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Force HTTPS; prevent SSL-strip.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Content-Security-Policy</w:t>
            </w:r>
          </w:p>
        </w:tc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Public: default-src 'self' + strict allowlist. Internal: frame-ancestors 'self'; object-src 'none'; base-uri 'self'</w:t>
            </w:r>
          </w:p>
        </w:tc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Mitigate XSS, clickjacking, base-tag &amp; object injection.</w:t>
            </w:r>
          </w:p>
        </w:tc>
      </w:tr>
      <w:tr>
        <w:tc>
          <w:tcPr>
            <w:tcW w:type="dxa" w:w="26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X-Content-Type-Options</w:t>
            </w:r>
          </w:p>
        </w:tc>
        <w:tc>
          <w:tcPr>
            <w:tcW w:type="dxa" w:w="33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nosniff</w:t>
            </w:r>
          </w:p>
        </w:tc>
        <w:tc>
          <w:tcPr>
            <w:tcW w:type="dxa" w:w="36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Stop MIME sniffing of uploaded files.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X-Frame-Options</w:t>
            </w:r>
          </w:p>
        </w:tc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Public: DENY; Internal: SAMEORIGIN</w:t>
            </w:r>
          </w:p>
        </w:tc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Clickjacking / UI-redress protection.</w:t>
            </w:r>
          </w:p>
        </w:tc>
      </w:tr>
      <w:tr>
        <w:tc>
          <w:tcPr>
            <w:tcW w:type="dxa" w:w="26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Referrer-Policy</w:t>
            </w:r>
          </w:p>
        </w:tc>
        <w:tc>
          <w:tcPr>
            <w:tcW w:type="dxa" w:w="33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no-referrer</w:t>
            </w:r>
          </w:p>
        </w:tc>
        <w:tc>
          <w:tcPr>
            <w:tcW w:type="dxa" w:w="36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Keep secure link / session URLs out of the Referer header.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Permissions-Policy</w:t>
            </w:r>
          </w:p>
        </w:tc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camera=(), microphone=(), geolocation=(), payment=(), usb=() …</w:t>
            </w:r>
          </w:p>
        </w:tc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Deny powerful browser features the apps never use.</w:t>
            </w:r>
          </w:p>
        </w:tc>
      </w:tr>
      <w:tr>
        <w:tc>
          <w:tcPr>
            <w:tcW w:type="dxa" w:w="26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Cross-Origin-Opener-Policy</w:t>
            </w:r>
          </w:p>
        </w:tc>
        <w:tc>
          <w:tcPr>
            <w:tcW w:type="dxa" w:w="33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same-origin</w:t>
            </w:r>
          </w:p>
        </w:tc>
        <w:tc>
          <w:tcPr>
            <w:tcW w:type="dxa" w:w="36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Isolate the browsing context (tab-nabbing / XS-Leaks).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Cross-Origin-Resource-Policy</w:t>
            </w:r>
          </w:p>
        </w:tc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same-origin</w:t>
            </w:r>
          </w:p>
        </w:tc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Prevent other origins embedding this app's resources.</w:t>
            </w:r>
          </w:p>
        </w:tc>
      </w:tr>
      <w:tr>
        <w:tc>
          <w:tcPr>
            <w:tcW w:type="dxa" w:w="26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X-Permitted-Cross-Domain-Policies</w:t>
            </w:r>
          </w:p>
        </w:tc>
        <w:tc>
          <w:tcPr>
            <w:tcW w:type="dxa" w:w="33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none</w:t>
            </w:r>
          </w:p>
        </w:tc>
        <w:tc>
          <w:tcPr>
            <w:tcW w:type="dxa" w:w="36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Deny legacy Flash/PDF cross-domain policies.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Cache-Control / Pragma</w:t>
            </w:r>
          </w:p>
        </w:tc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Public: no-store, no-cache</w:t>
            </w:r>
          </w:p>
        </w:tc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Sensitive supplier pages are never cached by proxies/browser.</w:t>
            </w:r>
          </w:p>
        </w:tc>
      </w:tr>
      <w:tr>
        <w:tc>
          <w:tcPr>
            <w:tcW w:type="dxa" w:w="26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Server / X-Powered-By</w:t>
            </w:r>
          </w:p>
        </w:tc>
        <w:tc>
          <w:tcPr>
            <w:tcW w:type="dxa" w:w="33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removed</w:t>
            </w:r>
          </w:p>
        </w:tc>
        <w:tc>
          <w:tcPr>
            <w:tcW w:type="dxa" w:w="36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No server implementation / version disclosure.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4. Authentication &amp; authorization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74A7D"/>
          <w:sz w:val="25"/>
          <w:szCs w:val="25"/>
        </w:rPr>
        <w:t xml:space="preserve">Internal portal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Entra ID single sign-on: OpenID Connect authorization-code flow with PKCE; no tokens kept on the front channel.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Deny-by-default: every [Authorize] page/endpoint requires an authenticated, provisioned application user (AppUser claim); per-portal policies (Supplier/Customer/Landlord/Broker) enforced server-side, not just hidden in the UI.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Live-session revocation: a deactivated user is signed out on the next request (throttled DB check), without waiting for cookie expiry.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Auth cookie: __Host- prefix, HttpOnly, Secure, SameSite=Lax, path '/'; Data-Protection keys persisted so cookies survive restarts (no silent mass logout).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74A7D"/>
          <w:sz w:val="25"/>
          <w:szCs w:val="25"/>
        </w:rPr>
        <w:t xml:space="preserve">Partner Connect / self-service API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Two-layer API auth: a client-credentials portal token (proves the caller is the trusted front-end) PLUS a per-supplier session JWT minted only after OTP, scoping every data call to one supplier.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Live re-validation: each data call re-checks the link/session against database state, so completing/expiring a record revokes access immediately even while a JWT is unexpired.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Secrets compared in constant time; client secret and signing key supplied via configuration (recommended: Key Vault).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5. Abuse &amp; brute-force protection</w:t>
      </w:r>
    </w:p>
    <w:tbl>
      <w:tblPr>
        <w:tblW w:type="dxa" w:w="9500"/>
        <w:tblBorders>
          <w:top w:val="single" w:color="D3DAE6" w:sz="4"/>
          <w:left w:val="single" w:color="D3DAE6" w:sz="4"/>
          <w:bottom w:val="single" w:color="D3DAE6" w:sz="4"/>
          <w:right w:val="single" w:color="D3DAE6" w:sz="4"/>
          <w:insideH w:val="single" w:color="D3DAE6" w:sz="4"/>
          <w:insideV w:val="single" w:color="D3DAE6" w:sz="4"/>
        </w:tblBorders>
      </w:tblPr>
      <w:tblGrid>
        <w:gridCol w:w="2600"/>
        <w:gridCol w:w="3300"/>
        <w:gridCol w:w="3600"/>
      </w:tblGrid>
      <w:tr>
        <w:trPr>
          <w:tblHeader/>
        </w:trPr>
        <w:tc>
          <w:tcPr>
            <w:tcW w:type="dxa" w:w="26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Surface</w:t>
            </w:r>
          </w:p>
        </w:tc>
        <w:tc>
          <w:tcPr>
            <w:tcW w:type="dxa" w:w="33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36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Limit</w:t>
            </w:r>
          </w:p>
        </w:tc>
      </w:tr>
      <w:tr>
        <w:tc>
          <w:tcPr>
            <w:tcW w:type="dxa" w:w="26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/connect/token</w:t>
            </w:r>
          </w:p>
        </w:tc>
        <w:tc>
          <w:tcPr>
            <w:tcW w:type="dxa" w:w="33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Per-endpoint rate limiter</w:t>
            </w:r>
          </w:p>
        </w:tc>
        <w:tc>
          <w:tcPr>
            <w:tcW w:type="dxa" w:w="36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20 / minute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OTP request &amp; verify</w:t>
            </w:r>
          </w:p>
        </w:tc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Per-endpoint rate limiter</w:t>
            </w:r>
          </w:p>
        </w:tc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10 / minute</w:t>
            </w:r>
          </w:p>
        </w:tc>
      </w:tr>
      <w:tr>
        <w:tc>
          <w:tcPr>
            <w:tcW w:type="dxa" w:w="26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Document upload</w:t>
            </w:r>
          </w:p>
        </w:tc>
        <w:tc>
          <w:tcPr>
            <w:tcW w:type="dxa" w:w="33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Per-endpoint rate limiter</w:t>
            </w:r>
          </w:p>
        </w:tc>
        <w:tc>
          <w:tcPr>
            <w:tcW w:type="dxa" w:w="36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30 / minute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Global (per client IP)</w:t>
            </w:r>
          </w:p>
        </w:tc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Fixed-window backstop</w:t>
            </w:r>
          </w:p>
        </w:tc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240 / minute</w:t>
            </w:r>
          </w:p>
        </w:tc>
      </w:tr>
      <w:tr>
        <w:tc>
          <w:tcPr>
            <w:tcW w:type="dxa" w:w="26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Internal credential/OTP</w:t>
            </w:r>
          </w:p>
        </w:tc>
        <w:tc>
          <w:tcPr>
            <w:tcW w:type="dxa" w:w="33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Per-IP fixed window</w:t>
            </w:r>
          </w:p>
        </w:tc>
        <w:tc>
          <w:tcPr>
            <w:tcW w:type="dxa" w:w="36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5 / minute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OTP code</w:t>
            </w:r>
          </w:p>
        </w:tc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6-digit, hashed, expiry + attempt cap</w:t>
            </w:r>
          </w:p>
        </w:tc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Max attempts &amp; max sends enforced</w:t>
            </w:r>
          </w:p>
        </w:tc>
      </w:tr>
      <w:tr>
        <w:tc>
          <w:tcPr>
            <w:tcW w:type="dxa" w:w="26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OTP issuance</w:t>
            </w:r>
          </w:p>
        </w:tc>
        <w:tc>
          <w:tcPr>
            <w:tcW w:type="dxa" w:w="33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Idempotent: reuse a valid code; only explicit Resend issues a new one</w:t>
            </w:r>
          </w:p>
        </w:tc>
        <w:tc>
          <w:tcPr>
            <w:tcW w:type="dxa" w:w="36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Prevents mail flooding / cap burn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6. Input handling &amp; data protection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Anti-forgery (CSRF) enabled on both apps; anti-forgery/Data-Protection keys persisted to disk.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File uploads: size-capped (10 MB) and body-size-capped at the server; supplier uploads restricted to an allowlist of document types (the server-generated Signed Declaration cannot be overwritten by a supplier upload).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Stored documents served with a safe-inline allowlist (PDF/images/plain) — HTML/SVG are forced to download so a crafted content type can't execute script in the app origin.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Per-record access scope on document/export endpoints — IDs cannot be enumerated across business units.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Server-side email-format validation at the DMZ boundary (never trusts the client).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License QR fetch (SSRF guard): outbound redirects disabled, response size capped.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EF Core parameterised queries throughout (no string-concatenated SQL); responses serialised with cycle-ignoring JSON.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Secrets: recommended in environment variables / Key Vault; committed appsettings values should be rotated and moved to Key Vault before go-live.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7. OWASP Top 10 (2021) mapping</w:t>
      </w:r>
    </w:p>
    <w:tbl>
      <w:tblPr>
        <w:tblW w:type="dxa" w:w="9500"/>
        <w:tblBorders>
          <w:top w:val="single" w:color="D3DAE6" w:sz="4"/>
          <w:left w:val="single" w:color="D3DAE6" w:sz="4"/>
          <w:bottom w:val="single" w:color="D3DAE6" w:sz="4"/>
          <w:right w:val="single" w:color="D3DAE6" w:sz="4"/>
          <w:insideH w:val="single" w:color="D3DAE6" w:sz="4"/>
          <w:insideV w:val="single" w:color="D3DAE6" w:sz="4"/>
        </w:tblBorders>
      </w:tblPr>
      <w:tblGrid>
        <w:gridCol w:w="2600"/>
        <w:gridCol w:w="3300"/>
        <w:gridCol w:w="3600"/>
      </w:tblGrid>
      <w:tr>
        <w:trPr>
          <w:tblHeader/>
        </w:trPr>
        <w:tc>
          <w:tcPr>
            <w:tcW w:type="dxa" w:w="26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3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Primary controls</w:t>
            </w:r>
          </w:p>
        </w:tc>
        <w:tc>
          <w:tcPr>
            <w:tcW w:type="dxa" w:w="36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A01 Broken Access Control</w:t>
            </w:r>
          </w:p>
        </w:tc>
        <w:tc>
          <w:tcPr>
            <w:tcW w:type="dxa" w:w="33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Deny-by-default authz, per-portal policies, per-record scope, two-layer API auth + live re-validation</w:t>
            </w:r>
          </w:p>
        </w:tc>
        <w:tc>
          <w:tcPr>
            <w:tcW w:type="dxa" w:w="36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Addressed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A02 Cryptographic Failures</w:t>
            </w:r>
          </w:p>
        </w:tc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HTTPS/HSTS, hashed OTP &amp; tokens, constant-time compares, Data-Protection keys</w:t>
            </w:r>
          </w:p>
        </w:tc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Addressed</w:t>
            </w:r>
          </w:p>
        </w:tc>
      </w:tr>
      <w:tr>
        <w:tc>
          <w:tcPr>
            <w:tcW w:type="dxa" w:w="26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A03 Injection</w:t>
            </w:r>
          </w:p>
        </w:tc>
        <w:tc>
          <w:tcPr>
            <w:tcW w:type="dxa" w:w="33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EF parameterised queries, output allowlists, nosniff, CSP</w:t>
            </w:r>
          </w:p>
        </w:tc>
        <w:tc>
          <w:tcPr>
            <w:tcW w:type="dxa" w:w="36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Addressed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A04 Insecure Design</w:t>
            </w:r>
          </w:p>
        </w:tc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Link+OTP+session model, idempotent OTP, rate limiting, DMZ has no DB</w:t>
            </w:r>
          </w:p>
        </w:tc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Addressed</w:t>
            </w:r>
          </w:p>
        </w:tc>
      </w:tr>
      <w:tr>
        <w:tc>
          <w:tcPr>
            <w:tcW w:type="dxa" w:w="26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A05 Security Misconfiguration</w:t>
            </w:r>
          </w:p>
        </w:tc>
        <w:tc>
          <w:tcPr>
            <w:tcW w:type="dxa" w:w="33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Hardened headers, no server/version disclosure, exception handler (no stack traces in prod)</w:t>
            </w:r>
          </w:p>
        </w:tc>
        <w:tc>
          <w:tcPr>
            <w:tcW w:type="dxa" w:w="36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Addressed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A06 Vulnerable Components</w:t>
            </w:r>
          </w:p>
        </w:tc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Pinned .NET 8 packages; ImageSharp updated to a patched build; dependency scan advised in CI</w:t>
            </w:r>
          </w:p>
        </w:tc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Addressed / ongoing</w:t>
            </w:r>
          </w:p>
        </w:tc>
      </w:tr>
      <w:tr>
        <w:tc>
          <w:tcPr>
            <w:tcW w:type="dxa" w:w="26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A07 Auth Failures</w:t>
            </w:r>
          </w:p>
        </w:tc>
        <w:tc>
          <w:tcPr>
            <w:tcW w:type="dxa" w:w="33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Entra SSO+PKCE, session revocation, OTP attempt/send caps, rate limiting</w:t>
            </w:r>
          </w:p>
        </w:tc>
        <w:tc>
          <w:tcPr>
            <w:tcW w:type="dxa" w:w="36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Addressed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A08 Integrity Failures</w:t>
            </w:r>
          </w:p>
        </w:tc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Signed-declaration upload cannot be forged; server-generated PDFs protected</w:t>
            </w:r>
          </w:p>
        </w:tc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Addressed</w:t>
            </w:r>
          </w:p>
        </w:tc>
      </w:tr>
      <w:tr>
        <w:tc>
          <w:tcPr>
            <w:tcW w:type="dxa" w:w="26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A09 Logging &amp; Monitoring</w:t>
            </w:r>
          </w:p>
        </w:tc>
        <w:tc>
          <w:tcPr>
            <w:tcW w:type="dxa" w:w="33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Auth + audit logging; App Service diagnostics; recommend central log/alerting</w:t>
            </w:r>
          </w:p>
        </w:tc>
        <w:tc>
          <w:tcPr>
            <w:tcW w:type="dxa" w:w="36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Partial — infra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A10 SSRF</w:t>
            </w:r>
          </w:p>
        </w:tc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QR fetch: no-redirect + size cap; no user-controlled outbound URLs elsewhere</w:t>
            </w:r>
          </w:p>
        </w:tc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Addressed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8. Infrastructure controls (operator responsibility)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These are configured in Azure, not in application code, and complete the hardening posture: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Web Application Firewall (Azure Front Door / Application Gateway WAF) in front of the public site — OWASP CRS ruleset and volumetric / L7 rate limiting (a Blazor Server circuit cannot be safely HTTP-rate-limited in-process).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TLS: set the App Service minimum TLS version to 1.2 (or 1.3); disable TLS 1.0/1.1 and weak ciphers; enable HTTPS-only.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Private endpoints for both web apps, Azure SQL and Blob; public SQL/Blob access restricted to fixed lines; forwarded-headers enabled so the real client IP reaches the rate limiter.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Secrets in Key Vault (SQL, Graph, SSO, storage, OCR, ApiSecurity signing key &amp; client secret); rotate any value that was ever committed or shared.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Certificate management + HSTS preload for the custom domains; backups and geo-redundancy per policy.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Central logging/alerting (Log Analytics / Application Insights) for authentication, audit and WAF events.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9. Residual recommendations</w:t>
      </w:r>
    </w:p>
    <w:tbl>
      <w:tblPr>
        <w:tblW w:type="dxa" w:w="9500"/>
        <w:tblBorders>
          <w:top w:val="single" w:color="D3DAE6" w:sz="4"/>
          <w:left w:val="single" w:color="D3DAE6" w:sz="4"/>
          <w:bottom w:val="single" w:color="D3DAE6" w:sz="4"/>
          <w:right w:val="single" w:color="D3DAE6" w:sz="4"/>
          <w:insideH w:val="single" w:color="D3DAE6" w:sz="4"/>
          <w:insideV w:val="single" w:color="D3DAE6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3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2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Secrets in appsettings</w:t>
            </w:r>
          </w:p>
        </w:tc>
        <w:tc>
          <w:tcPr>
            <w:tcW w:type="dxa" w:w="63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Move to Key Vault / App Settings and rotate the currently committed values before go-live.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WAF</w:t>
            </w:r>
          </w:p>
        </w:tc>
        <w:tc>
          <w:tcPr>
            <w:tcW w:type="dxa" w:w="6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Enable OWASP CRS + rate limiting in front of Partner Connect.</w:t>
            </w:r>
          </w:p>
        </w:tc>
      </w:tr>
      <w:tr>
        <w:tc>
          <w:tcPr>
            <w:tcW w:type="dxa" w:w="32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TLS hardening</w:t>
            </w:r>
          </w:p>
        </w:tc>
        <w:tc>
          <w:tcPr>
            <w:tcW w:type="dxa" w:w="63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Enforce TLS 1.2+; disable legacy protocols/ciphers.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Dependency scanning</w:t>
            </w:r>
          </w:p>
        </w:tc>
        <w:tc>
          <w:tcPr>
            <w:tcW w:type="dxa" w:w="6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Enable NuGet vulnerability audit in CI; ImageSharp already updated to a patched build.</w:t>
            </w:r>
          </w:p>
        </w:tc>
      </w:tr>
      <w:tr>
        <w:tc>
          <w:tcPr>
            <w:tcW w:type="dxa" w:w="32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Supplier-number uniqueness</w:t>
            </w:r>
          </w:p>
        </w:tc>
        <w:tc>
          <w:tcPr>
            <w:tcW w:type="dxa" w:w="63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Add a database unique index after de-duplicating existing data (documented residual).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Pen-test retest</w:t>
            </w:r>
          </w:p>
        </w:tc>
        <w:tc>
          <w:tcPr>
            <w:tcW w:type="dxa" w:w="6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Re-scan after WAF + TLS + Key Vault changes are applied.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Supplier Portal — Confidential   |   Page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5"/>
        <w:szCs w:val="15"/>
      </w:rPr>
      <w:t xml:space="preserve"> of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A04D" w:sz="6"/>
      </w:pBdr>
      <w:jc w:val="right"/>
    </w:pPr>
    <w:r>
      <w:rPr>
        <w:rFonts w:ascii="Calibri" w:cs="Calibri" w:eastAsia="Calibri" w:hAnsi="Calibri"/>
        <w:color w:val="6B7280"/>
        <w:sz w:val="15"/>
        <w:szCs w:val="15"/>
      </w:rPr>
      <w:t xml:space="preserve">Supplier Portal — Security Hardening &amp; Controls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5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Supplier Portal — Security Hardening &amp; Controls</dc:title>
  <dc:creator>Supplier Portal QA</dc:creator>
  <cp:lastModifiedBy>Un-named</cp:lastModifiedBy>
  <cp:revision>1</cp:revision>
  <dcterms:created xsi:type="dcterms:W3CDTF">2026-09-16T11:59:59.872Z</dcterms:created>
  <dcterms:modified xsi:type="dcterms:W3CDTF">2026-09-16T11:59:59.872Z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