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  <w:pBdr>
          <w:bottom w:val="single" w:sz="12" w:space="2" w:color="1F3864"/>
        </w:pBdr>
      </w:pPr>
      <w:r>
        <w:rPr>
          <w:b/>
          <w:color w:val="1F3864"/>
          <w:sz w:val="38"/>
        </w:rPr>
        <w:t>Customer Portal — Functional Requirements (for Business Sign-off)</w:t>
      </w:r>
    </w:p>
    <w:p>
      <w:pPr>
        <w:spacing w:after="80"/>
      </w:pPr>
      <w:r>
        <w:rPr>
          <w:b/>
        </w:rPr>
        <w:t>Application:</w:t>
      </w:r>
      <w:r>
        <w:rPr>
          <w:b w:val="0"/>
        </w:rPr>
        <w:t xml:space="preserve"> Customer Portal — Internal (</w:t>
      </w:r>
      <w:r>
        <w:rPr>
          <w:rFonts w:ascii="Consolas" w:hAnsi="Consolas"/>
          <w:b w:val="0"/>
          <w:sz w:val="19"/>
        </w:rPr>
        <w:t>SupplierPortal.Web</w:t>
      </w:r>
      <w:r>
        <w:rPr>
          <w:b w:val="0"/>
        </w:rPr>
        <w:t>) + DMZ "Partner Connect" self-service (</w:t>
      </w:r>
      <w:r>
        <w:rPr>
          <w:rFonts w:ascii="Consolas" w:hAnsi="Consolas"/>
          <w:b w:val="0"/>
          <w:sz w:val="19"/>
        </w:rPr>
        <w:t>SupplierPortal.SelfService</w:t>
      </w:r>
      <w:r>
        <w:rPr>
          <w:b w:val="0"/>
        </w:rPr>
        <w:t xml:space="preserve">) </w:t>
      </w:r>
      <w:r>
        <w:rPr>
          <w:b/>
        </w:rPr>
        <w:t>Department:</w:t>
      </w:r>
      <w:r>
        <w:rPr>
          <w:b w:val="0"/>
        </w:rPr>
        <w:t xml:space="preserve"> Business Relation (customer onboarding) · </w:t>
      </w:r>
      <w:r>
        <w:rPr>
          <w:b/>
        </w:rPr>
        <w:t>Date:</w:t>
      </w:r>
      <w:r>
        <w:rPr>
          <w:b w:val="0"/>
        </w:rPr>
        <w:t xml:space="preserve"> 07-Oct-2026 · </w:t>
      </w:r>
      <w:r>
        <w:rPr>
          <w:b/>
        </w:rPr>
        <w:t>Version:</w:t>
      </w:r>
      <w:r>
        <w:rPr>
          <w:b w:val="0"/>
        </w:rPr>
        <w:t xml:space="preserve"> 1.0 (sign-off)</w:t>
      </w:r>
    </w:p>
    <w:p>
      <w:pPr>
        <w:spacing w:after="80"/>
      </w:pPr>
      <w:r>
        <w:rPr>
          <w:b/>
        </w:rPr>
        <w:t>Purpose.</w:t>
      </w:r>
      <w:r>
        <w:rPr>
          <w:b w:val="0"/>
        </w:rPr>
        <w:t xml:space="preserve"> Digitise customer onboarding: staff manage customer master data; customers complete and e-sign their own data online via a secure emailed link; data is exported for Oracle Fusion. Both the internal and self-service forms render from the </w:t>
      </w:r>
      <w:r>
        <w:rPr>
          <w:b/>
        </w:rPr>
        <w:t>same administrator-defined configuration</w:t>
      </w:r>
      <w:r>
        <w:rPr>
          <w:b w:val="0"/>
        </w:rPr>
        <w:t>, so they behave identically.</w:t>
      </w:r>
    </w:p>
    <w:p>
      <w:pPr>
        <w:pBdr>
          <w:bottom w:val="single" w:sz="6" w:space="1" w:color="C0C4CC"/>
        </w:pBdr>
      </w:pPr>
    </w:p>
    <w:p>
      <w:pPr>
        <w:spacing w:before="200" w:after="80"/>
      </w:pPr>
      <w:r>
        <w:rPr>
          <w:b/>
          <w:color w:val="1F3864"/>
          <w:sz w:val="30"/>
        </w:rPr>
        <w:t>Functional requirements</w:t>
      </w:r>
    </w:p>
    <w:p>
      <w:pPr>
        <w:spacing w:after="80"/>
      </w:pPr>
      <w:r>
        <w:rPr>
          <w:b/>
        </w:rPr>
        <w:t>1. Roles &amp; access</w:t>
      </w:r>
    </w:p>
    <w:p>
      <w:pPr>
        <w:pStyle w:val="ListBullet"/>
      </w:pPr>
      <w:r>
        <w:rPr>
          <w:b/>
        </w:rPr>
        <w:t>FR-1.1</w:t>
      </w:r>
      <w:r>
        <w:rPr>
          <w:b w:val="0"/>
        </w:rPr>
        <w:t xml:space="preserve"> Access requires authentication and the Customer portal permission.</w:t>
      </w:r>
    </w:p>
    <w:p>
      <w:pPr>
        <w:pStyle w:val="ListBullet"/>
      </w:pPr>
      <w:r>
        <w:rPr>
          <w:b/>
        </w:rPr>
        <w:t>FR-1.2</w:t>
      </w:r>
      <w:r>
        <w:rPr>
          <w:b w:val="0"/>
        </w:rPr>
        <w:t xml:space="preserve"> </w:t>
      </w:r>
      <w:r>
        <w:rPr>
          <w:b/>
        </w:rPr>
        <w:t>Administrator</w:t>
      </w:r>
      <w:r>
        <w:rPr>
          <w:b w:val="0"/>
        </w:rPr>
        <w:t xml:space="preserve"> — full access including Settings (Field Settings, Manage Tabs) and Excel upload.</w:t>
      </w:r>
    </w:p>
    <w:p>
      <w:pPr>
        <w:pStyle w:val="ListBullet"/>
      </w:pPr>
      <w:r>
        <w:rPr>
          <w:b/>
        </w:rPr>
        <w:t>FR-1.3</w:t>
      </w:r>
      <w:r>
        <w:rPr>
          <w:b w:val="0"/>
        </w:rPr>
        <w:t xml:space="preserve"> </w:t>
      </w:r>
      <w:r>
        <w:rPr>
          <w:b/>
        </w:rPr>
        <w:t>Application Administrator</w:t>
      </w:r>
      <w:r>
        <w:rPr>
          <w:b w:val="0"/>
        </w:rPr>
        <w:t xml:space="preserve"> — all operational actions (list, edit, assign, notify, import/export, reports) but </w:t>
      </w:r>
      <w:r>
        <w:rPr>
          <w:b/>
        </w:rPr>
        <w:t>no Settings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FR-1.4</w:t>
      </w:r>
      <w:r>
        <w:rPr>
          <w:b w:val="0"/>
        </w:rPr>
        <w:t xml:space="preserve"> </w:t>
      </w:r>
      <w:r>
        <w:rPr>
          <w:b/>
        </w:rPr>
        <w:t>Normal users</w:t>
      </w:r>
      <w:r>
        <w:rPr>
          <w:b w:val="0"/>
        </w:rPr>
        <w:t xml:space="preserve"> are scoped to their assigned Business Unit(s); only an Administrator with no BU assignment sees all customers.</w:t>
      </w:r>
    </w:p>
    <w:p>
      <w:pPr>
        <w:pStyle w:val="ListBullet"/>
      </w:pPr>
      <w:r>
        <w:rPr>
          <w:b/>
        </w:rPr>
        <w:t>FR-1.5</w:t>
      </w:r>
      <w:r>
        <w:rPr>
          <w:b w:val="0"/>
        </w:rPr>
        <w:t xml:space="preserve"> Individual form tabs can be restricted to named editors (others see them read-only; the server rejects unauthorised changes).</w:t>
      </w:r>
    </w:p>
    <w:p>
      <w:pPr>
        <w:spacing w:after="80"/>
      </w:pPr>
      <w:r>
        <w:rPr>
          <w:b/>
        </w:rPr>
        <w:t>2. Customer registration &amp; list (internal)</w:t>
      </w:r>
    </w:p>
    <w:p>
      <w:pPr>
        <w:pStyle w:val="ListBullet"/>
      </w:pPr>
      <w:r>
        <w:rPr>
          <w:b/>
        </w:rPr>
        <w:t>FR-2.1</w:t>
      </w:r>
      <w:r>
        <w:rPr>
          <w:b w:val="0"/>
        </w:rPr>
        <w:t xml:space="preserve"> KPI tiles: Total, Not Submitted, Awaiting Customer Response, For Review, Completed (respect the BU filter).</w:t>
      </w:r>
    </w:p>
    <w:p>
      <w:pPr>
        <w:pStyle w:val="ListBullet"/>
      </w:pPr>
      <w:r>
        <w:rPr>
          <w:b/>
        </w:rPr>
        <w:t>FR-2.2</w:t>
      </w:r>
      <w:r>
        <w:rPr>
          <w:b w:val="0"/>
        </w:rPr>
        <w:t xml:space="preserve"> Filter by Business Unit, Customer Name (live search), Status, Priority (P1–P4), Assigned-To; group by recency (today / last week / older).</w:t>
      </w:r>
    </w:p>
    <w:p>
      <w:pPr>
        <w:pStyle w:val="ListBullet"/>
      </w:pPr>
      <w:r>
        <w:rPr>
          <w:b/>
        </w:rPr>
        <w:t>FR-2.3</w:t>
      </w:r>
      <w:r>
        <w:rPr>
          <w:b w:val="0"/>
        </w:rPr>
        <w:t xml:space="preserve"> User-selectable grid columns (remembered per user); inline change of Priority and Assigned-To; 25 per page.</w:t>
      </w:r>
    </w:p>
    <w:p>
      <w:pPr>
        <w:pStyle w:val="ListBullet"/>
      </w:pPr>
      <w:r>
        <w:rPr>
          <w:b/>
        </w:rPr>
        <w:t>FR-2.4</w:t>
      </w:r>
      <w:r>
        <w:rPr>
          <w:b w:val="0"/>
        </w:rPr>
        <w:t xml:space="preserve"> Per-row: view documents, edit, and send self-service link.</w:t>
      </w:r>
    </w:p>
    <w:p>
      <w:pPr>
        <w:pStyle w:val="ListBullet"/>
      </w:pPr>
      <w:r>
        <w:rPr>
          <w:b/>
        </w:rPr>
        <w:t>FR-2.5</w:t>
      </w:r>
      <w:r>
        <w:rPr>
          <w:b w:val="0"/>
        </w:rPr>
        <w:t xml:space="preserve"> Bulk notify selected customers or all in the current view, each with a </w:t>
      </w:r>
      <w:r>
        <w:rPr>
          <w:b/>
        </w:rPr>
        <w:t>confirm-before-send</w:t>
      </w:r>
      <w:r>
        <w:rPr>
          <w:b w:val="0"/>
        </w:rPr>
        <w:t xml:space="preserve"> dialog listing recipients.</w:t>
      </w:r>
    </w:p>
    <w:p>
      <w:pPr>
        <w:pStyle w:val="ListBullet"/>
      </w:pPr>
      <w:r>
        <w:rPr>
          <w:b/>
        </w:rPr>
        <w:t>FR-2.6</w:t>
      </w:r>
      <w:r>
        <w:rPr>
          <w:b w:val="0"/>
        </w:rPr>
        <w:t xml:space="preserve"> Admins can register a customer and upload customers from Excel; any user can generate a blank or data-populated template (BU-scoped) and print a filtered report.</w:t>
      </w:r>
    </w:p>
    <w:p>
      <w:pPr>
        <w:spacing w:after="80"/>
      </w:pPr>
      <w:r>
        <w:rPr>
          <w:b/>
        </w:rPr>
        <w:t>3. Customer record &amp; data model</w:t>
      </w:r>
    </w:p>
    <w:p>
      <w:pPr>
        <w:pStyle w:val="ListBullet"/>
      </w:pPr>
      <w:r>
        <w:rPr>
          <w:b/>
        </w:rPr>
        <w:t>FR-3.1</w:t>
      </w:r>
      <w:r>
        <w:rPr>
          <w:b w:val="0"/>
        </w:rPr>
        <w:t xml:space="preserve"> Each record has an </w:t>
      </w:r>
      <w:r>
        <w:rPr>
          <w:b/>
        </w:rPr>
        <w:t>Account (company)</w:t>
      </w:r>
      <w:r>
        <w:rPr>
          <w:b w:val="0"/>
        </w:rPr>
        <w:t xml:space="preserve"> section and a </w:t>
      </w:r>
      <w:r>
        <w:rPr>
          <w:b/>
        </w:rPr>
        <w:t>Contact (primary person)</w:t>
      </w:r>
      <w:r>
        <w:rPr>
          <w:b w:val="0"/>
        </w:rPr>
        <w:t xml:space="preserve"> section, plus workflow attributes (Customer Unique Number, Baan Ref, Status, Priority, Business Unit, Assigned-To, audit stamps).</w:t>
      </w:r>
    </w:p>
    <w:p>
      <w:pPr>
        <w:pStyle w:val="ListBullet"/>
      </w:pPr>
      <w:r>
        <w:rPr>
          <w:b/>
        </w:rPr>
        <w:t>FR-3.2</w:t>
      </w:r>
      <w:r>
        <w:rPr>
          <w:b w:val="0"/>
        </w:rPr>
        <w:t xml:space="preserve"> Account captures legal/commercial names (incl. Arabic), organisation type, VAT structure, TRN/TIN, trade-license details, incorporation, PEP, bank (IBAN), up to two owners, payment terms and address.</w:t>
      </w:r>
    </w:p>
    <w:p>
      <w:pPr>
        <w:pStyle w:val="ListBullet"/>
      </w:pPr>
      <w:r>
        <w:rPr>
          <w:b/>
        </w:rPr>
        <w:t>FR-3.3</w:t>
      </w:r>
      <w:r>
        <w:rPr>
          <w:b w:val="0"/>
        </w:rPr>
        <w:t xml:space="preserve"> Contact captures name (incl. Arabic), email, mobile, nationality, residential status, passport (and dual passport), visa, and government/Emirates ID.</w:t>
      </w:r>
    </w:p>
    <w:p>
      <w:pPr>
        <w:pStyle w:val="ListBullet"/>
      </w:pPr>
      <w:r>
        <w:rPr>
          <w:b/>
        </w:rPr>
        <w:t>FR-3.4</w:t>
      </w:r>
      <w:r>
        <w:rPr>
          <w:b w:val="0"/>
        </w:rPr>
        <w:t xml:space="preserve"> When VAT structure = "VAT Group", a </w:t>
      </w:r>
      <w:r>
        <w:rPr>
          <w:b/>
        </w:rPr>
        <w:t>child grid of VAT-group entities</w:t>
      </w:r>
      <w:r>
        <w:rPr>
          <w:b w:val="0"/>
        </w:rPr>
        <w:t xml:space="preserve"> is captured (legal name, address, e-invoicing wave, TRN, TIN, location type).</w:t>
      </w:r>
    </w:p>
    <w:p>
      <w:pPr>
        <w:pStyle w:val="ListBullet"/>
      </w:pPr>
      <w:r>
        <w:rPr>
          <w:b/>
        </w:rPr>
        <w:t>FR-3.5</w:t>
      </w:r>
      <w:r>
        <w:rPr>
          <w:b w:val="0"/>
        </w:rPr>
        <w:t xml:space="preserve"> Oracle Fusion </w:t>
      </w:r>
      <w:r>
        <w:rPr>
          <w:b/>
        </w:rPr>
        <w:t>ERP identifiers</w:t>
      </w:r>
      <w:r>
        <w:rPr>
          <w:b w:val="0"/>
        </w:rPr>
        <w:t xml:space="preserve"> (Party ID, Party Number, ERP Bill-To Account) are held on the record and included in export.</w:t>
      </w:r>
    </w:p>
    <w:p>
      <w:pPr>
        <w:pStyle w:val="ListBullet"/>
      </w:pPr>
      <w:r>
        <w:rPr>
          <w:b/>
        </w:rPr>
        <w:t>FR-3.6</w:t>
      </w:r>
      <w:r>
        <w:rPr>
          <w:b w:val="0"/>
        </w:rPr>
        <w:t xml:space="preserve"> Each record carries an electronic </w:t>
      </w:r>
      <w:r>
        <w:rPr>
          <w:b/>
        </w:rPr>
        <w:t>declaration</w:t>
      </w:r>
      <w:r>
        <w:rPr>
          <w:b w:val="0"/>
        </w:rPr>
        <w:t xml:space="preserve"> with a typed signature and signature image, rendered to a signed PDF on submission.</w:t>
      </w:r>
    </w:p>
    <w:p>
      <w:pPr>
        <w:spacing w:after="80"/>
      </w:pPr>
      <w:r>
        <w:rPr>
          <w:b/>
        </w:rPr>
        <w:t>4. Configurable fields &amp; tabs (Administrator)</w:t>
      </w:r>
    </w:p>
    <w:p>
      <w:pPr>
        <w:pStyle w:val="ListBullet"/>
      </w:pPr>
      <w:r>
        <w:rPr>
          <w:b/>
        </w:rPr>
        <w:t>FR-4.1</w:t>
      </w:r>
      <w:r>
        <w:rPr>
          <w:b w:val="0"/>
        </w:rPr>
        <w:t xml:space="preserve"> Per field: edit display label, help text, and (text fields) min/max length.</w:t>
      </w:r>
    </w:p>
    <w:p>
      <w:pPr>
        <w:pStyle w:val="ListBullet"/>
      </w:pPr>
      <w:r>
        <w:rPr>
          <w:b/>
        </w:rPr>
        <w:t>FR-4.2</w:t>
      </w:r>
      <w:r>
        <w:rPr>
          <w:b w:val="0"/>
        </w:rPr>
        <w:t xml:space="preserve"> </w:t>
      </w:r>
      <w:r>
        <w:rPr>
          <w:b/>
        </w:rPr>
        <w:t>Two independent "required" switches</w:t>
      </w:r>
      <w:r>
        <w:rPr>
          <w:b w:val="0"/>
        </w:rPr>
        <w:t xml:space="preserve"> — Required (Internal) for staff and Required (Customer) for self-service.</w:t>
      </w:r>
    </w:p>
    <w:p>
      <w:pPr>
        <w:pStyle w:val="ListBullet"/>
      </w:pPr>
      <w:r>
        <w:rPr>
          <w:b/>
        </w:rPr>
        <w:t>FR-4.3</w:t>
      </w:r>
      <w:r>
        <w:rPr>
          <w:b w:val="0"/>
        </w:rPr>
        <w:t xml:space="preserve"> Per field: Visible switch and independent edit control for staff vs customers (Editable / Read-only / Lookup).</w:t>
      </w:r>
    </w:p>
    <w:p>
      <w:pPr>
        <w:pStyle w:val="ListBullet"/>
      </w:pPr>
      <w:r>
        <w:rPr>
          <w:b/>
        </w:rPr>
        <w:t>FR-4.4</w:t>
      </w:r>
      <w:r>
        <w:rPr>
          <w:b w:val="0"/>
        </w:rPr>
        <w:t xml:space="preserve"> Fields can be soft-removed and restored (removed fields stay in the Oracle template).</w:t>
      </w:r>
    </w:p>
    <w:p>
      <w:pPr>
        <w:pStyle w:val="ListBullet"/>
      </w:pPr>
      <w:r>
        <w:rPr>
          <w:b/>
        </w:rPr>
        <w:t>FR-4.5</w:t>
      </w:r>
      <w:r>
        <w:rPr>
          <w:b w:val="0"/>
        </w:rPr>
        <w:t xml:space="preserve"> </w:t>
      </w:r>
      <w:r>
        <w:rPr>
          <w:b/>
        </w:rPr>
        <w:t>Conditional visibility ("Depends On")</w:t>
      </w:r>
      <w:r>
        <w:rPr>
          <w:b w:val="0"/>
        </w:rPr>
        <w:t xml:space="preserve"> on another Yes/No or list field, with </w:t>
      </w:r>
      <w:r>
        <w:rPr>
          <w:b/>
        </w:rPr>
        <w:t>equals / does-not-equal</w:t>
      </w:r>
      <w:r>
        <w:rPr>
          <w:b w:val="0"/>
        </w:rPr>
        <w:t>; hidden fields are cleared on save and enforced server-side. (e.g. "Trade License Issuing Body" shows only when Licensing Authority = "Others".)</w:t>
      </w:r>
    </w:p>
    <w:p>
      <w:pPr>
        <w:pStyle w:val="ListBullet"/>
      </w:pPr>
      <w:r>
        <w:rPr>
          <w:b/>
        </w:rPr>
        <w:t>FR-4.6</w:t>
      </w:r>
      <w:r>
        <w:rPr>
          <w:b w:val="0"/>
        </w:rPr>
        <w:t xml:space="preserve"> Yes/No fields render as a dropdown.</w:t>
      </w:r>
    </w:p>
    <w:p>
      <w:pPr>
        <w:pStyle w:val="ListBullet"/>
      </w:pPr>
      <w:r>
        <w:rPr>
          <w:b/>
        </w:rPr>
        <w:t>FR-4.7</w:t>
      </w:r>
      <w:r>
        <w:rPr>
          <w:b w:val="0"/>
        </w:rPr>
        <w:t xml:space="preserve"> Tabs can be renamed, reordered, shown/hidden, and restricted to named editors; changes apply to the form immediately.</w:t>
      </w:r>
    </w:p>
    <w:p>
      <w:pPr>
        <w:spacing w:after="80"/>
      </w:pPr>
      <w:r>
        <w:rPr>
          <w:b/>
        </w:rPr>
        <w:t>5. Documents</w:t>
      </w:r>
    </w:p>
    <w:p>
      <w:pPr>
        <w:pStyle w:val="ListBullet"/>
      </w:pPr>
      <w:r>
        <w:rPr>
          <w:b/>
        </w:rPr>
        <w:t>FR-5.1</w:t>
      </w:r>
      <w:r>
        <w:rPr>
          <w:b w:val="0"/>
        </w:rPr>
        <w:t xml:space="preserve"> Admins define document types (name, hint, required flag, order), optionally </w:t>
      </w:r>
      <w:r>
        <w:rPr>
          <w:b/>
        </w:rPr>
        <w:t>conditional</w:t>
      </w:r>
      <w:r>
        <w:rPr>
          <w:b w:val="0"/>
        </w:rPr>
        <w:t xml:space="preserve"> on a customer field value.</w:t>
      </w:r>
    </w:p>
    <w:p>
      <w:pPr>
        <w:pStyle w:val="ListBullet"/>
      </w:pPr>
      <w:r>
        <w:rPr>
          <w:b/>
        </w:rPr>
        <w:t>FR-5.2</w:t>
      </w:r>
      <w:r>
        <w:rPr>
          <w:b w:val="0"/>
        </w:rPr>
        <w:t xml:space="preserve"> Upload / view / download / remove (PDF, JPG, PNG) on both the internal and self-service forms; required types are badged.</w:t>
      </w:r>
    </w:p>
    <w:p>
      <w:pPr>
        <w:pStyle w:val="ListBullet"/>
      </w:pPr>
      <w:r>
        <w:rPr>
          <w:b/>
        </w:rPr>
        <w:t>FR-5.3</w:t>
      </w:r>
      <w:r>
        <w:rPr>
          <w:b w:val="0"/>
        </w:rPr>
        <w:t xml:space="preserve"> Completion (staff) and submission (customer) are blocked while any applicable required document is missing.</w:t>
      </w:r>
    </w:p>
    <w:p>
      <w:pPr>
        <w:spacing w:after="80"/>
      </w:pPr>
      <w:r>
        <w:rPr>
          <w:b/>
        </w:rPr>
        <w:t>6. Excel export / import (Oracle Fusion)</w:t>
      </w:r>
    </w:p>
    <w:p>
      <w:pPr>
        <w:pStyle w:val="ListBullet"/>
      </w:pPr>
      <w:r>
        <w:rPr>
          <w:b/>
        </w:rPr>
        <w:t>FR-6.1</w:t>
      </w:r>
      <w:r>
        <w:rPr>
          <w:b w:val="0"/>
        </w:rPr>
        <w:t xml:space="preserve"> The template follows the agreed </w:t>
      </w:r>
      <w:r>
        <w:rPr>
          <w:b/>
        </w:rPr>
        <w:t>129-column specification</w:t>
      </w:r>
      <w:r>
        <w:rPr>
          <w:b w:val="0"/>
        </w:rPr>
        <w:t xml:space="preserve"> (63 Account + 62 Contact) plus the three appended ERP identifier columns, with labels aligned to the data-collection sheet.</w:t>
      </w:r>
    </w:p>
    <w:p>
      <w:pPr>
        <w:pStyle w:val="ListBullet"/>
      </w:pPr>
      <w:r>
        <w:rPr>
          <w:b/>
        </w:rPr>
        <w:t>FR-6.2</w:t>
      </w:r>
      <w:r>
        <w:rPr>
          <w:b w:val="0"/>
        </w:rPr>
        <w:t xml:space="preserve"> The template emits </w:t>
      </w:r>
      <w:r>
        <w:rPr>
          <w:b/>
        </w:rPr>
        <w:t>all non-removed fields</w:t>
      </w:r>
      <w:r>
        <w:rPr>
          <w:b w:val="0"/>
        </w:rPr>
        <w:t xml:space="preserve"> regardless of form visibility; VAT-group entities round-trip via a single combined column (a blank cell never erases existing rows).</w:t>
      </w:r>
    </w:p>
    <w:p>
      <w:pPr>
        <w:pStyle w:val="ListBullet"/>
      </w:pPr>
      <w:r>
        <w:rPr>
          <w:b/>
        </w:rPr>
        <w:t>FR-6.3</w:t>
      </w:r>
      <w:r>
        <w:rPr>
          <w:b w:val="0"/>
        </w:rPr>
        <w:t xml:space="preserve"> Download and import share the same positional contract (a populated download re-imports cleanly); import upserts by Customer Unique Number, creates new rows as "Not Submitted", and reports rejected rows.</w:t>
      </w:r>
    </w:p>
    <w:p>
      <w:pPr>
        <w:spacing w:after="80"/>
      </w:pPr>
      <w:r>
        <w:rPr>
          <w:b/>
        </w:rPr>
        <w:t>7. Self-service (Partner Connect)</w:t>
      </w:r>
    </w:p>
    <w:p>
      <w:pPr>
        <w:pStyle w:val="ListBullet"/>
      </w:pPr>
      <w:r>
        <w:rPr>
          <w:b/>
        </w:rPr>
        <w:t>FR-7.1</w:t>
      </w:r>
      <w:r>
        <w:rPr>
          <w:b w:val="0"/>
        </w:rPr>
        <w:t xml:space="preserve"> The link is emailed to </w:t>
      </w:r>
      <w:r>
        <w:rPr>
          <w:b/>
        </w:rPr>
        <w:t>both</w:t>
      </w:r>
      <w:r>
        <w:rPr>
          <w:b w:val="0"/>
        </w:rPr>
        <w:t xml:space="preserve"> the account Primary Email and the contact Email, each with its own 14-day token; the record moves to "Awaiting Customer Response".</w:t>
      </w:r>
    </w:p>
    <w:p>
      <w:pPr>
        <w:pStyle w:val="ListBullet"/>
      </w:pPr>
      <w:r>
        <w:rPr>
          <w:b/>
        </w:rPr>
        <w:t>FR-7.2</w:t>
      </w:r>
      <w:r>
        <w:rPr>
          <w:b w:val="0"/>
        </w:rPr>
        <w:t xml:space="preserve"> Opening a link requires </w:t>
      </w:r>
      <w:r>
        <w:rPr>
          <w:b/>
        </w:rPr>
        <w:t>OTP</w:t>
      </w:r>
      <w:r>
        <w:rPr>
          <w:b w:val="0"/>
        </w:rPr>
        <w:t xml:space="preserve"> — a </w:t>
      </w:r>
      <w:r>
        <w:rPr>
          <w:b/>
        </w:rPr>
        <w:t>6-digit</w:t>
      </w:r>
      <w:r>
        <w:rPr>
          <w:b w:val="0"/>
        </w:rPr>
        <w:t xml:space="preserve"> code (10-minute validity, attempt/resend capped) grants a short-lived secure session.</w:t>
      </w:r>
    </w:p>
    <w:p>
      <w:pPr>
        <w:pStyle w:val="ListBullet"/>
      </w:pPr>
      <w:r>
        <w:rPr>
          <w:b/>
        </w:rPr>
        <w:t>FR-7.3</w:t>
      </w:r>
      <w:r>
        <w:rPr>
          <w:b w:val="0"/>
        </w:rPr>
        <w:t xml:space="preserve"> The OTP is delivered to </w:t>
      </w:r>
      <w:r>
        <w:rPr>
          <w:b/>
        </w:rPr>
        <w:t>whichever inbox opened the link</w:t>
      </w:r>
      <w:r>
        <w:rPr>
          <w:b w:val="0"/>
        </w:rPr>
        <w:t xml:space="preserve"> (decided authoritatively by the server); the verify page shows the </w:t>
      </w:r>
      <w:r>
        <w:rPr>
          <w:b/>
        </w:rPr>
        <w:t>masked recipient</w:t>
      </w:r>
      <w:r>
        <w:rPr>
          <w:b w:val="0"/>
        </w:rPr>
        <w:t xml:space="preserve"> address.</w:t>
      </w:r>
    </w:p>
    <w:p>
      <w:pPr>
        <w:pStyle w:val="ListBullet"/>
      </w:pPr>
      <w:r>
        <w:rPr>
          <w:b/>
        </w:rPr>
        <w:t>FR-7.4</w:t>
      </w:r>
      <w:r>
        <w:rPr>
          <w:b w:val="0"/>
        </w:rPr>
        <w:t xml:space="preserve"> The self-service form is the same configurable, tabbed form with added Documents and Review &amp; Submit steps; customer-required fields are validated </w:t>
      </w:r>
      <w:r>
        <w:rPr>
          <w:b/>
        </w:rPr>
        <w:t>tab-by-tab on Save &amp; Next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FR-7.5</w:t>
      </w:r>
      <w:r>
        <w:rPr>
          <w:b w:val="0"/>
        </w:rPr>
        <w:t xml:space="preserve"> Jumping ahead checks all earlier tabs, lands on the first incomplete tab, highlights the fields, and </w:t>
      </w:r>
      <w:r>
        <w:rPr>
          <w:b/>
        </w:rPr>
        <w:t>moves the cursor to the first field needing input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FR-7.6</w:t>
      </w:r>
      <w:r>
        <w:rPr>
          <w:b w:val="0"/>
        </w:rPr>
        <w:t xml:space="preserve"> Submission requires an </w:t>
      </w:r>
      <w:r>
        <w:rPr>
          <w:b/>
        </w:rPr>
        <w:t>electronic declaration</w:t>
      </w:r>
      <w:r>
        <w:rPr>
          <w:b w:val="0"/>
        </w:rPr>
        <w:t xml:space="preserve"> (typed full-name signature and a hand-drawn signature); all validation is </w:t>
      </w:r>
      <w:r>
        <w:rPr>
          <w:b/>
        </w:rPr>
        <w:t>re-enforced server-side</w:t>
      </w:r>
      <w:r>
        <w:rPr>
          <w:b w:val="0"/>
        </w:rPr>
        <w:t xml:space="preserve"> on submit.</w:t>
      </w:r>
    </w:p>
    <w:p>
      <w:pPr>
        <w:pStyle w:val="ListBullet"/>
      </w:pPr>
      <w:r>
        <w:rPr>
          <w:b/>
        </w:rPr>
        <w:t>FR-7.7</w:t>
      </w:r>
      <w:r>
        <w:rPr>
          <w:b w:val="0"/>
        </w:rPr>
        <w:t xml:space="preserve"> On submit the system stores a </w:t>
      </w:r>
      <w:r>
        <w:rPr>
          <w:b/>
        </w:rPr>
        <w:t>signed declaration PDF</w:t>
      </w:r>
      <w:r>
        <w:rPr>
          <w:b w:val="0"/>
        </w:rPr>
        <w:t>, sets status to "For Review", expires all sibling links, and notifies the initiator.</w:t>
      </w:r>
    </w:p>
    <w:p>
      <w:pPr>
        <w:spacing w:after="80"/>
      </w:pPr>
      <w:r>
        <w:rPr>
          <w:b/>
        </w:rPr>
        <w:t>8. Email, lookups &amp; workflow</w:t>
      </w:r>
    </w:p>
    <w:p>
      <w:pPr>
        <w:pStyle w:val="ListBullet"/>
      </w:pPr>
      <w:r>
        <w:rPr>
          <w:b/>
        </w:rPr>
        <w:t>FR-8.1</w:t>
      </w:r>
      <w:r>
        <w:rPr>
          <w:b w:val="0"/>
        </w:rPr>
        <w:t xml:space="preserve"> Three customer emails (update-request link, OTP, completion thank-you) plus an internal submission notice; emails use a </w:t>
      </w:r>
      <w:r>
        <w:rPr>
          <w:b/>
        </w:rPr>
        <w:t>Customer-portal sender address per Business Unit</w:t>
      </w:r>
      <w:r>
        <w:rPr>
          <w:b w:val="0"/>
        </w:rPr>
        <w:t xml:space="preserve"> (falling back to the BU email, then the global default) with per-BU branding.</w:t>
      </w:r>
    </w:p>
    <w:p>
      <w:pPr>
        <w:pStyle w:val="ListBullet"/>
      </w:pPr>
      <w:r>
        <w:rPr>
          <w:b/>
        </w:rPr>
        <w:t>FR-8.2</w:t>
      </w:r>
      <w:r>
        <w:rPr>
          <w:b w:val="0"/>
        </w:rPr>
        <w:t xml:space="preserve"> Controlled lists of values throughout — combined "Code – Name" country lists, coded emirate subdivisions, a 7-emirate City dropdown when the country is UAE, and defined options for all other LOV fields.</w:t>
      </w:r>
    </w:p>
    <w:p>
      <w:pPr>
        <w:pStyle w:val="ListBullet"/>
      </w:pPr>
      <w:r>
        <w:rPr>
          <w:b/>
        </w:rPr>
        <w:t>FR-8.3</w:t>
      </w:r>
      <w:r>
        <w:rPr>
          <w:b w:val="0"/>
        </w:rPr>
        <w:t xml:space="preserve"> </w:t>
      </w:r>
      <w:r>
        <w:rPr>
          <w:b/>
        </w:rPr>
        <w:t>Status lifecycle:</w:t>
      </w:r>
      <w:r>
        <w:rPr>
          <w:b w:val="0"/>
        </w:rPr>
        <w:t xml:space="preserve"> Not Submitted → Awaiting Customer Response → For Review → Completed. Sending a link, customer submission, and staff "Mark completed" move the record accordingly; a completed record can be </w:t>
      </w:r>
      <w:r>
        <w:rPr>
          <w:b/>
        </w:rPr>
        <w:t>returned to the customer</w:t>
      </w:r>
      <w:r>
        <w:rPr>
          <w:b w:val="0"/>
        </w:rPr>
        <w:t xml:space="preserve"> (re-issues a link). Completion expires all self-service links so a record cannot be reopened via an old link.</w:t>
      </w:r>
    </w:p>
    <w:p>
      <w:pPr>
        <w:spacing w:after="80"/>
      </w:pPr>
      <w:r>
        <w:rPr>
          <w:b/>
        </w:rPr>
        <w:t>Security (summary).</w:t>
      </w:r>
      <w:r>
        <w:rPr>
          <w:b w:val="0"/>
        </w:rPr>
        <w:t xml:space="preserve"> Staff use cookie auth + portal/role claims; the external app uses a secured API with per-request link/session credentials. Self-service saves accept only visible, customer-editable fields (identifier/workflow fields are never writable from a customer payload). OTP codes are hashed and recorded only after successful delivery. Key actions are audit-logged.</w:t>
      </w:r>
    </w:p>
    <w:p>
      <w:pPr>
        <w:pBdr>
          <w:bottom w:val="single" w:sz="6" w:space="1" w:color="C0C4CC"/>
        </w:pBdr>
      </w:pPr>
    </w:p>
    <w:p>
      <w:pPr>
        <w:spacing w:before="200" w:after="80"/>
      </w:pPr>
      <w:r>
        <w:rPr>
          <w:b/>
          <w:color w:val="1F3864"/>
          <w:sz w:val="30"/>
        </w:rPr>
        <w:t>Business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F3864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12"/>
            <w:shd w:val="clear" w:color="auto" w:fill="1F3864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12"/>
            <w:shd w:val="clear" w:color="auto" w:fill="1F3864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12"/>
            <w:shd w:val="clear" w:color="auto" w:fill="1F3864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12"/>
          </w:tcPr>
          <w:p>
            <w:pPr>
              <w:spacing w:before="20" w:after="20"/>
            </w:pPr>
            <w:r/>
            <w:r>
              <w:rPr>
                <w:b w:val="0"/>
                <w:sz w:val="19"/>
              </w:rPr>
              <w:t>Business Owner (Business Relation)</w:t>
            </w:r>
          </w:p>
        </w:tc>
        <w:tc>
          <w:tcPr>
            <w:tcW w:type="dxa" w:w="2412"/>
          </w:tcPr>
          <w:p>
            <w:pPr>
              <w:spacing w:before="20" w:after="20"/>
            </w:pPr>
            <w:r/>
          </w:p>
        </w:tc>
        <w:tc>
          <w:tcPr>
            <w:tcW w:type="dxa" w:w="2412"/>
          </w:tcPr>
          <w:p>
            <w:pPr>
              <w:spacing w:before="20" w:after="20"/>
            </w:pPr>
            <w:r/>
          </w:p>
        </w:tc>
        <w:tc>
          <w:tcPr>
            <w:tcW w:type="dxa" w:w="2412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  <w:r>
              <w:rPr>
                <w:b w:val="0"/>
                <w:sz w:val="19"/>
              </w:rPr>
              <w:t>Process Owner</w:t>
            </w:r>
          </w:p>
        </w:tc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</w:p>
        </w:tc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</w:p>
        </w:tc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12"/>
          </w:tcPr>
          <w:p>
            <w:pPr>
              <w:spacing w:before="20" w:after="20"/>
            </w:pPr>
            <w:r/>
            <w:r>
              <w:rPr>
                <w:b w:val="0"/>
                <w:sz w:val="19"/>
              </w:rPr>
              <w:t>IT / Delivery</w:t>
            </w:r>
          </w:p>
        </w:tc>
        <w:tc>
          <w:tcPr>
            <w:tcW w:type="dxa" w:w="2412"/>
          </w:tcPr>
          <w:p>
            <w:pPr>
              <w:spacing w:before="20" w:after="20"/>
            </w:pPr>
            <w:r/>
          </w:p>
        </w:tc>
        <w:tc>
          <w:tcPr>
            <w:tcW w:type="dxa" w:w="2412"/>
          </w:tcPr>
          <w:p>
            <w:pPr>
              <w:spacing w:before="20" w:after="20"/>
            </w:pPr>
            <w:r/>
          </w:p>
        </w:tc>
        <w:tc>
          <w:tcPr>
            <w:tcW w:type="dxa" w:w="2412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  <w:r>
              <w:rPr>
                <w:b w:val="0"/>
                <w:sz w:val="19"/>
              </w:rPr>
              <w:t>QA / Test</w:t>
            </w:r>
          </w:p>
        </w:tc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</w:p>
        </w:tc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</w:p>
        </w:tc>
        <w:tc>
          <w:tcPr>
            <w:tcW w:type="dxa" w:w="2412"/>
            <w:shd w:val="clear" w:color="auto" w:fill="F2F4F8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