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Dubai Investments</w:t>
      </w:r>
    </w:p>
    <w:p>
      <w:pPr>
        <w:pBdr>
          <w:bottom w:val="single" w:color="CAA04D" w:sz="12"/>
        </w:pBdr>
        <w:spacing w:after="12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0B2545"/>
          <w:sz w:val="52"/>
          <w:szCs w:val="52"/>
        </w:rPr>
        <w:t xml:space="preserve">Supplier Portal</w:t>
      </w:r>
    </w:p>
    <w:p>
      <w:pPr>
        <w:spacing w:after="400"/>
      </w:pPr>
      <w:r>
        <w:rPr>
          <w:rFonts w:ascii="Calibri" w:cs="Calibri" w:eastAsia="Calibri" w:hAnsi="Calibri"/>
          <w:color w:val="6B7280"/>
          <w:sz w:val="28"/>
          <w:szCs w:val="28"/>
        </w:rPr>
        <w:t xml:space="preserve">Technical Design &amp; Architecture</w:t>
      </w:r>
    </w:p>
    <w:tbl>
      <w:tblPr>
        <w:tblW w:type="dxa" w:w="98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Document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Technical Design &amp; Architecture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Platform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.NET 8 · Blazor Server (Interactive Server) · EF Core 8 · SQL Server / Azure SQL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Version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Date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15 September 2026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1. Introduction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Supplier Portal is a .NET 8 Blazor Server application that digitises supplier onboarding and master-data maintenance for Dubai Investments, alongside two sibling portals — Customer (KYC) and Leasing/Landlord. It supports an internal deployment and a hardened DMZ deployment in which a public self-service front-end talks to the internal tier through a controlled API seam. This document describes the solution structure, runtime architecture, security model and integrations.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2. Solution Structure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All projects target net8.0 with nullable reference types and implicit usings enabled. Solution file: BPPortal.sln.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2600"/>
        <w:gridCol w:w="1300"/>
        <w:gridCol w:w="5600"/>
      </w:tblGrid>
      <w:tr>
        <w:trPr>
          <w:tblHeader/>
        </w:trPr>
        <w:tc>
          <w:tcPr>
            <w:tcW w:type="dxa" w:w="2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Project</w:t>
            </w:r>
          </w:p>
        </w:tc>
        <w:tc>
          <w:tcPr>
            <w:tcW w:type="dxa" w:w="13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SDK</w:t>
            </w:r>
          </w:p>
        </w:tc>
        <w:tc>
          <w:tcPr>
            <w:tcW w:type="dxa" w:w="5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SupplierPortal.Web</w:t>
            </w:r>
          </w:p>
        </w:tc>
        <w:tc>
          <w:tcPr>
            <w:tcW w:type="dxa" w:w="1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Web</w:t>
            </w:r>
          </w:p>
        </w:tc>
        <w:tc>
          <w:tcPr>
            <w:tcW w:type="dxa" w:w="5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Main Blazor Server app: portal UI, EF Core data layer, domain services, and (Internal mode) the internal self-service API. The trunk project referenced by the API and tests.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SupplierPortal.Api</w:t>
            </w:r>
          </w:p>
        </w:tc>
        <w:tc>
          <w:tcPr>
            <w:tcW w:type="dxa" w:w="1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Web</w:t>
            </w:r>
          </w:p>
        </w:tc>
        <w:tc>
          <w:tcPr>
            <w:tcW w:type="dxa" w:w="5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Internal REST API for the DMZ self-service portal; the only tier that touches the database in a DMZ deployment. References Web (reusing the EF model + services) and Contracts.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SupplierPortal.SelfService</w:t>
            </w:r>
          </w:p>
        </w:tc>
        <w:tc>
          <w:tcPr>
            <w:tcW w:type="dxa" w:w="1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Web</w:t>
            </w:r>
          </w:p>
        </w:tc>
        <w:tc>
          <w:tcPr>
            <w:tcW w:type="dxa" w:w="5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Public DMZ front-end (Blazor Server) for the supplier self-service wizard. References only Contracts — no EF, no data layer, no connection string; its only outbound channel is an HttpClient to the internal API.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SupplierPortal.Contracts</w:t>
            </w:r>
          </w:p>
        </w:tc>
        <w:tc>
          <w:tcPr>
            <w:tcW w:type="dxa" w:w="1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Class lib</w:t>
            </w:r>
          </w:p>
        </w:tc>
        <w:tc>
          <w:tcPr>
            <w:tcW w:type="dxa" w:w="5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DTO contracts shared between the DMZ portal and the API (SupplierDto, bootstrap/field/document DTOs, OTP + token DTOs). No behaviour.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SupplierPortal.Tests</w:t>
            </w:r>
          </w:p>
        </w:tc>
        <w:tc>
          <w:tcPr>
            <w:tcW w:type="dxa" w:w="1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Test</w:t>
            </w:r>
          </w:p>
        </w:tc>
        <w:tc>
          <w:tcPr>
            <w:tcW w:type="dxa" w:w="5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xUnit test project referencing Web.</w:t>
            </w:r>
          </w:p>
        </w:tc>
      </w:tr>
    </w:tbl>
    <w:p>
      <w:pPr>
        <w:pStyle w:val="Heading3"/>
        <w:spacing w:after="70" w:before="150"/>
      </w:pPr>
      <w:r>
        <w:rPr>
          <w:rFonts w:ascii="Calibri" w:cs="Calibri" w:eastAsia="Calibri" w:hAnsi="Calibri"/>
          <w:b/>
          <w:bCs/>
          <w:color w:val="274A7D"/>
          <w:sz w:val="22"/>
          <w:szCs w:val="22"/>
        </w:rPr>
        <w:t xml:space="preserve">Key packages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EF Core SqlServer 8.0.11 + Design 8.0.11; ASP.NET OpenIdConnect 8.0.11; JwtBearer 8.0.11 (API).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Azure.Storage.Blobs 12.22.2; QuestPDF 2026.7.2 (Community); ClosedXML 0.105.1 + CsvHelper 33.1.0.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ZXing.Net 0.16.9 (QR), SixLabors.ImageSharp 2.1.9, UglyToad.PdfPig (PDF), System.DirectoryServices.Protocols 8.0.1 (LDAP).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3. Runtime Architecture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3.1 Presentation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Blazor Server with the Interactive Server render mode. The root App/Routes components host areas: Supplier, Customer, Leasing, Admin, Account, plus Layout and Shared components. Cascading authentication state flows to all components; server-side [Authorize] policies enforce access (the UI only hides what the server also denies).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3.2 Service layer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Domain logic lives in scoped services (Services/). Representative services: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000"/>
        <w:gridCol w:w="6500"/>
      </w:tblGrid>
      <w:tr>
        <w:trPr>
          <w:tblHeader/>
        </w:trPr>
        <w:tc>
          <w:tcPr>
            <w:tcW w:type="dxa" w:w="30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65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dxa" w:w="3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SupplierService</w:t>
            </w:r>
          </w:p>
        </w:tc>
        <w:tc>
          <w:tcPr>
            <w:tcW w:type="dxa" w:w="6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 CRUD/workflow, reference-data caching, change-diff tracking, server-side field protection, visibility scoping.</w:t>
            </w:r>
          </w:p>
        </w:tc>
      </w:tr>
      <w:tr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SupplierDocumentService</w:t>
            </w:r>
          </w:p>
        </w:tc>
        <w:tc>
          <w:tcPr>
            <w:tcW w:type="dxa" w:w="6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Stores supplier documents (blob → DB → disk fallback); OCR-driven TRN/DUNS extraction.</w:t>
            </w:r>
          </w:p>
        </w:tc>
      </w:tr>
      <w:tr>
        <w:tc>
          <w:tcPr>
            <w:tcW w:type="dxa" w:w="3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SupplierAccessTokenService</w:t>
            </w:r>
          </w:p>
        </w:tc>
        <w:tc>
          <w:tcPr>
            <w:tcW w:type="dxa" w:w="6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Opaque link tokens + OTP + session for supplier self-service.</w:t>
            </w:r>
          </w:p>
        </w:tc>
      </w:tr>
      <w:tr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SupplierFieldSettingService / SupplierActivityService</w:t>
            </w:r>
          </w:p>
        </w:tc>
        <w:tc>
          <w:tcPr>
            <w:tcW w:type="dxa" w:w="6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Per-field visibility/mandatory/tab settings; self-service change review.</w:t>
            </w:r>
          </w:p>
        </w:tc>
      </w:tr>
      <w:tr>
        <w:tc>
          <w:tcPr>
            <w:tcW w:type="dxa" w:w="3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EmailDispatcher / SupplierEmailService / EmailBrandingService</w:t>
            </w:r>
          </w:p>
        </w:tc>
        <w:tc>
          <w:tcPr>
            <w:tcW w:type="dxa" w:w="6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Central email send (SMTP or Database Mail); notifications; per-BU logo branding.</w:t>
            </w:r>
          </w:p>
        </w:tc>
      </w:tr>
      <w:tr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SupplierDeclarationPdfService / ExportService</w:t>
            </w:r>
          </w:p>
        </w:tc>
        <w:tc>
          <w:tcPr>
            <w:tcW w:type="dxa" w:w="6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Signed declaration PDF; Excel/CSV/PDF export and re-import.</w:t>
            </w:r>
          </w:p>
        </w:tc>
      </w:tr>
      <w:tr>
        <w:tc>
          <w:tcPr>
            <w:tcW w:type="dxa" w:w="3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Customer* services</w:t>
            </w:r>
          </w:p>
        </w:tc>
        <w:tc>
          <w:tcPr>
            <w:tcW w:type="dxa" w:w="6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Customer (KYC) counterparts (service, import/export, documents, field config, tokens, email).</w:t>
            </w:r>
          </w:p>
        </w:tc>
      </w:tr>
      <w:tr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UserService / BusinessUnitService</w:t>
            </w:r>
          </w:p>
        </w:tc>
        <w:tc>
          <w:tcPr>
            <w:tcW w:type="dxa" w:w="6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User and business-unit administration.</w:t>
            </w:r>
          </w:p>
        </w:tc>
      </w:tr>
      <w:tr>
        <w:tc>
          <w:tcPr>
            <w:tcW w:type="dxa" w:w="3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AuthService / RoleClaimsTransformation / ActiveDirectoryService / BreakGlassService</w:t>
            </w:r>
          </w:p>
        </w:tc>
        <w:tc>
          <w:tcPr>
            <w:tcW w:type="dxa" w:w="6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Authentication, claims resolution, LDAP, emergency access.</w:t>
            </w:r>
          </w:p>
        </w:tc>
      </w:tr>
      <w:tr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AuditService</w:t>
            </w:r>
          </w:p>
        </w:tc>
        <w:tc>
          <w:tcPr>
            <w:tcW w:type="dxa" w:w="6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Writes AuditLog rows for every workflow transition.</w:t>
            </w:r>
          </w:p>
        </w:tc>
      </w:tr>
      <w:tr>
        <w:tc>
          <w:tcPr>
            <w:tcW w:type="dxa" w:w="3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Leasing/* services</w:t>
            </w:r>
          </w:p>
        </w:tc>
        <w:tc>
          <w:tcPr>
            <w:tcW w:type="dxa" w:w="6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Landlord/Leasing bounded-context services.</w:t>
            </w:r>
          </w:p>
        </w:tc>
      </w:tr>
    </w:tbl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3.3 Data access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DbContextFactory pattern (AddDbContextFactory) is used instead of a scoped DbContext: every service opens a short-lived context per unit of work. Two contexts over the same server — ApplicationDbContext (suppliers/customers/users/audit) and LeasingDbContext (a separate bounded context with its own migration history). In Internal mode, startup seeds ApplicationDbContext and migrates LeasingDbContext.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3.4 Minimal-API endpoints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Hosted in Web Program.cs: supplier/customer exports and templates, document serving (single, zip, images-as-pdf/xlsx bundles), landlord documents, user photo / BU logo, /account/logout, /account/sso-login, /account/dev-login, /api/breakglass, the Circularo webhook, and the self-service API group /api/ss/*.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4. The Three Portals &amp; Deployment Modes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Portals are expressed as PortalAccess flags (Supplier, Customer, Landlord, Broker) granted per user and enforced by policies. The three primary business portals are Supplier onboarding, Customer/KYC, and Leasing/Landlord (a separate bounded context reading the read-only dbo.Property view).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4.1 Internal vs DMZ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1600"/>
        <w:gridCol w:w="7900"/>
      </w:tblGrid>
      <w:tr>
        <w:trPr>
          <w:tblHeader/>
        </w:trPr>
        <w:tc>
          <w:tcPr>
            <w:tcW w:type="dxa" w:w="1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7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Behaviour</w:t>
            </w:r>
          </w:p>
        </w:tc>
      </w:tr>
      <w:tr>
        <w:tc>
          <w:tcPr>
            <w:tcW w:type="dxa" w:w="1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Internal</w:t>
            </w:r>
          </w:p>
        </w:tc>
        <w:tc>
          <w:tcPr>
            <w:tcW w:type="dxa" w:w="7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Full app in the trusted zone: portal UI + database + self-service API. Self-service uses the database directly (Local gateways).</w:t>
            </w:r>
          </w:p>
        </w:tc>
      </w:tr>
      <w:tr>
        <w:tc>
          <w:tcPr>
            <w:tcW w:type="dxa" w:w="1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DMZ</w:t>
            </w:r>
          </w:p>
        </w:tc>
        <w:tc>
          <w:tcPr>
            <w:tcW w:type="dxa" w:w="7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Public front-end serving only self-service pages, with no database, file share or directory access. It reaches the trusted zone only through the internal self-service API (Http gateways). Startup skips migration/seeding and never opens a real DbContext.</w:t>
            </w:r>
          </w:p>
        </w:tc>
      </w:tr>
    </w:tbl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4.2 The gateway seam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Four gateway interfaces (supplier + customer, access + data) are bound by mode: Internal → Local* gateways calling the DB-backed services directly; DMZ → Http* gateways calling the internal API over a named HttpClient carrying the base URL and shared key. The /api/ss/* endpoints are what the DMZ front-end consumes so it needs no database. Two-factor protection guards them: (a) a shared X-SelfService-Key header validated in constant time (closed if unset), and (b) the opaque link/session token in each request body, scoping every call to one supplier.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4.3 Secondary OAuth self-service stack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second, independent stack exists for the standalone DMZ portal: SupplierPortal.SelfService (Blazor UI) → SupplierPortal.Api (internal REST) using a full OAuth2 client-credentials flow. The API issues a short-lived portal JWT (scope selfservice.portal); data endpoints additionally require a per-supplier X-Supplier-Session token minted after OTP verify, and the session resolver re-checks the embedded link/session secrets against live DB state so admin completion or expiry revokes access instantly.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5. Authentication &amp; Authorization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Cookie auth is the default scheme: __Host-SupplierPortalAuth, HttpOnly, Secure=Always, SameSite=Lax, 8h sliding expiry. Data-Protection keys persisted to &lt;contentRoot&gt;/keys so cookies survive recycles.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Optional Entra/OpenIdConnect SSO (authorization-code + PKCE), active only when Auth:Mode=Sso and Entra is configured; otherwise local sign-in is used so nobody is locked out.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Local/AD sign-in via AuthService: matched by e-mail or AD login; AD users validated over LDAP, others via the ASP.NET Identity password hasher.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RoleClaimsTransformation maps the authenticated identity to a Users row each request, resolving role + business units; unknown/inactive users get only a resolved marker so deny-by-default blocks them.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Deny-by-default authorization; portal policies (Portal.Supplier/Customer/Landlord/Broker) and role attributes ([Authorize(Roles="Administrator")]) are applied on the Razor components server-side.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Login lockout: 5 failed attempts → 15-minute lock (in-memory). Active-session revocation: OnValidatePrincipal re-checks IsActive (throttled to every 2 min) and signs out deactivated users. Idle lockout: a client-side 15-minute auto-logout.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Break-glass: time-boxed emergency admin, disabled unless a SHA-256 secret is configured; anonymous, rate-limited, constant-time compared and fully audited.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6. Security Controls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2100"/>
        <w:gridCol w:w="7400"/>
      </w:tblGrid>
      <w:tr>
        <w:trPr>
          <w:tblHeader/>
        </w:trPr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7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Design</w:t>
            </w:r>
          </w:p>
        </w:tc>
      </w:tr>
      <w:tr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Response headers</w:t>
            </w:r>
          </w:p>
        </w:tc>
        <w:tc>
          <w:tcPr>
            <w:tcW w:type="dxa" w:w="7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nosniff, X-Frame-Options=SAMEORIGIN, Referrer-Policy=no-referrer (Web); the DMZ SelfService app adds a strict Content-Security-Policy and X-Frame-Options=DENY; API adds no-store + X-Frame-Options=DENY.</w:t>
            </w:r>
          </w:p>
        </w:tc>
      </w:tr>
      <w:tr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Document serving</w:t>
            </w:r>
          </w:p>
        </w:tc>
        <w:tc>
          <w:tcPr>
            <w:tcW w:type="dxa" w:w="7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Inline preview only for a safe content-type allowlist (pdf/images/plain); text/html and svg are forced to download so an uploaded file can't run as script in the app origin.</w:t>
            </w:r>
          </w:p>
        </w:tc>
      </w:tr>
      <w:tr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SSRF / DoS guard</w:t>
            </w:r>
          </w:p>
        </w:tc>
        <w:tc>
          <w:tcPr>
            <w:tcW w:type="dxa" w:w="7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The license-QR URL fetch blocks loopback/link-local/private/reserved hosts, caps the response at 25 MB and disables redirects.</w:t>
            </w:r>
          </w:p>
        </w:tc>
      </w:tr>
      <w:tr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Per-record scoping</w:t>
            </w:r>
          </w:p>
        </w:tc>
        <w:tc>
          <w:tcPr>
            <w:tcW w:type="dxa" w:w="7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Document/export endpoints enforce the dashboard's business-unit + assignment/department visibility; out-of-scope ids return 404.</w:t>
            </w:r>
          </w:p>
        </w:tc>
      </w:tr>
      <w:tr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Self-service tokens</w:t>
            </w:r>
          </w:p>
        </w:tc>
        <w:tc>
          <w:tcPr>
            <w:tcW w:type="dxa" w:w="7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32-byte CSPRNG link token stored as SHA-256 hash, 14-day validity; 6-digit OTP hashed with a salted hasher, 10-min validity, max 5 attempts / 5 sends; session token issued on verify; final submit expires link + session.</w:t>
            </w:r>
          </w:p>
        </w:tc>
      </w:tr>
      <w:tr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Field protection</w:t>
            </w:r>
          </w:p>
        </w:tc>
        <w:tc>
          <w:tcPr>
            <w:tcW w:type="dxa" w:w="7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On self-service saves the server restores hidden fields and an always-locked set of internal classification/payment flags, so a crafted submit can't change a locked field.</w:t>
            </w:r>
          </w:p>
        </w:tc>
      </w:tr>
      <w:tr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7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 credential/OTP fixed-window limiter partitioned per client IP (5/min); the API adds token/otp/upload limiters plus a global per-IP backstop.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7. External Integrations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2500"/>
        <w:gridCol w:w="7000"/>
      </w:tblGrid>
      <w:tr>
        <w:trPr>
          <w:tblHeader/>
        </w:trPr>
        <w:tc>
          <w:tcPr>
            <w:tcW w:type="dxa" w:w="25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70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 &amp; behaviour</w:t>
            </w:r>
          </w:p>
        </w:tc>
      </w:tr>
      <w:tr>
        <w:tc>
          <w:tcPr>
            <w:tcW w:type="dxa" w:w="2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Azure Blob Storage</w:t>
            </w:r>
          </w:p>
        </w:tc>
        <w:tc>
          <w:tcPr>
            <w:tcW w:type="dxa" w:w="7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Durable file store (documents, photos, logos) via IFileStorageService; auto-disables when unconfigured/unreachable, falling back to DB/disk.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Azure AI Document Intelligence (OCR)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Prebuilt-read text extraction for TRN/Trade-Licence/DUNS and Emirates-ID; best-effort (never blocks an upload).</w:t>
            </w:r>
          </w:p>
        </w:tc>
      </w:tr>
      <w:tr>
        <w:tc>
          <w:tcPr>
            <w:tcW w:type="dxa" w:w="2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License QR / DED fetch</w:t>
            </w:r>
          </w:p>
        </w:tc>
        <w:tc>
          <w:tcPr>
            <w:tcW w:type="dxa" w:w="7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ZXing + ImageSharp + PdfPig read the trade-licence QR to get the DED verification URL, fetched under the SSRF/DoS guards.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Email (EmailDispatcher)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SMTP when Email:Smtp:Host is set (works on Azure SQL), otherwise SQL Server Database Mail; logos embedded as base64 data URIs.</w:t>
            </w:r>
          </w:p>
        </w:tc>
      </w:tr>
      <w:tr>
        <w:tc>
          <w:tcPr>
            <w:tcW w:type="dxa" w:w="2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UAE Pass</w:t>
            </w:r>
          </w:p>
        </w:tc>
        <w:tc>
          <w:tcPr>
            <w:tcW w:type="dxa" w:w="7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Landlord identity verification via OIDC authorization-code; simulation mode when live credentials are absent.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Circularo e-signature</w:t>
            </w:r>
          </w:p>
        </w:tc>
        <w:tc>
          <w:tcPr>
            <w:tcW w:type="dxa" w:w="7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Routes the landlord summary PDF for signature; a background poller plus an HMAC-validated webhook capture completion.</w:t>
            </w:r>
          </w:p>
        </w:tc>
      </w:tr>
      <w:tr>
        <w:tc>
          <w:tcPr>
            <w:tcW w:type="dxa" w:w="25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QuestPDF</w:t>
            </w:r>
          </w:p>
        </w:tc>
        <w:tc>
          <w:tcPr>
            <w:tcW w:type="dxa" w:w="70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Signed declaration, landlord summary, and images→PDF generation.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8. Cross-Cutting Concerns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Caching: reference data cached in IMemoryCache with short TTLs and explicit invalidation on admin edits; also backs the login-lockout counter.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Audit: AuditService writes AuditLog rows for every workflow transition and break-glass activation, surfaced on the Admin › Audit Log page.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Provider flag: Database:Provider = Azure | Local selects AzureConnection vs DefaultConnection; both contexts use EnableRetryOnFailure() for transient-fault resilience.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Secrets hygiene: each host loads an optional gitignored appsettings.Local.json for real secrets; committed appsettings hold no secrets. Kestrel server headers suppressed on API and SelfService.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9. Deployment Topology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Internal deployment: a single Web site in the trusted zone with SQL Server. DMZ deployment: the public SelfService/Web front-end in the DMZ (no DB), reaching the internal API/Web tier through a firewall that exposes only /api/ss/* (or /connect/token + /api/selfservice/*). See the Deployment Guide on Azure for the cloud topology (App Service / VM, Azure SQL, Blob, Entra, SMTP).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Confidential   |   Page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5"/>
        <w:szCs w:val="15"/>
      </w:rPr>
      <w:t xml:space="preserve"> of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A04D" w:sz="6"/>
      </w:pBdr>
      <w:jc w:val="right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Technical Design &amp; Architecture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5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Portal — Technical Design &amp; Architecture</dc:title>
  <dc:creator>Supplier Portal QA</dc:creator>
  <cp:lastModifiedBy>Un-named</cp:lastModifiedBy>
  <cp:revision>1</cp:revision>
  <dcterms:created xsi:type="dcterms:W3CDTF">2026-09-15T17:52:50.272Z</dcterms:created>
  <dcterms:modified xsi:type="dcterms:W3CDTF">2026-09-15T17:52:50.272Z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