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Change Request – Field Template</w:t>
      </w:r>
    </w:p>
    <w:p>
      <w:r>
        <w:t>Change Request for the Supplier Portal September 2026 release. Fields follow the organisation's change workflow stages; source terminology retained. </w:t>
      </w:r>
    </w:p>
    <w:p>
      <w:pPr>
        <w:pStyle w:val="Heading1"/>
      </w:pPr>
      <w:r>
        <w:t>1. Submission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Change Request No.</w:t>
            </w:r>
          </w:p>
        </w:tc>
        <w:tc>
          <w:tcPr>
            <w:tcW w:type="dxa" w:w="4320"/>
          </w:tcPr>
          <w:p>
            <w:r>
              <w:t>CR-SP-2026-0917</w:t>
            </w:r>
          </w:p>
        </w:tc>
      </w:tr>
      <w:tr>
        <w:tc>
          <w:tcPr>
            <w:tcW w:type="dxa" w:w="4320"/>
          </w:tcPr>
          <w:p>
            <w:r>
              <w:t>Title / Subject</w:t>
            </w:r>
          </w:p>
        </w:tc>
        <w:tc>
          <w:tcPr>
            <w:tcW w:type="dxa" w:w="4320"/>
          </w:tcPr>
          <w:p>
            <w:r>
              <w:t>Supplier Portal – September 2026 Release: self-service form enhancements, Notification Groups &amp; Scheduled Reports, Break-Glass admin access, email/declaration updates, and security hardening</w:t>
            </w:r>
          </w:p>
        </w:tc>
      </w:tr>
      <w:tr>
        <w:tc>
          <w:tcPr>
            <w:tcW w:type="dxa" w:w="4320"/>
          </w:tcPr>
          <w:p>
            <w:r>
              <w:t>Requested By</w:t>
            </w:r>
          </w:p>
        </w:tc>
        <w:tc>
          <w:tcPr>
            <w:tcW w:type="dxa" w:w="4320"/>
          </w:tcPr>
          <w:p>
            <w:r>
              <w:t>appdev01@techsource.ae (Business Applications team)</w:t>
            </w:r>
          </w:p>
        </w:tc>
      </w:tr>
      <w:tr>
        <w:tc>
          <w:tcPr>
            <w:tcW w:type="dxa" w:w="4320"/>
          </w:tcPr>
          <w:p>
            <w:r>
              <w:t>Requested Date &amp; Time</w:t>
            </w:r>
          </w:p>
        </w:tc>
        <w:tc>
          <w:tcPr>
            <w:tcW w:type="dxa" w:w="4320"/>
          </w:tcPr>
          <w:p>
            <w:r>
              <w:t>17 September 2026, 16:30 (GST)</w:t>
            </w:r>
          </w:p>
        </w:tc>
      </w:tr>
      <w:tr>
        <w:tc>
          <w:tcPr>
            <w:tcW w:type="dxa" w:w="4320"/>
          </w:tcPr>
          <w:p>
            <w:r>
              <w:t>Status</w:t>
            </w:r>
          </w:p>
        </w:tc>
        <w:tc>
          <w:tcPr>
            <w:tcW w:type="dxa" w:w="4320"/>
          </w:tcPr>
          <w:p>
            <w:r>
              <w:t>Submitted for Approval</w:t>
            </w:r>
          </w:p>
        </w:tc>
      </w:tr>
      <w:tr>
        <w:tc>
          <w:tcPr>
            <w:tcW w:type="dxa" w:w="4320"/>
          </w:tcPr>
          <w:p>
            <w:r>
              <w:t>Workflow</w:t>
            </w:r>
          </w:p>
        </w:tc>
        <w:tc>
          <w:tcPr>
            <w:tcW w:type="dxa" w:w="4320"/>
          </w:tcPr>
          <w:p>
            <w:r>
              <w:t>Normal Change (Planned)</w:t>
            </w:r>
          </w:p>
        </w:tc>
      </w:tr>
      <w:tr>
        <w:tc>
          <w:tcPr>
            <w:tcW w:type="dxa" w:w="4320"/>
          </w:tcPr>
          <w:p>
            <w:r>
              <w:t>Template</w:t>
            </w:r>
          </w:p>
        </w:tc>
        <w:tc>
          <w:tcPr>
            <w:tcW w:type="dxa" w:w="4320"/>
          </w:tcPr>
          <w:p>
            <w:r>
              <w:t>Change Request – Field Template</w:t>
            </w:r>
          </w:p>
        </w:tc>
      </w:tr>
    </w:tbl>
    <w:p>
      <w:pPr>
        <w:pStyle w:val="Heading1"/>
      </w:pPr>
      <w:r>
        <w:t>2. Submission – Properties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Site</w:t>
            </w:r>
          </w:p>
        </w:tc>
        <w:tc>
          <w:tcPr>
            <w:tcW w:type="dxa" w:w="4320"/>
          </w:tcPr>
          <w:p>
            <w:r>
              <w:t>Dubai Investments – Supplier Portal (Microsoft Azure)</w:t>
            </w:r>
          </w:p>
        </w:tc>
      </w:tr>
      <w:tr>
        <w:tc>
          <w:tcPr>
            <w:tcW w:type="dxa" w:w="4320"/>
          </w:tcPr>
          <w:p>
            <w:r>
              <w:t>Group</w:t>
            </w:r>
          </w:p>
        </w:tc>
        <w:tc>
          <w:tcPr>
            <w:tcW w:type="dxa" w:w="4320"/>
          </w:tcPr>
          <w:p>
            <w:r>
              <w:t>Business Applications / IT</w:t>
            </w:r>
          </w:p>
        </w:tc>
      </w:tr>
      <w:tr>
        <w:tc>
          <w:tcPr>
            <w:tcW w:type="dxa" w:w="4320"/>
          </w:tcPr>
          <w:p>
            <w:r>
              <w:t>Category</w:t>
            </w:r>
          </w:p>
        </w:tc>
        <w:tc>
          <w:tcPr>
            <w:tcW w:type="dxa" w:w="4320"/>
          </w:tcPr>
          <w:p>
            <w:r>
              <w:t>Application</w:t>
            </w:r>
          </w:p>
        </w:tc>
      </w:tr>
      <w:tr>
        <w:tc>
          <w:tcPr>
            <w:tcW w:type="dxa" w:w="4320"/>
          </w:tcPr>
          <w:p>
            <w:r>
              <w:t>Item</w:t>
            </w:r>
          </w:p>
        </w:tc>
        <w:tc>
          <w:tcPr>
            <w:tcW w:type="dxa" w:w="4320"/>
          </w:tcPr>
          <w:p>
            <w:r>
              <w:t>Supplier Portal (internal admin site + Partner Connect self-service)</w:t>
            </w:r>
          </w:p>
        </w:tc>
      </w:tr>
      <w:tr>
        <w:tc>
          <w:tcPr>
            <w:tcW w:type="dxa" w:w="4320"/>
          </w:tcPr>
          <w:p>
            <w:r>
              <w:t>Urgency</w:t>
            </w:r>
          </w:p>
        </w:tc>
        <w:tc>
          <w:tcPr>
            <w:tcW w:type="dxa" w:w="4320"/>
          </w:tcPr>
          <w:p>
            <w:r>
              <w:t>Medium</w:t>
            </w:r>
          </w:p>
        </w:tc>
      </w:tr>
      <w:tr>
        <w:tc>
          <w:tcPr>
            <w:tcW w:type="dxa" w:w="4320"/>
          </w:tcPr>
          <w:p>
            <w:r>
              <w:t>Risk</w:t>
            </w:r>
          </w:p>
        </w:tc>
        <w:tc>
          <w:tcPr>
            <w:tcW w:type="dxa" w:w="4320"/>
          </w:tcPr>
          <w:p>
            <w:r>
              <w:t>Medium – new DB tables, auth/email and self-service changes; mitigated by config gating and additive-only migrations</w:t>
            </w:r>
          </w:p>
        </w:tc>
      </w:tr>
      <w:tr>
        <w:tc>
          <w:tcPr>
            <w:tcW w:type="dxa" w:w="4320"/>
          </w:tcPr>
          <w:p>
            <w:r>
              <w:t>Assets Involved</w:t>
            </w:r>
          </w:p>
        </w:tc>
        <w:tc>
          <w:tcPr>
            <w:tcW w:type="dxa" w:w="4320"/>
          </w:tcPr>
          <w:p>
            <w:r>
              <w:t>supplierportal.dubaiinvestments.com (App Service, internal); partnerconnect.dubaiinvestments.com (App Service, DMZ); Azure SQL (ts-db); Azure Blob (disupplierportal); Microsoft Graph mail app</w:t>
            </w:r>
          </w:p>
        </w:tc>
      </w:tr>
      <w:tr>
        <w:tc>
          <w:tcPr>
            <w:tcW w:type="dxa" w:w="4320"/>
          </w:tcPr>
          <w:p>
            <w:r>
              <w:t>SLA</w:t>
            </w:r>
          </w:p>
        </w:tc>
        <w:tc>
          <w:tcPr>
            <w:tcW w:type="dxa" w:w="4320"/>
          </w:tcPr>
          <w:p>
            <w:r>
              <w:t>Standard Change SLA</w:t>
            </w:r>
          </w:p>
        </w:tc>
      </w:tr>
      <w:tr>
        <w:tc>
          <w:tcPr>
            <w:tcW w:type="dxa" w:w="4320"/>
          </w:tcPr>
          <w:p>
            <w:r>
              <w:t>Change Type</w:t>
            </w:r>
          </w:p>
        </w:tc>
        <w:tc>
          <w:tcPr>
            <w:tcW w:type="dxa" w:w="4320"/>
          </w:tcPr>
          <w:p>
            <w:r>
              <w:t>Normal / Planned</w:t>
            </w:r>
          </w:p>
        </w:tc>
      </w:tr>
      <w:tr>
        <w:tc>
          <w:tcPr>
            <w:tcW w:type="dxa" w:w="4320"/>
          </w:tcPr>
          <w:p>
            <w:r>
              <w:t>Company / Organization</w:t>
            </w:r>
          </w:p>
        </w:tc>
        <w:tc>
          <w:tcPr>
            <w:tcW w:type="dxa" w:w="4320"/>
          </w:tcPr>
          <w:p>
            <w:r>
              <w:t>Dubai Investments PJSC</w:t>
            </w:r>
          </w:p>
        </w:tc>
      </w:tr>
      <w:tr>
        <w:tc>
          <w:tcPr>
            <w:tcW w:type="dxa" w:w="4320"/>
          </w:tcPr>
          <w:p>
            <w:r>
              <w:t>Subcategory</w:t>
            </w:r>
          </w:p>
        </w:tc>
        <w:tc>
          <w:tcPr>
            <w:tcW w:type="dxa" w:w="4320"/>
          </w:tcPr>
          <w:p>
            <w:r>
              <w:t>Web application enhancement &amp; security remediation</w:t>
            </w:r>
          </w:p>
        </w:tc>
      </w:tr>
      <w:tr>
        <w:tc>
          <w:tcPr>
            <w:tcW w:type="dxa" w:w="4320"/>
          </w:tcPr>
          <w:p>
            <w:r>
              <w:t>Impact</w:t>
            </w:r>
          </w:p>
        </w:tc>
        <w:tc>
          <w:tcPr>
            <w:tcW w:type="dxa" w:w="4320"/>
          </w:tcPr>
          <w:p>
            <w:r>
              <w:t>Medium</w:t>
            </w:r>
          </w:p>
        </w:tc>
      </w:tr>
      <w:tr>
        <w:tc>
          <w:tcPr>
            <w:tcW w:type="dxa" w:w="4320"/>
          </w:tcPr>
          <w:p>
            <w:r>
              <w:t>Priority</w:t>
            </w:r>
          </w:p>
        </w:tc>
        <w:tc>
          <w:tcPr>
            <w:tcW w:type="dxa" w:w="4320"/>
          </w:tcPr>
          <w:p>
            <w:r>
              <w:t>P2 – High</w:t>
            </w:r>
          </w:p>
        </w:tc>
      </w:tr>
      <w:tr>
        <w:tc>
          <w:tcPr>
            <w:tcW w:type="dxa" w:w="4320"/>
          </w:tcPr>
          <w:p>
            <w:r>
              <w:t>Services Affected</w:t>
            </w:r>
          </w:p>
        </w:tc>
        <w:tc>
          <w:tcPr>
            <w:tcW w:type="dxa" w:w="4320"/>
          </w:tcPr>
          <w:p>
            <w:r>
              <w:t>Supplier onboarding &amp; data-gathering (internal Manage Supplier and self-service Partner Connect); supplier OTP / notification / declaration / completion emails; scheduled report distribution</w:t>
            </w:r>
          </w:p>
        </w:tc>
      </w:tr>
      <w:tr>
        <w:tc>
          <w:tcPr>
            <w:tcW w:type="dxa" w:w="4320"/>
          </w:tcPr>
          <w:p>
            <w:r>
              <w:t>Reason For Change</w:t>
            </w:r>
          </w:p>
        </w:tc>
        <w:tc>
          <w:tcPr>
            <w:tcW w:type="dxa" w:w="4320"/>
          </w:tcPr>
          <w:p>
            <w:r>
              <w:t>Business/UAT feedback on the self-service supplier form; new reporting &amp; notification capability; controlled emergency (break-glass) access; and remediation of VA/PT (Acunetix) findings on both sites</w:t>
            </w:r>
          </w:p>
        </w:tc>
      </w:tr>
      <w:tr>
        <w:tc>
          <w:tcPr>
            <w:tcW w:type="dxa" w:w="4320"/>
          </w:tcPr>
          <w:p>
            <w:r>
              <w:t>SLA Violated</w:t>
            </w:r>
          </w:p>
        </w:tc>
        <w:tc>
          <w:tcPr>
            <w:tcW w:type="dxa" w:w="4320"/>
          </w:tcPr>
          <w:p>
            <w:r>
              <w:t>N/A</w:t>
            </w:r>
          </w:p>
        </w:tc>
      </w:tr>
      <w:tr>
        <w:tc>
          <w:tcPr>
            <w:tcW w:type="dxa" w:w="4320"/>
          </w:tcPr>
          <w:p>
            <w:r>
              <w:t>Description</w:t>
            </w:r>
          </w:p>
        </w:tc>
        <w:tc>
          <w:tcPr>
            <w:tcW w:type="dxa" w:w="4320"/>
          </w:tcPr>
          <w:p>
            <w:r>
              <w:t>This release bundles the Supplier Portal enhancements and fixes delivered on branch claude/supplierportal-app-overview-ba4wvv:</w:t>
              <w:br/>
              <w:t xml:space="preserve">• Self-service (Partner Connect) form aligned to the internal form: merged Address &amp; Contact tab, progress ring/stepper, field help (info) icons, red required markers.</w:t>
              <w:br/>
              <w:t xml:space="preserve">• VAT handling: when ‘VAT Registered = Yes’ a 15-digit TRN and VAT Registration Type are required and a VAT Certificate upload is mandatory; Supplier TIN validated to 10 digits.</w:t>
              <w:br/>
              <w:t xml:space="preserve">• Structured VAT Group entity table (Business Legal Name, Address, E-Invoicing Wave, TRN[15], TIN[10], Bus. Location Type) with per-row validation and column tooltips.</w:t>
              <w:br/>
              <w:t xml:space="preserve">• ‘Address same as Trade Licence/VAT Certificate?’ toggle; ‘No’ requires the alternate VAT-certificate address. Mandatory Trade Licence upload enforced on Next and Proceed.</w:t>
              <w:br/>
              <w:t xml:space="preserve">• Proceed → declaration (typed name + drawn signature) → animated Thank You + branded completion email; session-expired screen; centred completion-email layout.</w:t>
              <w:br/>
              <w:t xml:space="preserve">• Signed Declaration PDF trimmed to Business / Address / Contact (Site/Business Unit and Payment/Banking removed).</w:t>
              <w:br/>
              <w:t xml:space="preserve">• New Settings modules: Notification Groups (named recipient lists with enable/disable) and Scheduled Reports (email a supplier report as a PDF/Excel attachment to a group’s active members on a schedule; Run now; last-run status).</w:t>
              <w:br/>
              <w:t xml:space="preserve">• Break-Glass Access: administrator sets/rotates an emergency secret stored only as a salted PBKDF2-SHA256 hash (never plaintext, never in the database).</w:t>
              <w:br/>
              <w:t xml:space="preserve">• Email delivery via Microsoft Graph &gt; SMTP &gt; SQL Database Mail, with attachment support (Graph/SMTP).</w:t>
              <w:br/>
              <w:t xml:space="preserve">• Security hardening: public self-registration disabled by default; Secure antiforgery cookie; HSTS (1 year, includeSubDomains, preload).</w:t>
              <w:br/>
              <w:t xml:space="preserve">• Dashboard: P4 priority, column chooser, always-visible pagination, clearer print output. Delivery documents refreshed.</w:t>
            </w:r>
          </w:p>
        </w:tc>
      </w:tr>
    </w:tbl>
    <w:p>
      <w:pPr>
        <w:pStyle w:val="Heading1"/>
      </w:pPr>
      <w:r>
        <w:t>3. Planning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Impact Details</w:t>
            </w:r>
          </w:p>
        </w:tc>
        <w:tc>
          <w:tcPr>
            <w:tcW w:type="dxa" w:w="4320"/>
          </w:tcPr>
          <w:p>
            <w:r>
              <w:t>Two Azure App Services are redeployed (internal portal + Partner Connect). EF Core migrations apply automatically at startup, adding three tables (NotificationGroups, NotificationGroupUsers, ScheduledReports) with no changes to existing table structures. New configuration keys are read at startup. No changes to existing supplier records. New capabilities are configuration-gated (scheduler off unless Reports:SchedulerEnabled=true; break-glass off unless BreakGlass:Enabled and a secret are set).</w:t>
            </w:r>
          </w:p>
        </w:tc>
      </w:tr>
      <w:tr>
        <w:tc>
          <w:tcPr>
            <w:tcW w:type="dxa" w:w="4320"/>
          </w:tcPr>
          <w:p>
            <w:r>
              <w:t>Access / Security Requirements</w:t>
            </w:r>
          </w:p>
        </w:tc>
        <w:tc>
          <w:tcPr>
            <w:tcW w:type="dxa" w:w="4320"/>
          </w:tcPr>
          <w:p>
            <w:r>
              <w:t>• Azure App Service deploy/Contributor rights on both Web Apps.</w:t>
              <w:br/>
              <w:t xml:space="preserve">• App Settings edit rights (Reports__*, BreakGlass__Enabled, Auth__AllowSelfRegistration, Email__Graph__*).</w:t>
              <w:br/>
              <w:t xml:space="preserve">• Azure SQL: the application account runs the migrations at startup.</w:t>
              <w:br/>
              <w:t xml:space="preserve">• Administrator sign-in to set the Break-Glass secret in-app (Settings &gt; Break-Glass Access).</w:t>
            </w:r>
          </w:p>
        </w:tc>
      </w:tr>
      <w:tr>
        <w:tc>
          <w:tcPr>
            <w:tcW w:type="dxa" w:w="4320"/>
          </w:tcPr>
          <w:p>
            <w:r>
              <w:t>Impact</w:t>
            </w:r>
          </w:p>
        </w:tc>
        <w:tc>
          <w:tcPr>
            <w:tcW w:type="dxa" w:w="4320"/>
          </w:tcPr>
          <w:p>
            <w:r>
              <w:t>Medium and reversible. Risks: additive schema migration, the auth/registration setting, and email-provider behaviour. Mitigations: additive-only migrations, configuration gating, and backout by redeploying the previous build. No expected data loss; only a brief rolling restart.</w:t>
            </w:r>
          </w:p>
        </w:tc>
      </w:tr>
    </w:tbl>
    <w:p>
      <w:pPr>
        <w:pStyle w:val="Heading1"/>
      </w:pPr>
      <w:r>
        <w:t>4. Roll Out Plan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Roll Out Plan</w:t>
            </w:r>
          </w:p>
        </w:tc>
        <w:tc>
          <w:tcPr>
            <w:tcW w:type="dxa" w:w="4320"/>
          </w:tcPr>
          <w:p>
            <w:r>
              <w:t>1. Deploy branch claude/supplierportal-app-overview-ba4wvv.</w:t>
              <w:br/>
              <w:t xml:space="preserve">2. Publish SupplierPortal.Web to the internal App Service; publish SupplierPortal.SelfService to Partner Connect.</w:t>
              <w:br/>
              <w:t xml:space="preserve">3. On first start the app applies the EF Core migrations (creates the three new tables).</w:t>
              <w:br/>
              <w:t xml:space="preserve">4. Set/confirm App Settings: Auth__AllowSelfRegistration=false; Email__Graph__* (needed for report attachments); Reports__SchedulerEnabled / PollSeconds / TimeZone; BreakGlass__Enabled (only if emergency access is required).</w:t>
              <w:br/>
              <w:t xml:space="preserve">5. If break-glass is enabled, an administrator sets the secret via Settings &gt; Break-Glass Access.</w:t>
              <w:br/>
              <w:t xml:space="preserve">6. Restart both App Services and run post-deployment verification.</w:t>
            </w:r>
          </w:p>
        </w:tc>
      </w:tr>
    </w:tbl>
    <w:p>
      <w:pPr>
        <w:pStyle w:val="Heading1"/>
      </w:pPr>
      <w:r>
        <w:t>5. Backout Plan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Backout Plan</w:t>
            </w:r>
          </w:p>
        </w:tc>
        <w:tc>
          <w:tcPr>
            <w:tcW w:type="dxa" w:w="4320"/>
          </w:tcPr>
          <w:p>
            <w:r>
              <w:t>Redeploy the previous application build to both App Services. The migrations are additive (three new tables not referenced by the old code); they can be left in place with no effect, or dropped if required. Revert any newly added App Settings. No data restore is needed because existing tables and records are unchanged.</w:t>
            </w:r>
          </w:p>
        </w:tc>
      </w:tr>
    </w:tbl>
    <w:p>
      <w:pPr>
        <w:pStyle w:val="Heading1"/>
      </w:pPr>
      <w:r>
        <w:t>6. Checklist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Checklist</w:t>
            </w:r>
          </w:p>
        </w:tc>
        <w:tc>
          <w:tcPr>
            <w:tcW w:type="dxa" w:w="4320"/>
          </w:tcPr>
          <w:p>
            <w:r>
              <w:t>• Build succeeds; automated unit tests pass (29/29).</w:t>
              <w:br/>
              <w:t xml:space="preserve">• Both App Services publish successfully.</w:t>
              <w:br/>
              <w:t xml:space="preserve">• Migrations applied (new tables present).</w:t>
              <w:br/>
              <w:t xml:space="preserve">• Email provider (Graph/SMTP) configured so notifications and report attachments send.</w:t>
              <w:br/>
              <w:t xml:space="preserve">• Self-service link opens; OTP received; validation and submission verified; completion email renders centred.</w:t>
              <w:br/>
              <w:t xml:space="preserve">• Break-glass secret set (if enabled) and access tested.</w:t>
              <w:br/>
              <w:t xml:space="preserve">• Previous (rollback) build identified and available.</w:t>
            </w:r>
          </w:p>
        </w:tc>
      </w:tr>
    </w:tbl>
    <w:p>
      <w:pPr>
        <w:pStyle w:val="Heading1"/>
      </w:pPr>
      <w:r>
        <w:t>7. Release Schedule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Release Scheduled Start</w:t>
            </w:r>
          </w:p>
        </w:tc>
        <w:tc>
          <w:tcPr>
            <w:tcW w:type="dxa" w:w="4320"/>
          </w:tcPr>
          <w:p>
            <w:r>
              <w:t>[To be scheduled] – e.g. 20 Sep 2026, 22:00 (GST)</w:t>
            </w:r>
          </w:p>
        </w:tc>
      </w:tr>
      <w:tr>
        <w:tc>
          <w:tcPr>
            <w:tcW w:type="dxa" w:w="4320"/>
          </w:tcPr>
          <w:p>
            <w:r>
              <w:t>Release Actual Start</w:t>
            </w:r>
          </w:p>
        </w:tc>
        <w:tc>
          <w:tcPr>
            <w:tcW w:type="dxa" w:w="4320"/>
          </w:tcPr>
          <w:p>
            <w:r>
              <w:t>[Recorded on deployment]</w:t>
            </w:r>
          </w:p>
        </w:tc>
      </w:tr>
      <w:tr>
        <w:tc>
          <w:tcPr>
            <w:tcW w:type="dxa" w:w="4320"/>
          </w:tcPr>
          <w:p>
            <w:r>
              <w:t>Release Scheduled End</w:t>
            </w:r>
          </w:p>
        </w:tc>
        <w:tc>
          <w:tcPr>
            <w:tcW w:type="dxa" w:w="4320"/>
          </w:tcPr>
          <w:p>
            <w:r>
              <w:t>[To be scheduled] – e.g. 20 Sep 2026, 23:30 (GST)</w:t>
            </w:r>
          </w:p>
        </w:tc>
      </w:tr>
      <w:tr>
        <w:tc>
          <w:tcPr>
            <w:tcW w:type="dxa" w:w="4320"/>
          </w:tcPr>
          <w:p>
            <w:r>
              <w:t>Release Actual End</w:t>
            </w:r>
          </w:p>
        </w:tc>
        <w:tc>
          <w:tcPr>
            <w:tcW w:type="dxa" w:w="4320"/>
          </w:tcPr>
          <w:p>
            <w:r>
              <w:t>[Recorded on deployment]</w:t>
            </w:r>
          </w:p>
        </w:tc>
      </w:tr>
    </w:tbl>
    <w:p>
      <w:pPr>
        <w:pStyle w:val="Heading1"/>
      </w:pPr>
      <w:r>
        <w:t>8. Deployment Details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Deployment Details</w:t>
            </w:r>
          </w:p>
        </w:tc>
        <w:tc>
          <w:tcPr>
            <w:tcW w:type="dxa" w:w="4320"/>
          </w:tcPr>
          <w:p>
            <w:r>
              <w:t>Off-peak window; rolling restart (~5–10 minutes). Publish both App Services (Kudu / Azure DevOps), confirm migrations applied via startup logs, apply App Settings, restart, then smoke-test internal Manage Supplier and a Partner Connect self-service link.</w:t>
            </w:r>
          </w:p>
        </w:tc>
      </w:tr>
    </w:tbl>
    <w:p>
      <w:pPr>
        <w:pStyle w:val="Heading1"/>
      </w:pPr>
      <w:r>
        <w:t>9. Associations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Problems</w:t>
            </w:r>
          </w:p>
        </w:tc>
        <w:tc>
          <w:tcPr>
            <w:tcW w:type="dxa" w:w="4320"/>
          </w:tcPr>
          <w:p>
            <w:r>
              <w:t>VA/PT (Acunetix) findings, including anonymous database junk-record creation via the open registration endpoint (remediated by disabling self-registration).</w:t>
            </w:r>
          </w:p>
        </w:tc>
      </w:tr>
      <w:tr>
        <w:tc>
          <w:tcPr>
            <w:tcW w:type="dxa" w:w="4320"/>
          </w:tcPr>
          <w:p>
            <w:r>
              <w:t>Requests</w:t>
            </w:r>
          </w:p>
        </w:tc>
        <w:tc>
          <w:tcPr>
            <w:tcW w:type="dxa" w:w="4320"/>
          </w:tcPr>
          <w:p>
            <w:r>
              <w:t>UAT feedback for the self-service form: merged Address &amp; Contact tab, VAT-certificate requirement, VAT Group table, field tooltips, toast readability, address-line width, and completion-email layout.</w:t>
            </w:r>
          </w:p>
        </w:tc>
      </w:tr>
      <w:tr>
        <w:tc>
          <w:tcPr>
            <w:tcW w:type="dxa" w:w="4320"/>
          </w:tcPr>
          <w:p>
            <w:r>
              <w:t>Releases caused by this Change</w:t>
            </w:r>
          </w:p>
        </w:tc>
        <w:tc>
          <w:tcPr>
            <w:tcW w:type="dxa" w:w="4320"/>
          </w:tcPr>
          <w:p>
            <w:r>
              <w:t>Supplier Portal release on branch claude/supplierportal-app-overview-ba4wvv.</w:t>
            </w:r>
          </w:p>
        </w:tc>
      </w:tr>
    </w:tbl>
    <w:p>
      <w:pPr>
        <w:pStyle w:val="Heading1"/>
      </w:pPr>
      <w:r>
        <w:t>10. UAT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UAT Description</w:t>
            </w:r>
          </w:p>
        </w:tc>
        <w:tc>
          <w:tcPr>
            <w:tcW w:type="dxa" w:w="4320"/>
          </w:tcPr>
          <w:p>
            <w:r>
              <w:t>UAT on Partner Connect and the internal site: self-service flow (link → OTP → merged Address &amp; Contact tab → VAT / VAT-Group validation → documents → declaration signature → Thank You + completion email), field tooltips, required-field enforcement on Next/Proceed, address-line layout and completion-email layout. Internal: Notification Groups, Scheduled Reports (Run now delivering a PDF attachment) and setting the Break-Glass secret. Feedback items were fixed iteratively.</w:t>
            </w:r>
          </w:p>
        </w:tc>
      </w:tr>
      <w:tr>
        <w:tc>
          <w:tcPr>
            <w:tcW w:type="dxa" w:w="4320"/>
          </w:tcPr>
          <w:p>
            <w:r>
              <w:t>UAT Actual Start</w:t>
            </w:r>
          </w:p>
        </w:tc>
        <w:tc>
          <w:tcPr>
            <w:tcW w:type="dxa" w:w="4320"/>
          </w:tcPr>
          <w:p>
            <w:r>
              <w:t>16 September 2026</w:t>
            </w:r>
          </w:p>
        </w:tc>
      </w:tr>
      <w:tr>
        <w:tc>
          <w:tcPr>
            <w:tcW w:type="dxa" w:w="4320"/>
          </w:tcPr>
          <w:p>
            <w:r>
              <w:t>UAT Actual End</w:t>
            </w:r>
          </w:p>
        </w:tc>
        <w:tc>
          <w:tcPr>
            <w:tcW w:type="dxa" w:w="4320"/>
          </w:tcPr>
          <w:p>
            <w:r>
              <w:t>17 September 2026 (self-service UAT ongoing on Partner Connect)</w:t>
            </w:r>
          </w:p>
        </w:tc>
      </w:tr>
    </w:tbl>
    <w:p>
      <w:pPr>
        <w:pStyle w:val="Heading1"/>
      </w:pPr>
      <w:r>
        <w:t>11. Review</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Review</w:t>
            </w:r>
          </w:p>
        </w:tc>
        <w:tc>
          <w:tcPr>
            <w:tcW w:type="dxa" w:w="4320"/>
          </w:tcPr>
          <w:p>
            <w:r>
              <w:t>Post-implementation review to confirm both sites are healthy, OTP / completion / scheduled-report emails deliver, there are no authentication regressions, and no new VA/PT findings. Recommend rotating the secrets currently kept in configuration and moving them to Azure Key Vault.</w:t>
            </w:r>
          </w:p>
        </w:tc>
      </w:tr>
      <w:tr>
        <w:tc>
          <w:tcPr>
            <w:tcW w:type="dxa" w:w="4320"/>
          </w:tcPr>
          <w:p>
            <w:r>
              <w:t>Next Review Date</w:t>
            </w:r>
          </w:p>
        </w:tc>
        <w:tc>
          <w:tcPr>
            <w:tcW w:type="dxa" w:w="4320"/>
          </w:tcPr>
          <w:p>
            <w:r>
              <w:t>30 September 2026</w:t>
            </w:r>
          </w:p>
        </w:tc>
      </w:tr>
    </w:tbl>
    <w:p>
      <w:pPr>
        <w:pStyle w:val="Heading1"/>
      </w:pPr>
      <w:r>
        <w:t>12. Close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Closure Code</w:t>
            </w:r>
          </w:p>
        </w:tc>
        <w:tc>
          <w:tcPr>
            <w:tcW w:type="dxa" w:w="4320"/>
          </w:tcPr>
          <w:p>
            <w:r>
              <w:t>[On completion] – Completed / Successful</w:t>
            </w:r>
          </w:p>
        </w:tc>
      </w:tr>
      <w:tr>
        <w:tc>
          <w:tcPr>
            <w:tcW w:type="dxa" w:w="4320"/>
          </w:tcPr>
          <w:p>
            <w:r>
              <w:t>Close Details</w:t>
            </w:r>
          </w:p>
        </w:tc>
        <w:tc>
          <w:tcPr>
            <w:tcW w:type="dxa" w:w="4320"/>
          </w:tcPr>
          <w:p>
            <w:r>
              <w:t>[On completion] Change deployed to production; verification checklist passed; delivery documents updated. Follow-up: rotate configuration secrets / move to Key Vault.</w:t>
            </w:r>
          </w:p>
        </w:tc>
      </w:tr>
    </w:tbl>
    <w:p>
      <w:pPr>
        <w:pStyle w:val="Heading1"/>
      </w:pPr>
      <w:r>
        <w:t>13. Roles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Change Requester</w:t>
            </w:r>
          </w:p>
        </w:tc>
        <w:tc>
          <w:tcPr>
            <w:tcW w:type="dxa" w:w="4320"/>
          </w:tcPr>
          <w:p>
            <w:r>
              <w:t>appdev01@techsource.ae (Business Applications)</w:t>
            </w:r>
          </w:p>
        </w:tc>
      </w:tr>
      <w:tr>
        <w:tc>
          <w:tcPr>
            <w:tcW w:type="dxa" w:w="4320"/>
          </w:tcPr>
          <w:p>
            <w:r>
              <w:t>Change Manager</w:t>
            </w:r>
          </w:p>
        </w:tc>
        <w:tc>
          <w:tcPr>
            <w:tcW w:type="dxa" w:w="4320"/>
          </w:tcPr>
          <w:p>
            <w:r>
              <w:t>[Business Applications Manager]</w:t>
            </w:r>
          </w:p>
        </w:tc>
      </w:tr>
      <w:tr>
        <w:tc>
          <w:tcPr>
            <w:tcW w:type="dxa" w:w="4320"/>
          </w:tcPr>
          <w:p>
            <w:r>
              <w:t>Change Owner</w:t>
            </w:r>
          </w:p>
        </w:tc>
        <w:tc>
          <w:tcPr>
            <w:tcW w:type="dxa" w:w="4320"/>
          </w:tcPr>
          <w:p>
            <w:r>
              <w:t>[Business Applications team lead]</w:t>
            </w:r>
          </w:p>
        </w:tc>
      </w:tr>
      <w:tr>
        <w:tc>
          <w:tcPr>
            <w:tcW w:type="dxa" w:w="4320"/>
          </w:tcPr>
          <w:p>
            <w:r>
              <w:t>Implementer</w:t>
            </w:r>
          </w:p>
        </w:tc>
        <w:tc>
          <w:tcPr>
            <w:tcW w:type="dxa" w:w="4320"/>
          </w:tcPr>
          <w:p>
            <w:r>
              <w:t>Business Applications / Development team</w:t>
            </w:r>
          </w:p>
        </w:tc>
      </w:tr>
    </w:tbl>
    <w:p>
      <w:pPr>
        <w:pStyle w:val="Heading1"/>
      </w:pPr>
      <w:r>
        <w:t>14. Tasks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 / Input</w:t>
            </w:r>
          </w:p>
        </w:tc>
      </w:tr>
      <w:tr>
        <w:tc>
          <w:tcPr>
            <w:tcW w:type="dxa" w:w="4320"/>
          </w:tcPr>
          <w:p>
            <w:r>
              <w:t>Change Stage</w:t>
            </w:r>
          </w:p>
        </w:tc>
        <w:tc>
          <w:tcPr>
            <w:tcW w:type="dxa" w:w="4320"/>
          </w:tcPr>
          <w:p>
            <w:r>
              <w:t>Implementation</w:t>
            </w:r>
          </w:p>
        </w:tc>
      </w:tr>
      <w:tr>
        <w:tc>
          <w:tcPr>
            <w:tcW w:type="dxa" w:w="4320"/>
          </w:tcPr>
          <w:p>
            <w:r>
              <w:t>Task Title</w:t>
            </w:r>
          </w:p>
        </w:tc>
        <w:tc>
          <w:tcPr>
            <w:tcW w:type="dxa" w:w="4320"/>
          </w:tcPr>
          <w:p>
            <w:r>
              <w:t>Deploy the Supplier Portal Sep-2026 release to both App Services and apply configuration</w:t>
            </w:r>
          </w:p>
        </w:tc>
      </w:tr>
      <w:tr>
        <w:tc>
          <w:tcPr>
            <w:tcW w:type="dxa" w:w="4320"/>
          </w:tcPr>
          <w:p>
            <w:r>
              <w:t>Status</w:t>
            </w:r>
          </w:p>
        </w:tc>
        <w:tc>
          <w:tcPr>
            <w:tcW w:type="dxa" w:w="4320"/>
          </w:tcPr>
          <w:p>
            <w:r>
              <w:t>In Progress</w:t>
            </w:r>
          </w:p>
        </w:tc>
      </w:tr>
      <w:tr>
        <w:tc>
          <w:tcPr>
            <w:tcW w:type="dxa" w:w="4320"/>
          </w:tcPr>
          <w:p>
            <w:r>
              <w:t>Priority</w:t>
            </w:r>
          </w:p>
        </w:tc>
        <w:tc>
          <w:tcPr>
            <w:tcW w:type="dxa" w:w="4320"/>
          </w:tcPr>
          <w:p>
            <w:r>
              <w:t>P2 – High</w:t>
            </w:r>
          </w:p>
        </w:tc>
      </w:tr>
      <w:tr>
        <w:tc>
          <w:tcPr>
            <w:tcW w:type="dxa" w:w="4320"/>
          </w:tcPr>
          <w:p>
            <w:r>
              <w:t>Owner</w:t>
            </w:r>
          </w:p>
        </w:tc>
        <w:tc>
          <w:tcPr>
            <w:tcW w:type="dxa" w:w="4320"/>
          </w:tcPr>
          <w:p>
            <w:r>
              <w:t>Business Applications / Development team</w:t>
            </w:r>
          </w:p>
        </w:tc>
      </w:tr>
      <w:tr>
        <w:tc>
          <w:tcPr>
            <w:tcW w:type="dxa" w:w="4320"/>
          </w:tcPr>
          <w:p>
            <w:r>
              <w:t>Scheduled Start</w:t>
            </w:r>
          </w:p>
        </w:tc>
        <w:tc>
          <w:tcPr>
            <w:tcW w:type="dxa" w:w="4320"/>
          </w:tcPr>
          <w:p>
            <w:r>
              <w:t>[To be scheduled]</w:t>
            </w:r>
          </w:p>
        </w:tc>
      </w:tr>
      <w:tr>
        <w:tc>
          <w:tcPr>
            <w:tcW w:type="dxa" w:w="4320"/>
          </w:tcPr>
          <w:p>
            <w:r>
              <w:t>Scheduled End</w:t>
            </w:r>
          </w:p>
        </w:tc>
        <w:tc>
          <w:tcPr>
            <w:tcW w:type="dxa" w:w="4320"/>
          </w:tcPr>
          <w:p>
            <w:r>
              <w:t>[To be scheduled]</w:t>
            </w:r>
          </w:p>
        </w:tc>
      </w:tr>
      <w:tr>
        <w:tc>
          <w:tcPr>
            <w:tcW w:type="dxa" w:w="4320"/>
          </w:tcPr>
          <w:p>
            <w:r>
              <w:t>Progress (%)</w:t>
            </w:r>
          </w:p>
        </w:tc>
        <w:tc>
          <w:tcPr>
            <w:tcW w:type="dxa" w:w="4320"/>
          </w:tcPr>
          <w:p>
            <w:r>
              <w:t>Development 100% (code complete, committed &amp; pushed); deployment pending</w:t>
            </w:r>
          </w:p>
        </w:tc>
      </w:tr>
    </w:tbl>
    <w:p>
      <w:pPr>
        <w:pStyle w:val="Heading1"/>
      </w:pPr>
      <w:r>
        <w:t>15. Access Requirements &amp; Impact Considerations</w:t>
      </w:r>
    </w:p>
    <w:p>
      <w:r>
        <w:t>Access required to implement and verify this change:</w:t>
      </w:r>
    </w:p>
    <w:p>
      <w:pPr>
        <w:pStyle w:val="ListBullet"/>
      </w:pPr>
      <w:r>
        <w:t>Azure App Service: Contributor / deploy rights on both Web Apps (supplierportal, partnerconnect).</w:t>
      </w:r>
    </w:p>
    <w:p>
      <w:pPr>
        <w:pStyle w:val="ListBullet"/>
      </w:pPr>
      <w:r>
        <w:t>Azure App Service Application Settings: permission to add Reports__*, BreakGlass__Enabled, Auth__AllowSelfRegistration and Email__Graph__*.</w:t>
      </w:r>
    </w:p>
    <w:p>
      <w:pPr>
        <w:pStyle w:val="ListBullet"/>
      </w:pPr>
      <w:r>
        <w:t>Azure SQL: the application's connection account applies the EF Core migrations at startup (creates NotificationGroups, NotificationGroupUsers, ScheduledReports).</w:t>
      </w:r>
    </w:p>
    <w:p>
      <w:pPr>
        <w:pStyle w:val="ListBullet"/>
      </w:pPr>
      <w:r>
        <w:t>Administrator sign-in to set the Break-Glass secret in-app (Settings &gt; Break-Glass Access).</w:t>
      </w:r>
    </w:p>
    <w:p>
      <w:r>
        <w:t>Impact considerations: additive schema only (three new tables; no changes to existing table structures); a brief rolling restart on deploy; no modification of existing supplier data; new features are configuration-gated (the scheduler and break-glass stay off until configured); and report-email attachments require Microsoft Graph or SMTP.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