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Dubai Investments</w:t>
      </w:r>
    </w:p>
    <w:p>
      <w:pPr>
        <w:pBdr>
          <w:bottom w:val="single" w:color="CAA04D" w:sz="12"/>
        </w:pBdr>
        <w:spacing w:after="12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0B2545"/>
          <w:sz w:val="52"/>
          <w:szCs w:val="52"/>
        </w:rPr>
        <w:t xml:space="preserve">Supplier Portal</w:t>
      </w:r>
    </w:p>
    <w:p>
      <w:pPr>
        <w:spacing w:after="400"/>
      </w:pPr>
      <w:r>
        <w:rPr>
          <w:rFonts w:ascii="Calibri" w:cs="Calibri" w:eastAsia="Calibri" w:hAnsi="Calibri"/>
          <w:color w:val="6B7280"/>
          <w:sz w:val="28"/>
          <w:szCs w:val="28"/>
        </w:rPr>
        <w:t xml:space="preserve">Database Schema &amp; Relationships</w:t>
      </w:r>
    </w:p>
    <w:tbl>
      <w:tblPr>
        <w:tblW w:type="dxa" w:w="98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Document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Database Schema &amp; Entity Relationships (Supplier Portal)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Scope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 only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 Portal (.NET 8, EF Core 8.0.11, SQL Server / Azure SQL)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Version</w:t>
            </w:r>
          </w:p>
        </w:tc>
        <w:tc>
          <w:tcPr>
            <w:tcW w:type="dxa" w:w="6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32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22303F"/>
                <w:sz w:val="18"/>
                <w:szCs w:val="18"/>
              </w:rPr>
              <w:t xml:space="preserve">Date</w:t>
            </w:r>
          </w:p>
        </w:tc>
        <w:tc>
          <w:tcPr>
            <w:tcW w:type="dxa" w:w="66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15 September 2026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This document describes the Supplier Portal data model only. The Supplier Portal persists data in Microsoft SQL Server (on-premises) or Azure SQL Database, accessed through Entity Framework Core 8 using the DbContextFactory pattern. The supplier, user and master-data schema lives in ApplicationDbContext (default dbo schema).</w:t>
      </w:r>
    </w:p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Conventions: every entity has an identity integer primary key named Id unless stated. String lengths shown are the declared [MaxLength]. Foreign keys use ON DELETE RESTRICT unless noted (child collections cascade). Navigation properties are not columns.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2. Master Data &amp; Security (dbo)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2.1 BusinessUnit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Dubai Investments group entity / company. Suppliers and users are scoped to business units.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index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Domain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host per BU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Email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string(256)?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Contact / reply-to for the unit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LogoUrl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 / Thumbnail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byte[]?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Branding images (DB)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LogoBlobKey / ThumbnailBlobKey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string(400)?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Blob-stored branding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LogoContentType / ThumbnailContentType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CreatedAt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2.2 Department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string(30)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2.3 User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An internal application user (staff). Authenticated locally, via Active Directory, or via Entra SSO.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FullName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Designation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string(150)?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DepartmentId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Department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Email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string(256)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index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ProfilePhoto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byte[]?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or ProfilePhotoBlobKey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PasswordHash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AuthSource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Local / ActiveDirectory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AdLogin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string(256)?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Subject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SSO subject id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UserType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Administrator / NormalUser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PortalAccess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 [Flags]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CompanyBusinessUnitId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BusinessUnit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 / IsDefaultAdmin / IsPendingRegistration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CreatedAt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Many-to-many: User ⇄ BusinessUnit through the join table UserBusinessUnits (composite PK UserId+BusinessUnitId, both FKs cascade).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2.4 LookupValue (shared dropdown table)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 single table holding every dropdown option, keyed by a Category enum. One row = one option in a category. Uniqueness is enforced by UNIQUE (Category, Code).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Category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18 categories (see below)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Code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Unique per category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DisplayName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Shown text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PhoneCode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Country category only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IsActive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bool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Default true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Categories: TaxOrganizationType, SupplierType, Country, Province, VatCode, PaymentMethod, PaymentTerms, Prefix, Currency, BusinessRelationship, CommunicationMethod, SupplierStatus, VatRegistrationType, BusinessPartnerType, BusinessLocationType, EInvoicingWave, LicensingAuthority.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2.5 Bank &amp; BankBranch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Bank.Id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Bank.Name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BankBranch.BankId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Bank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BankBranch.Name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string(200)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2.6 AuditLog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PK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Timestamp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DateTime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ActorUsername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string(100)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Action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enum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Login/Logout/Create/Update/Activate/Deactivate/Delete/Notify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EntityType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string(50)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EntityId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int?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Loose reference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Details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string(500)?</w:t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2.7 Configuration tables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SupplierFieldSetting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Per-field label, Step, Sequence, IsMandatory, IsVisibleToSupplier, IsRemoved. Unique FieldKey.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SupplierTabSetting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Wizard tab Step (unique), Title, IsVisible.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3. Supplier Domain (dbo)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3.1 Supplier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The central supplier record (~150 columns). Columns are grouped below by section; primary-contact and one address are held as flat columns, with additional contacts, bank accounts and VAT-group entities as child tables.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1800"/>
        <w:gridCol w:w="4900"/>
        <w:gridCol w:w="2800"/>
      </w:tblGrid>
      <w:tr>
        <w:trPr>
          <w:tblHeader/>
        </w:trPr>
        <w:tc>
          <w:tcPr>
            <w:tcW w:type="dxa" w:w="18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Group</w:t>
            </w:r>
          </w:p>
        </w:tc>
        <w:tc>
          <w:tcPr>
            <w:tcW w:type="dxa" w:w="4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Representative columns</w:t>
            </w:r>
          </w:p>
        </w:tc>
        <w:tc>
          <w:tcPr>
            <w:tcW w:type="dxa" w:w="28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Lookup / FK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Identity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SupplierNumber, Priority, SupplierName, Email, IsDraft, IsActive, CreatedAt/By, UpdatedAt/By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BusinessUnitId → BusinessUnit (required)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Classification / tax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TaxRegistrationNumber, VatRegistered, SupplierTin, DunsNumber, CorporateWebSite, TradeLicense* , LicenseType, IsOneTimeSupplier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TaxOrganizationTypeId, SupplierTypeId, TaxpayerCountryId, CountryNameId, VatRegistrationTypeId, BusinessPartnerTypeId, BusinessLocationTypeId, EInvoicingWaveId, TradeLicenseIssuingBodyId, BusinessRelationshipId → LookupValue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AddressLine1/2, City/State, PostalCode, VAT-certificate address block, address-purpose flags, RemittanceEmail, business phone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CityId, CountryId, BusinessPhoneCountryCodeId → LookupValue (VatCityId/VatCountryId are plain columns, no FK)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Primary contact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Prefix, First/Middle/Last name, ContactEmail, Phone/Mobile + area codes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PrefixId, PhoneCountryCodeId, MobileCountryCodeId → LookupValue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Site / assignment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SupplierSite, communication e-mail, function flags (IsOrdering, IsSourcingOnly, IsPurchasing, IsPay, IsPrimaryPay)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SupplierSiteBuId, ProcurementBuId, ClientBuId, BillToBuId → BusinessUnit; CommunicationMethodId → LookupValue</w:t>
            </w:r>
          </w:p>
        </w:tc>
      </w:tr>
      <w:tr>
        <w:tc>
          <w:tcPr>
            <w:tcW w:type="dxa" w:w="1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Payment / banking</w:t>
            </w:r>
          </w:p>
        </w:tc>
        <w:tc>
          <w:tcPr>
            <w:tcW w:type="dxa" w:w="4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AccountName/Number, SwiftCode, Iban, dates, intermediary-bank block, AllowInternationalPayments</w:t>
            </w:r>
          </w:p>
        </w:tc>
        <w:tc>
          <w:tcPr>
            <w:tcW w:type="dxa" w:w="2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PaymentMethodId, PaymentTermsId, VatCodeId, CurrencyId, AccountCountryCodeId, AccountCurrencyCodeId, IntermediaryCountryId → LookupValue; BankId → Bank; BankBranchId → BankBranch</w:t>
            </w:r>
          </w:p>
        </w:tc>
      </w:tr>
      <w:tr>
        <w:tc>
          <w:tcPr>
            <w:tcW w:type="dxa" w:w="1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Status / ownership / disclaimer</w:t>
            </w:r>
          </w:p>
        </w:tc>
        <w:tc>
          <w:tcPr>
            <w:tcW w:type="dxa" w:w="4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ReviewRemarks, DisclaimerAcknowledged/At/By/Text/Signature, DisclaimerSignatureImage [NotMapped]</w:t>
            </w:r>
          </w:p>
        </w:tc>
        <w:tc>
          <w:tcPr>
            <w:tcW w:type="dxa" w:w="28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StatusId → LookupValue; AssignedToUserId → User; DepartmentId → Department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In total Supplier declares 25 foreign keys to LookupValue, five to BusinessUnit (one required), one each to Bank and BankBranch, and convention FKs to User (AssignedToUserId) and Department (DepartmentId). All LookupValue/BusinessUnit/Bank FKs use ON DELETE RESTRICT.</w:t>
      </w:r>
    </w:p>
    <w:p>
      <w:pPr>
        <w:pStyle w:val="Heading2"/>
        <w:spacing w:after="90" w:before="200"/>
      </w:pPr>
      <w:r>
        <w:rPr>
          <w:rFonts w:ascii="Calibri" w:cs="Calibri" w:eastAsia="Calibri" w:hAnsi="Calibri"/>
          <w:b/>
          <w:bCs/>
          <w:color w:val="274A7D"/>
          <w:sz w:val="25"/>
          <w:szCs w:val="25"/>
        </w:rPr>
        <w:t xml:space="preserve">3.2 Supplier child tables</w:t>
      </w:r>
    </w:p>
    <w:tbl>
      <w:tblPr>
        <w:tblW w:type="dxa" w:w="9500"/>
        <w:tblBorders>
          <w:top w:val="single" w:color="D3DAE6" w:sz="4"/>
          <w:left w:val="single" w:color="D3DAE6" w:sz="4"/>
          <w:bottom w:val="single" w:color="D3DAE6" w:sz="4"/>
          <w:right w:val="single" w:color="D3DAE6" w:sz="4"/>
          <w:insideH w:val="single" w:color="D3DAE6" w:sz="4"/>
          <w:insideV w:val="single" w:color="D3DAE6" w:sz="4"/>
        </w:tblBorders>
      </w:tblPr>
      <w:tblGrid>
        <w:gridCol w:w="3400"/>
        <w:gridCol w:w="2100"/>
        <w:gridCol w:w="1900"/>
        <w:gridCol w:w="2100"/>
      </w:tblGrid>
      <w:tr>
        <w:trPr>
          <w:tblHeader/>
        </w:trPr>
        <w:tc>
          <w:tcPr>
            <w:tcW w:type="dxa" w:w="34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Column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9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Key / FK</w:t>
            </w:r>
          </w:p>
        </w:tc>
        <w:tc>
          <w:tcPr>
            <w:tcW w:type="dxa" w:w="2100"/>
            <w:shd w:fill="0B2545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SupplierContact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Additional contacts; Prefix/Phone/Mobile country codes → LookupValue; SortOrder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SupplierBankAccount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Bank, BankBranch, currency/country codes; SortOrder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SupplierVatGroupEntity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VAT-group members; EInvoicingWaveId/BusinessLocationTypeId are plain columns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SupplierPartner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Trade-licence owners/partners (name, share, role, nationality)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SupplierDocument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Type (TradeLicense/VatCertification/Other/BankConfirmationLetter/SignedDeclaration); Content (byte[]) or BlobKey; index (SupplierId, DocumentType)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SupplierAccessToken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link + OTP + session hashes; unique TokenHash</w:t>
            </w:r>
          </w:p>
        </w:tc>
      </w:tr>
      <w:tr>
        <w:tc>
          <w:tcPr>
            <w:tcW w:type="dxa" w:w="34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SupplierFieldChange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/>
            </w:r>
          </w:p>
        </w:tc>
        <w:tc>
          <w:tcPr>
            <w:tcW w:type="dxa" w:w="19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FK → Supplier (Cascade)</w:t>
            </w:r>
          </w:p>
        </w:tc>
        <w:tc>
          <w:tcPr>
            <w:tcW w:type="dxa" w:w="2100"/>
            <w:shd w:fill="F1F4F9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22303F"/>
                <w:sz w:val="18"/>
                <w:szCs w:val="18"/>
              </w:rPr>
              <w:t xml:space="preserve">Self-service change audit; FK → SupplierAccessToken (NoAction); index (SupplierId, IsAcknowledged)</w:t>
            </w:r>
          </w:p>
        </w:tc>
      </w:tr>
    </w:tbl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4. Relationships 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BusinessUnit 1—* Supplier (BusinessUnitId, required, Restrict) plus 4 optional BU refs (Site/Procurement/Client/BillTo).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User ⇄ BusinessUnit many-to-many (UserBusinessUnits); BusinessUnit 1—* User (CompanyBusinessUnitId).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Department 1—* User and 1—* Supplier; User 1—* Supplier (AssignedToUserId).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 1—* {Contact, BankAccount, VatGroupEntity, AccessToken, FieldChange, Document, Partner} — all cascade.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Bank 1—* BankBranch (cascade); LookupValue 1—* Supplier/SupplierContact/SupplierBankAccount (Restrict).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SupplierAccessToken 1—* SupplierFieldChange (NoAction, to avoid multiple cascade paths).</w:t>
      </w:r>
    </w:p>
    <w:p>
      <w:pPr>
        <w:pStyle w:val="Heading1"/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0"/>
          <w:szCs w:val="30"/>
        </w:rPr>
        <w:t xml:space="preserve">5. Indexes &amp; Integrity Notes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Unique indexes: BusinessUnit.Code, User.Email, LookupValue(Category, Code), SupplierFieldSetting.FieldKey, SupplierTabSetting.Step, SupplierAccessToken.TokenHash.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[NotMapped] (not a column): Supplier.DisclaimerSignatureImage (the drawn declaration signature, carried on submit only).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Blob columns (byte[]): BusinessUnit.Logo/Thumbnail, User.ProfilePhoto, SupplierDocument.Content (files store to blob when configured, else the DB Content column, else legacy disk).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sz w:val="21"/>
          <w:szCs w:val="21"/>
        </w:rPr>
        <w:t xml:space="preserve">ApplicationDbContext is registered with EnableRetryOnFailure() for Azure SQL transient-fault resilience.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Confidential   |   Page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5"/>
        <w:szCs w:val="15"/>
      </w:rPr>
      <w:t xml:space="preserve"> of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A04D" w:sz="6"/>
      </w:pBdr>
      <w:jc w:val="right"/>
    </w:pPr>
    <w:r>
      <w:rPr>
        <w:rFonts w:ascii="Calibri" w:cs="Calibri" w:eastAsia="Calibri" w:hAnsi="Calibri"/>
        <w:color w:val="6B7280"/>
        <w:sz w:val="15"/>
        <w:szCs w:val="15"/>
      </w:rPr>
      <w:t xml:space="preserve">Supplier Portal — 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Supplier Portal — Database Schema</dc:title>
  <dc:creator>Supplier Portal QA</dc:creator>
  <cp:lastModifiedBy>Un-named</cp:lastModifiedBy>
  <cp:revision>1</cp:revision>
  <dcterms:created xsi:type="dcterms:W3CDTF">2026-09-15T18:28:17.545Z</dcterms:created>
  <dcterms:modified xsi:type="dcterms:W3CDTF">2026-09-15T18:28:17.545Z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