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Dubai Investments</w:t>
      </w:r>
    </w:p>
    <w:p>
      <w:pPr>
        <w:pBdr>
          <w:bottom w:val="single" w:color="CAA04D" w:sz="12"/>
        </w:pBdr>
        <w:spacing w:after="12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0B2545"/>
          <w:sz w:val="52"/>
          <w:szCs w:val="52"/>
        </w:rPr>
        <w:t xml:space="preserve">Supplier Portal</w:t>
      </w:r>
    </w:p>
    <w:p>
      <w:pPr>
        <w:spacing w:after="400"/>
      </w:pPr>
      <w:r>
        <w:rPr>
          <w:rFonts w:ascii="Calibri" w:cs="Calibri" w:eastAsia="Calibri" w:hAnsi="Calibri"/>
          <w:color w:val="6B7280"/>
          <w:sz w:val="28"/>
          <w:szCs w:val="28"/>
        </w:rPr>
        <w:t xml:space="preserve">Technical Design &amp; Architecture</w:t>
      </w:r>
    </w:p>
    <w:tbl>
      <w:tblPr>
        <w:tblW w:type="dxa" w:w="9800"/>
        <w:tblBorders>
          <w:top w:val="single" w:color="D3DAE6" w:sz="4"/>
          <w:left w:val="single" w:color="D3DAE6" w:sz="4"/>
          <w:bottom w:val="single" w:color="D3DAE6" w:sz="4"/>
          <w:right w:val="single" w:color="D3DAE6" w:sz="4"/>
          <w:insideH w:val="single" w:color="D3DAE6" w:sz="4"/>
          <w:insideV w:val="single" w:color="D3DAE6" w:sz="4"/>
        </w:tblBorders>
      </w:tblPr>
      <w:tblGrid>
        <w:gridCol w:w="3200"/>
        <w:gridCol w:w="6600"/>
      </w:tblGrid>
      <w:tr>
        <w:trPr>
          <w:tblHeader/>
        </w:trPr>
        <w:tc>
          <w:tcPr>
            <w:tcW w:type="dxa" w:w="32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6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2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2303F"/>
                <w:sz w:val="18"/>
                <w:szCs w:val="18"/>
              </w:rPr>
              <w:t xml:space="preserve">Document</w:t>
            </w:r>
          </w:p>
        </w:tc>
        <w:tc>
          <w:tcPr>
            <w:tcW w:type="dxa" w:w="66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Technical Design &amp; Architecture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2303F"/>
                <w:sz w:val="18"/>
                <w:szCs w:val="18"/>
              </w:rPr>
              <w:t xml:space="preserve">Platform</w:t>
            </w:r>
          </w:p>
        </w:tc>
        <w:tc>
          <w:tcPr>
            <w:tcW w:type="dxa" w:w="6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.NET 8 · Blazor Server (Interactive Server) · EF Core 8 · SQL Server / Azure SQL</w:t>
            </w:r>
          </w:p>
        </w:tc>
      </w:tr>
      <w:tr>
        <w:tc>
          <w:tcPr>
            <w:tcW w:type="dxa" w:w="32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2303F"/>
                <w:sz w:val="18"/>
                <w:szCs w:val="18"/>
              </w:rPr>
              <w:t xml:space="preserve">Version</w:t>
            </w:r>
          </w:p>
        </w:tc>
        <w:tc>
          <w:tcPr>
            <w:tcW w:type="dxa" w:w="66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2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22303F"/>
                <w:sz w:val="18"/>
                <w:szCs w:val="18"/>
              </w:rPr>
              <w:t xml:space="preserve">Date</w:t>
            </w:r>
          </w:p>
        </w:tc>
        <w:tc>
          <w:tcPr>
            <w:tcW w:type="dxa" w:w="6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15 September 2026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1. Introduction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Supplier Portal is a .NET 8 Blazor Server application that digitises supplier onboarding and master-data maintenance for Dubai Investments. It supports an internal deployment and a hardened DMZ deployment in which a public self-service front-end talks to the internal tier through a controlled API seam. This document describes the solution structure, runtime architecture, security model and integrations.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2. Solution Structure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All projects target net8.0 with nullable reference types and implicit usings enabled. Solution file: BPPortal.sln.</w:t>
      </w:r>
    </w:p>
    <w:tbl>
      <w:tblPr>
        <w:tblW w:type="dxa" w:w="9500"/>
        <w:tblBorders>
          <w:top w:val="single" w:color="D3DAE6" w:sz="4"/>
          <w:left w:val="single" w:color="D3DAE6" w:sz="4"/>
          <w:bottom w:val="single" w:color="D3DAE6" w:sz="4"/>
          <w:right w:val="single" w:color="D3DAE6" w:sz="4"/>
          <w:insideH w:val="single" w:color="D3DAE6" w:sz="4"/>
          <w:insideV w:val="single" w:color="D3DAE6" w:sz="4"/>
        </w:tblBorders>
      </w:tblPr>
      <w:tblGrid>
        <w:gridCol w:w="2600"/>
        <w:gridCol w:w="1300"/>
        <w:gridCol w:w="5600"/>
      </w:tblGrid>
      <w:tr>
        <w:trPr>
          <w:tblHeader/>
        </w:trPr>
        <w:tc>
          <w:tcPr>
            <w:tcW w:type="dxa" w:w="26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13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SDK</w:t>
            </w:r>
          </w:p>
        </w:tc>
        <w:tc>
          <w:tcPr>
            <w:tcW w:type="dxa" w:w="56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6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SupplierPortal.Web</w:t>
            </w:r>
          </w:p>
        </w:tc>
        <w:tc>
          <w:tcPr>
            <w:tcW w:type="dxa" w:w="13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Web</w:t>
            </w:r>
          </w:p>
        </w:tc>
        <w:tc>
          <w:tcPr>
            <w:tcW w:type="dxa" w:w="56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Main Blazor Server app: portal UI, EF Core data layer, domain services, and (Internal mode) the internal self-service API. The trunk project referenced by the API and tests.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SupplierPortal.Api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Web</w:t>
            </w:r>
          </w:p>
        </w:tc>
        <w:tc>
          <w:tcPr>
            <w:tcW w:type="dxa" w:w="5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Internal REST API for the DMZ self-service portal; the only tier that touches the database in a DMZ deployment. References Web (reusing the EF model + services) and Contracts.</w:t>
            </w:r>
          </w:p>
        </w:tc>
      </w:tr>
      <w:tr>
        <w:tc>
          <w:tcPr>
            <w:tcW w:type="dxa" w:w="26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SupplierPortal.SelfService</w:t>
            </w:r>
          </w:p>
        </w:tc>
        <w:tc>
          <w:tcPr>
            <w:tcW w:type="dxa" w:w="13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Web</w:t>
            </w:r>
          </w:p>
        </w:tc>
        <w:tc>
          <w:tcPr>
            <w:tcW w:type="dxa" w:w="56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Public DMZ front-end (Blazor Server) for the supplier self-service wizard. References only Contracts — no EF, no data layer, no connection string; its only outbound channel is an HttpClient to the internal API.</w:t>
            </w:r>
          </w:p>
        </w:tc>
      </w:tr>
      <w:tr>
        <w:tc>
          <w:tcPr>
            <w:tcW w:type="dxa" w:w="2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SupplierPortal.Contracts</w:t>
            </w:r>
          </w:p>
        </w:tc>
        <w:tc>
          <w:tcPr>
            <w:tcW w:type="dxa" w:w="13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Class lib</w:t>
            </w:r>
          </w:p>
        </w:tc>
        <w:tc>
          <w:tcPr>
            <w:tcW w:type="dxa" w:w="5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DTO contracts shared between the DMZ portal and the API (SupplierDto, bootstrap/field/document DTOs, OTP + token DTOs). No behaviour.</w:t>
            </w:r>
          </w:p>
        </w:tc>
      </w:tr>
      <w:tr>
        <w:tc>
          <w:tcPr>
            <w:tcW w:type="dxa" w:w="26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SupplierPortal.Tests</w:t>
            </w:r>
          </w:p>
        </w:tc>
        <w:tc>
          <w:tcPr>
            <w:tcW w:type="dxa" w:w="13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Test</w:t>
            </w:r>
          </w:p>
        </w:tc>
        <w:tc>
          <w:tcPr>
            <w:tcW w:type="dxa" w:w="56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xUnit test project referencing Web.</w:t>
            </w:r>
          </w:p>
        </w:tc>
      </w:tr>
    </w:tbl>
    <w:p>
      <w:pPr>
        <w:pStyle w:val="Heading3"/>
        <w:spacing w:after="70" w:before="150"/>
      </w:pPr>
      <w:r>
        <w:rPr>
          <w:rFonts w:ascii="Calibri" w:cs="Calibri" w:eastAsia="Calibri" w:hAnsi="Calibri"/>
          <w:b/>
          <w:bCs/>
          <w:color w:val="274A7D"/>
          <w:sz w:val="22"/>
          <w:szCs w:val="22"/>
        </w:rPr>
        <w:t xml:space="preserve">Key packages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EF Core SqlServer 8.0.11 + Design 8.0.11; ASP.NET OpenIdConnect 8.0.11; JwtBearer 8.0.11 (API).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Azure.Storage.Blobs 12.22.2; QuestPDF 2026.7.2 (Community); ClosedXML 0.105.1 + CsvHelper 33.1.0.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ZXing.Net 0.16.9 (QR), SixLabors.ImageSharp 2.1.9, UglyToad.PdfPig (PDF), System.DirectoryServices.Protocols 8.0.1 (LDAP).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3. Runtime Architecture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74A7D"/>
          <w:sz w:val="25"/>
          <w:szCs w:val="25"/>
        </w:rPr>
        <w:t xml:space="preserve">3.1 Presentation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Blazor Server with the Interactive Server render mode. The root App/Routes components host areas: Supplier, Admin, Account, plus Layout and Shared components. Cascading authentication state flows to all components; server-side [Authorize] policies enforce access (the UI only hides what the server also denies).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74A7D"/>
          <w:sz w:val="25"/>
          <w:szCs w:val="25"/>
        </w:rPr>
        <w:t xml:space="preserve">3.2 Service layer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Domain logic lives in scoped services (Services/). Representative services:</w:t>
      </w:r>
    </w:p>
    <w:tbl>
      <w:tblPr>
        <w:tblW w:type="dxa" w:w="9500"/>
        <w:tblBorders>
          <w:top w:val="single" w:color="D3DAE6" w:sz="4"/>
          <w:left w:val="single" w:color="D3DAE6" w:sz="4"/>
          <w:bottom w:val="single" w:color="D3DAE6" w:sz="4"/>
          <w:right w:val="single" w:color="D3DAE6" w:sz="4"/>
          <w:insideH w:val="single" w:color="D3DAE6" w:sz="4"/>
          <w:insideV w:val="single" w:color="D3DAE6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65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30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SupplierService</w:t>
            </w:r>
          </w:p>
        </w:tc>
        <w:tc>
          <w:tcPr>
            <w:tcW w:type="dxa" w:w="65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Supplier CRUD/workflow, reference-data caching, change-diff tracking, server-side field protection, visibility scoping.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SupplierDocumentService</w:t>
            </w:r>
          </w:p>
        </w:tc>
        <w:tc>
          <w:tcPr>
            <w:tcW w:type="dxa" w:w="6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Stores supplier documents (blob → DB → disk fallback); OCR-driven TRN/DUNS extraction.</w:t>
            </w:r>
          </w:p>
        </w:tc>
      </w:tr>
      <w:tr>
        <w:tc>
          <w:tcPr>
            <w:tcW w:type="dxa" w:w="30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SupplierAccessTokenService</w:t>
            </w:r>
          </w:p>
        </w:tc>
        <w:tc>
          <w:tcPr>
            <w:tcW w:type="dxa" w:w="65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Opaque link tokens + OTP + session for supplier self-service.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SupplierFieldSettingService / SupplierActivityService</w:t>
            </w:r>
          </w:p>
        </w:tc>
        <w:tc>
          <w:tcPr>
            <w:tcW w:type="dxa" w:w="6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Per-field visibility/mandatory/tab settings; self-service change review.</w:t>
            </w:r>
          </w:p>
        </w:tc>
      </w:tr>
      <w:tr>
        <w:tc>
          <w:tcPr>
            <w:tcW w:type="dxa" w:w="30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EmailDispatcher / SupplierEmailService / EmailBrandingService</w:t>
            </w:r>
          </w:p>
        </w:tc>
        <w:tc>
          <w:tcPr>
            <w:tcW w:type="dxa" w:w="65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Central email send (SMTP or Database Mail); notifications; per-BU logo branding.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SupplierDeclarationPdfService / ExportService</w:t>
            </w:r>
          </w:p>
        </w:tc>
        <w:tc>
          <w:tcPr>
            <w:tcW w:type="dxa" w:w="6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Signed declaration PDF; Excel/CSV/PDF export and re-import.</w:t>
            </w:r>
          </w:p>
        </w:tc>
      </w:tr>
      <w:tr>
        <w:tc>
          <w:tcPr>
            <w:tcW w:type="dxa" w:w="30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UserService / BusinessUnitService</w:t>
            </w:r>
          </w:p>
        </w:tc>
        <w:tc>
          <w:tcPr>
            <w:tcW w:type="dxa" w:w="65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User and business-unit administration.</w:t>
            </w:r>
          </w:p>
        </w:tc>
      </w:tr>
      <w:tr>
        <w:tc>
          <w:tcPr>
            <w:tcW w:type="dxa" w:w="3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AuthService / RoleClaimsTransformation / ActiveDirectoryService / BreakGlassService</w:t>
            </w:r>
          </w:p>
        </w:tc>
        <w:tc>
          <w:tcPr>
            <w:tcW w:type="dxa" w:w="6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Authentication, claims resolution, LDAP, emergency access.</w:t>
            </w:r>
          </w:p>
        </w:tc>
      </w:tr>
      <w:tr>
        <w:tc>
          <w:tcPr>
            <w:tcW w:type="dxa" w:w="30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AuditService</w:t>
            </w:r>
          </w:p>
        </w:tc>
        <w:tc>
          <w:tcPr>
            <w:tcW w:type="dxa" w:w="65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Writes AuditLog rows for every workflow transition.</w:t>
            </w:r>
          </w:p>
        </w:tc>
      </w:tr>
    </w:tbl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74A7D"/>
          <w:sz w:val="25"/>
          <w:szCs w:val="25"/>
        </w:rPr>
        <w:t xml:space="preserve">3.3 Data access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DbContextFactory pattern (AddDbContextFactory) is used instead of a scoped DbContext: every service opens a short-lived context per unit of work. The supplier, user and master-data schema lives in ApplicationDbContext (default dbo schema). In Internal mode, startup seeds ApplicationDbContext master data.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74A7D"/>
          <w:sz w:val="25"/>
          <w:szCs w:val="25"/>
        </w:rPr>
        <w:t xml:space="preserve">3.4 Minimal-API endpoints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Hosted in Web Program.cs: supplier exports and templates, document serving (single, zip, images-as-pdf/xlsx bundles), user photo / BU logo, /account/logout, /account/sso-login, /account/dev-login, /api/breakglass, and the self-service API group /api/ss/*.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4. Deployment Modes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Portal access is expressed as a PortalAccess flag (Supplier) granted per user and enforced by policies. The Supplier Portal runs in one of two deployment modes — an internal (trusted-zone) deployment and a hardened DMZ deployment — described below.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74A7D"/>
          <w:sz w:val="25"/>
          <w:szCs w:val="25"/>
        </w:rPr>
        <w:t xml:space="preserve">4.1 Internal vs DMZ</w:t>
      </w:r>
    </w:p>
    <w:tbl>
      <w:tblPr>
        <w:tblW w:type="dxa" w:w="9500"/>
        <w:tblBorders>
          <w:top w:val="single" w:color="D3DAE6" w:sz="4"/>
          <w:left w:val="single" w:color="D3DAE6" w:sz="4"/>
          <w:bottom w:val="single" w:color="D3DAE6" w:sz="4"/>
          <w:right w:val="single" w:color="D3DAE6" w:sz="4"/>
          <w:insideH w:val="single" w:color="D3DAE6" w:sz="4"/>
          <w:insideV w:val="single" w:color="D3DAE6" w:sz="4"/>
        </w:tblBorders>
      </w:tblPr>
      <w:tblGrid>
        <w:gridCol w:w="1600"/>
        <w:gridCol w:w="7900"/>
      </w:tblGrid>
      <w:tr>
        <w:trPr>
          <w:tblHeader/>
        </w:trPr>
        <w:tc>
          <w:tcPr>
            <w:tcW w:type="dxa" w:w="16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79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16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Internal</w:t>
            </w:r>
          </w:p>
        </w:tc>
        <w:tc>
          <w:tcPr>
            <w:tcW w:type="dxa" w:w="79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Full app in the trusted zone: portal UI + database + self-service API. Self-service uses the database directly (Local gateways).</w:t>
            </w:r>
          </w:p>
        </w:tc>
      </w:tr>
      <w:tr>
        <w:tc>
          <w:tcPr>
            <w:tcW w:type="dxa" w:w="16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DMZ</w:t>
            </w:r>
          </w:p>
        </w:tc>
        <w:tc>
          <w:tcPr>
            <w:tcW w:type="dxa" w:w="79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Public front-end serving only self-service pages, with no database, file share or directory access. It reaches the trusted zone only through the internal self-service API (Http gateways). Startup skips migration/seeding and never opens a real DbContext.</w:t>
            </w:r>
          </w:p>
        </w:tc>
      </w:tr>
    </w:tbl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74A7D"/>
          <w:sz w:val="25"/>
          <w:szCs w:val="25"/>
        </w:rPr>
        <w:t xml:space="preserve">4.2 The gateway seam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Two gateway interfaces (supplier access + data) are bound by mode: Internal → Local* gateways calling the DB-backed services directly; DMZ → Http* gateways calling the internal API over a named HttpClient carrying the base URL and shared key. The /api/ss/* endpoints are what the DMZ front-end consumes so it needs no database. Two-factor protection guards them: (a) a shared X-SelfService-Key header validated in constant time (closed if unset), and (b) the opaque link/session token in each request body, scoping every call to one supplier.</w:t>
      </w:r>
    </w:p>
    <w:p>
      <w:pPr>
        <w:pStyle w:val="Heading2"/>
        <w:spacing w:after="90" w:before="200"/>
      </w:pPr>
      <w:r>
        <w:rPr>
          <w:rFonts w:ascii="Calibri" w:cs="Calibri" w:eastAsia="Calibri" w:hAnsi="Calibri"/>
          <w:b/>
          <w:bCs/>
          <w:color w:val="274A7D"/>
          <w:sz w:val="25"/>
          <w:szCs w:val="25"/>
        </w:rPr>
        <w:t xml:space="preserve">4.3 Secondary OAuth self-service stack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 second, independent stack exists for the standalone DMZ portal: SupplierPortal.SelfService (Blazor UI) → SupplierPortal.Api (internal REST) using a full OAuth2 client-credentials flow. The API issues a short-lived portal JWT (scope selfservice.portal); data endpoints additionally require a per-supplier X-Supplier-Session token minted after OTP verify, and the session resolver re-checks the embedded link/session secrets against live DB state so admin completion or expiry revokes access instantly.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5. Authentication &amp; Authorization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Cookie auth is the default scheme: __Host-SupplierPortalAuth, HttpOnly, Secure=Always, SameSite=Lax, 8h sliding expiry. Data-Protection keys persisted to &lt;contentRoot&gt;/keys so cookies survive recycles.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Optional Entra/OpenIdConnect SSO (authorization-code + PKCE), active only when Auth:Mode=Sso and Entra is configured; otherwise local sign-in is used so nobody is locked out.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Local/AD sign-in via AuthService: matched by e-mail or AD login; AD users validated over LDAP, others via the ASP.NET Identity password hasher.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RoleClaimsTransformation maps the authenticated identity to a Users row each request, resolving role + business units; unknown/inactive users get only a resolved marker so deny-by-default blocks them.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Deny-by-default authorization; the portal policy (Portal.Supplier) and role attributes ([Authorize(Roles="Administrator")]) are applied on the Razor components server-side.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Login lockout: 5 failed attempts → 15-minute lock (in-memory). Active-session revocation: OnValidatePrincipal re-checks IsActive (throttled to every 2 min) and signs out deactivated users. Idle lockout: a client-side 15-minute auto-logout.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Break-glass: time-boxed emergency admin, disabled unless a SHA-256 secret is configured; anonymous, rate-limited, constant-time compared and fully audited.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6. Security Controls</w:t>
      </w:r>
    </w:p>
    <w:tbl>
      <w:tblPr>
        <w:tblW w:type="dxa" w:w="9500"/>
        <w:tblBorders>
          <w:top w:val="single" w:color="D3DAE6" w:sz="4"/>
          <w:left w:val="single" w:color="D3DAE6" w:sz="4"/>
          <w:bottom w:val="single" w:color="D3DAE6" w:sz="4"/>
          <w:right w:val="single" w:color="D3DAE6" w:sz="4"/>
          <w:insideH w:val="single" w:color="D3DAE6" w:sz="4"/>
          <w:insideV w:val="single" w:color="D3DAE6" w:sz="4"/>
        </w:tblBorders>
      </w:tblPr>
      <w:tblGrid>
        <w:gridCol w:w="2100"/>
        <w:gridCol w:w="7400"/>
      </w:tblGrid>
      <w:tr>
        <w:trPr>
          <w:tblHeader/>
        </w:trPr>
        <w:tc>
          <w:tcPr>
            <w:tcW w:type="dxa" w:w="21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74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Design</w:t>
            </w:r>
          </w:p>
        </w:tc>
      </w:tr>
      <w:tr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Response headers</w:t>
            </w:r>
          </w:p>
        </w:tc>
        <w:tc>
          <w:tcPr>
            <w:tcW w:type="dxa" w:w="74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nosniff, X-Frame-Options=SAMEORIGIN, Referrer-Policy=no-referrer (Web); the DMZ SelfService app adds a strict Content-Security-Policy and X-Frame-Options=DENY; API adds no-store + X-Frame-Options=DENY.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Document serving</w:t>
            </w:r>
          </w:p>
        </w:tc>
        <w:tc>
          <w:tcPr>
            <w:tcW w:type="dxa" w:w="7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Inline preview only for a safe content-type allowlist (pdf/images/plain); text/html and svg are forced to download so an uploaded file can't run as script in the app origin.</w:t>
            </w:r>
          </w:p>
        </w:tc>
      </w:tr>
      <w:tr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SSRF / DoS guard</w:t>
            </w:r>
          </w:p>
        </w:tc>
        <w:tc>
          <w:tcPr>
            <w:tcW w:type="dxa" w:w="74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The license-QR URL fetch blocks loopback/link-local/private/reserved hosts, caps the response at 25 MB and disables redirects.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Per-record scoping</w:t>
            </w:r>
          </w:p>
        </w:tc>
        <w:tc>
          <w:tcPr>
            <w:tcW w:type="dxa" w:w="7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Document/export endpoints enforce the dashboard's business-unit + assignment/department visibility; out-of-scope ids return 404.</w:t>
            </w:r>
          </w:p>
        </w:tc>
      </w:tr>
      <w:tr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Self-service tokens</w:t>
            </w:r>
          </w:p>
        </w:tc>
        <w:tc>
          <w:tcPr>
            <w:tcW w:type="dxa" w:w="74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32-byte CSPRNG link token stored as SHA-256 hash, 14-day validity; 6-digit OTP hashed with a salted hasher, 10-min validity, max 5 attempts / 5 sends; session token issued on verify; final submit expires link + session.</w:t>
            </w:r>
          </w:p>
        </w:tc>
      </w:tr>
      <w:tr>
        <w:tc>
          <w:tcPr>
            <w:tcW w:type="dxa" w:w="21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Field protection</w:t>
            </w:r>
          </w:p>
        </w:tc>
        <w:tc>
          <w:tcPr>
            <w:tcW w:type="dxa" w:w="74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On self-service saves the server restores hidden fields and an always-locked set of internal classification/payment flags, so a crafted submit can't change a locked field.</w:t>
            </w:r>
          </w:p>
        </w:tc>
      </w:tr>
      <w:tr>
        <w:tc>
          <w:tcPr>
            <w:tcW w:type="dxa" w:w="21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74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A credential/OTP fixed-window limiter partitioned per client IP (5/min); the API adds token/otp/upload limiters plus a global per-IP backstop.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7. External Integrations</w:t>
      </w:r>
    </w:p>
    <w:tbl>
      <w:tblPr>
        <w:tblW w:type="dxa" w:w="9500"/>
        <w:tblBorders>
          <w:top w:val="single" w:color="D3DAE6" w:sz="4"/>
          <w:left w:val="single" w:color="D3DAE6" w:sz="4"/>
          <w:bottom w:val="single" w:color="D3DAE6" w:sz="4"/>
          <w:right w:val="single" w:color="D3DAE6" w:sz="4"/>
          <w:insideH w:val="single" w:color="D3DAE6" w:sz="4"/>
          <w:insideV w:val="single" w:color="D3DAE6" w:sz="4"/>
        </w:tblBorders>
      </w:tblPr>
      <w:tblGrid>
        <w:gridCol w:w="2500"/>
        <w:gridCol w:w="7000"/>
      </w:tblGrid>
      <w:tr>
        <w:trPr>
          <w:tblHeader/>
        </w:trPr>
        <w:tc>
          <w:tcPr>
            <w:tcW w:type="dxa" w:w="25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7000"/>
            <w:shd w:fill="0B254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 &amp; behaviour</w:t>
            </w:r>
          </w:p>
        </w:tc>
      </w:tr>
      <w:tr>
        <w:tc>
          <w:tcPr>
            <w:tcW w:type="dxa" w:w="25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Azure Blob Storage</w:t>
            </w:r>
          </w:p>
        </w:tc>
        <w:tc>
          <w:tcPr>
            <w:tcW w:type="dxa" w:w="70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Durable file store (documents, photos, logos) via IFileStorageService; auto-disables when unconfigured/unreachable, falling back to DB/disk.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Azure AI Document Intelligence (OCR)</w:t>
            </w:r>
          </w:p>
        </w:tc>
        <w:tc>
          <w:tcPr>
            <w:tcW w:type="dxa" w:w="7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Prebuilt-read text extraction for TRN/Trade-Licence/DUNS and Emirates-ID; best-effort (never blocks an upload).</w:t>
            </w:r>
          </w:p>
        </w:tc>
      </w:tr>
      <w:tr>
        <w:tc>
          <w:tcPr>
            <w:tcW w:type="dxa" w:w="25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License QR / DED fetch</w:t>
            </w:r>
          </w:p>
        </w:tc>
        <w:tc>
          <w:tcPr>
            <w:tcW w:type="dxa" w:w="70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ZXing + ImageSharp + PdfPig read the trade-licence QR to get the DED verification URL, fetched under the SSRF/DoS guards.</w:t>
            </w:r>
          </w:p>
        </w:tc>
      </w:tr>
      <w:tr>
        <w:tc>
          <w:tcPr>
            <w:tcW w:type="dxa" w:w="25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Email (EmailDispatcher)</w:t>
            </w:r>
          </w:p>
        </w:tc>
        <w:tc>
          <w:tcPr>
            <w:tcW w:type="dxa" w:w="7000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SMTP when Email:Smtp:Host is set (works on Azure SQL), otherwise SQL Server Database Mail; logos embedded as base64 data URIs.</w:t>
            </w:r>
          </w:p>
        </w:tc>
      </w:tr>
      <w:tr>
        <w:tc>
          <w:tcPr>
            <w:tcW w:type="dxa" w:w="25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QuestPDF</w:t>
            </w:r>
          </w:p>
        </w:tc>
        <w:tc>
          <w:tcPr>
            <w:tcW w:type="dxa" w:w="7000"/>
            <w:shd w:fill="F1F4F9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color w:val="22303F"/>
                <w:sz w:val="18"/>
                <w:szCs w:val="18"/>
              </w:rPr>
              <w:t xml:space="preserve">Signed declaration and images→PDF generation.</w:t>
            </w:r>
          </w:p>
        </w:tc>
      </w:tr>
    </w:tbl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8. Cross-Cutting Concerns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Caching: reference data cached in IMemoryCache with short TTLs and explicit invalidation on admin edits; also backs the login-lockout counter.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Audit: AuditService writes AuditLog rows for every workflow transition and break-glass activation, surfaced on the Admin › Audit Log page.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Provider flag: Database:Provider = Azure | Local selects AzureConnection vs DefaultConnection; both contexts use EnableRetryOnFailure() for transient-fault resilience.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1"/>
          <w:szCs w:val="21"/>
        </w:rPr>
        <w:t xml:space="preserve">Secrets hygiene: each host loads an optional gitignored appsettings.Local.json for real secrets; committed appsettings hold no secrets. Kestrel server headers suppressed on API and SelfService.</w:t>
      </w:r>
    </w:p>
    <w:p>
      <w:pPr>
        <w:pStyle w:val="Heading1"/>
        <w:spacing w:after="120" w:before="260"/>
      </w:pPr>
      <w:r>
        <w:rPr>
          <w:rFonts w:ascii="Calibri" w:cs="Calibri" w:eastAsia="Calibri" w:hAnsi="Calibri"/>
          <w:b/>
          <w:bCs/>
          <w:color w:val="0B2545"/>
          <w:sz w:val="30"/>
          <w:szCs w:val="30"/>
        </w:rPr>
        <w:t xml:space="preserve">9. Deployment Topology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Internal deployment: a single Web site in the trusted zone with SQL Server. DMZ deployment: the public SelfService/Web front-end in the DMZ (no DB), reaching the internal API/Web tier through a firewall that exposes only /api/ss/* (or /connect/token + /api/selfservice/*). See the Deployment Guide on Azure for the cloud topology (App Service / VM, Azure SQL, Blob, Entra, SMTP).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Supplier Portal — Confidential   |   Page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5"/>
        <w:szCs w:val="15"/>
      </w:rPr>
      <w:t xml:space="preserve"> of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AA04D" w:sz="6"/>
      </w:pBdr>
      <w:jc w:val="right"/>
    </w:pPr>
    <w:r>
      <w:rPr>
        <w:rFonts w:ascii="Calibri" w:cs="Calibri" w:eastAsia="Calibri" w:hAnsi="Calibri"/>
        <w:color w:val="6B7280"/>
        <w:sz w:val="15"/>
        <w:szCs w:val="15"/>
      </w:rPr>
      <w:t xml:space="preserve">Supplier Portal — Technical Design &amp;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Step %1."/>
      <w:lvlJc w:val="left"/>
      <w:pPr>
        <w:ind w:left="5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Supplier Portal — Technical Design &amp; Architecture</dc:title>
  <dc:creator>Supplier Portal QA</dc:creator>
  <cp:lastModifiedBy>Un-named</cp:lastModifiedBy>
  <cp:revision>1</cp:revision>
  <dcterms:created xsi:type="dcterms:W3CDTF">2026-09-15T18:28:18.586Z</dcterms:created>
  <dcterms:modified xsi:type="dcterms:W3CDTF">2026-09-15T18:28:18.586Z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