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Bdr>
          <w:bottom w:val="single" w:sz="12" w:space="2" w:color="1F3864"/>
        </w:pBdr>
      </w:pPr>
      <w:r>
        <w:rPr>
          <w:b/>
          <w:color w:val="1F3864"/>
          <w:sz w:val="38"/>
        </w:rPr>
        <w:t>Supplier Portal (Internal) — Change Request Register</w:t>
      </w:r>
    </w:p>
    <w:p>
      <w:pPr>
        <w:spacing w:after="80"/>
      </w:pPr>
      <w:r>
        <w:rPr>
          <w:b/>
        </w:rPr>
        <w:t>Application:</w:t>
      </w:r>
      <w:r>
        <w:rPr>
          <w:b w:val="0"/>
        </w:rPr>
        <w:t xml:space="preserve"> Supplier Portal — Internal (</w:t>
      </w:r>
      <w:r>
        <w:rPr>
          <w:rFonts w:ascii="Consolas" w:hAnsi="Consolas"/>
          <w:b w:val="0"/>
          <w:sz w:val="19"/>
        </w:rPr>
        <w:t>SupplierPortal.Web</w:t>
      </w:r>
      <w:r>
        <w:rPr>
          <w:b w:val="0"/>
        </w:rPr>
        <w:t>) and DMZ "Partner Connect" self-service (</w:t>
      </w:r>
      <w:r>
        <w:rPr>
          <w:rFonts w:ascii="Consolas" w:hAnsi="Consolas"/>
          <w:b w:val="0"/>
          <w:sz w:val="19"/>
        </w:rPr>
        <w:t>SupplierPortal.SelfService</w:t>
      </w:r>
      <w:r>
        <w:rPr>
          <w:b w:val="0"/>
        </w:rPr>
        <w:t xml:space="preserve">) </w:t>
      </w:r>
      <w:r>
        <w:rPr>
          <w:b/>
        </w:rPr>
        <w:t>Reporting window:</w:t>
      </w:r>
      <w:r>
        <w:rPr>
          <w:b w:val="0"/>
        </w:rPr>
        <w:t xml:space="preserve"> 14-Sep-2026 → 07-Oct-2026 </w:t>
      </w:r>
      <w:r>
        <w:rPr>
          <w:b/>
        </w:rPr>
        <w:t>Prepared for:</w:t>
      </w:r>
      <w:r>
        <w:rPr>
          <w:b w:val="0"/>
        </w:rPr>
        <w:t xml:space="preserve"> Business sign-off </w:t>
      </w:r>
      <w:r>
        <w:rPr>
          <w:b/>
        </w:rPr>
        <w:t>Prepared on:</w:t>
      </w:r>
      <w:r>
        <w:rPr>
          <w:b w:val="0"/>
        </w:rPr>
        <w:t xml:space="preserve"> 07-Oct-2026</w:t>
      </w:r>
    </w:p>
    <w:p>
      <w:pPr>
        <w:spacing w:before="120" w:after="120"/>
        <w:ind w:left="360"/>
        <w:pBdr>
          <w:left w:val="single" w:sz="24" w:space="8" w:color="2E5496"/>
        </w:pBdr>
      </w:pPr>
      <w:r>
        <w:rPr>
          <w:b/>
          <w:color w:val="333333"/>
        </w:rPr>
        <w:t>Note on the window:</w:t>
      </w:r>
      <w:r>
        <w:rPr>
          <w:b w:val="0"/>
          <w:color w:val="333333"/>
        </w:rPr>
        <w:t xml:space="preserve"> All change activity captured in the source-control history for the internal Supplier Portal within this window falls between 29-Sep-2026 and 07-Oct-2026. No Supplier Portal changes are recorded between 14-Sep and 29-Sep. Each change below is written as a self-contained Change Request (CR) so it can be reviewed and signed off individually.</w:t>
      </w:r>
    </w:p>
    <w:p>
      <w:pPr>
        <w:pBdr>
          <w:bottom w:val="single" w:sz="6" w:space="1" w:color="C0C4CC"/>
        </w:pBdr>
      </w:pPr>
    </w:p>
    <w:p>
      <w:pPr>
        <w:spacing w:before="200" w:after="80"/>
      </w:pPr>
      <w:r>
        <w:rPr>
          <w:b/>
          <w:color w:val="1F3864"/>
          <w:sz w:val="30"/>
        </w:rPr>
        <w:t>Summary of changes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3864"/>
          </w:tcPr>
          <w:p>
            <w:pPr>
              <w:spacing w:before="20" w:after="20"/>
            </w:pPr>
            <w:r/>
            <w:r>
              <w:rPr>
                <w:b/>
                <w:color w:val="FFFFFF"/>
                <w:sz w:val="19"/>
              </w:rPr>
              <w:t>CR ID</w:t>
            </w:r>
          </w:p>
        </w:tc>
        <w:tc>
          <w:tcPr>
            <w:tcW w:type="dxa" w:w="1930"/>
            <w:shd w:val="clear" w:color="auto" w:fill="1F3864"/>
          </w:tcPr>
          <w:p>
            <w:pPr>
              <w:spacing w:before="20" w:after="20"/>
            </w:pPr>
            <w:r/>
            <w:r>
              <w:rPr>
                <w:b/>
                <w:color w:val="FFFFFF"/>
                <w:sz w:val="19"/>
              </w:rPr>
              <w:t>Title</w:t>
            </w:r>
          </w:p>
        </w:tc>
        <w:tc>
          <w:tcPr>
            <w:tcW w:type="dxa" w:w="1930"/>
            <w:shd w:val="clear" w:color="auto" w:fill="1F3864"/>
          </w:tcPr>
          <w:p>
            <w:pPr>
              <w:spacing w:before="20" w:after="20"/>
            </w:pPr>
            <w:r/>
            <w:r>
              <w:rPr>
                <w:b/>
                <w:color w:val="FFFFFF"/>
                <w:sz w:val="19"/>
              </w:rPr>
              <w:t>Date</w:t>
            </w:r>
          </w:p>
        </w:tc>
        <w:tc>
          <w:tcPr>
            <w:tcW w:type="dxa" w:w="1930"/>
            <w:shd w:val="clear" w:color="auto" w:fill="1F3864"/>
          </w:tcPr>
          <w:p>
            <w:pPr>
              <w:spacing w:before="20" w:after="20"/>
            </w:pPr>
            <w:r/>
            <w:r>
              <w:rPr>
                <w:b/>
                <w:color w:val="FFFFFF"/>
                <w:sz w:val="19"/>
              </w:rPr>
              <w:t>Category</w:t>
            </w:r>
          </w:p>
        </w:tc>
        <w:tc>
          <w:tcPr>
            <w:tcW w:type="dxa" w:w="1930"/>
            <w:shd w:val="clear" w:color="auto" w:fill="1F3864"/>
          </w:tcPr>
          <w:p>
            <w:pPr>
              <w:spacing w:before="20" w:after="20"/>
            </w:pPr>
            <w:r/>
            <w:r>
              <w:rPr>
                <w:b/>
                <w:color w:val="FFFFFF"/>
                <w:sz w:val="19"/>
              </w:rPr>
              <w:t>Status</w:t>
            </w:r>
          </w:p>
        </w:tc>
      </w:tr>
      <w:tr>
        <w:tc>
          <w:tcPr>
            <w:tcW w:type="dxa" w:w="1930"/>
          </w:tcPr>
          <w:p>
            <w:pPr>
              <w:spacing w:before="20" w:after="20"/>
            </w:pPr>
            <w:r/>
            <w:r>
              <w:rPr>
                <w:b w:val="0"/>
                <w:sz w:val="19"/>
              </w:rPr>
              <w:t>CR-SUP-001</w:t>
            </w:r>
          </w:p>
        </w:tc>
        <w:tc>
          <w:tcPr>
            <w:tcW w:type="dxa" w:w="1930"/>
          </w:tcPr>
          <w:p>
            <w:pPr>
              <w:spacing w:before="20" w:after="20"/>
            </w:pPr>
            <w:r/>
            <w:r>
              <w:rPr>
                <w:b w:val="0"/>
                <w:sz w:val="19"/>
              </w:rPr>
              <w:t>Supplier Status (Active / Inactive) with grid toggle, filter and reporting</w:t>
            </w:r>
          </w:p>
        </w:tc>
        <w:tc>
          <w:tcPr>
            <w:tcW w:type="dxa" w:w="1930"/>
          </w:tcPr>
          <w:p>
            <w:pPr>
              <w:spacing w:before="20" w:after="20"/>
            </w:pPr>
            <w:r/>
            <w:r>
              <w:rPr>
                <w:b w:val="0"/>
                <w:sz w:val="19"/>
              </w:rPr>
              <w:t>06-Oct-2026</w:t>
            </w:r>
          </w:p>
        </w:tc>
        <w:tc>
          <w:tcPr>
            <w:tcW w:type="dxa" w:w="1930"/>
          </w:tcPr>
          <w:p>
            <w:pPr>
              <w:spacing w:before="20" w:after="20"/>
            </w:pPr>
            <w:r/>
            <w:r>
              <w:rPr>
                <w:b w:val="0"/>
                <w:sz w:val="19"/>
              </w:rPr>
              <w:t>Enhancement</w:t>
            </w:r>
          </w:p>
        </w:tc>
        <w:tc>
          <w:tcPr>
            <w:tcW w:type="dxa" w:w="1930"/>
          </w:tcPr>
          <w:p>
            <w:pPr>
              <w:spacing w:before="20" w:after="20"/>
            </w:pPr>
            <w:r/>
            <w:r>
              <w:rPr>
                <w:b w:val="0"/>
                <w:sz w:val="19"/>
              </w:rPr>
              <w:t>Delivered</w:t>
            </w:r>
          </w:p>
        </w:tc>
      </w:tr>
      <w:tr>
        <w:tc>
          <w:tcPr>
            <w:tcW w:type="dxa" w:w="1930"/>
            <w:shd w:val="clear" w:color="auto" w:fill="F2F4F8"/>
          </w:tcPr>
          <w:p>
            <w:pPr>
              <w:spacing w:before="20" w:after="20"/>
            </w:pPr>
            <w:r/>
            <w:r>
              <w:rPr>
                <w:b w:val="0"/>
                <w:sz w:val="19"/>
              </w:rPr>
              <w:t>CR-SUP-002</w:t>
            </w:r>
          </w:p>
        </w:tc>
        <w:tc>
          <w:tcPr>
            <w:tcW w:type="dxa" w:w="1930"/>
            <w:shd w:val="clear" w:color="auto" w:fill="F2F4F8"/>
          </w:tcPr>
          <w:p>
            <w:pPr>
              <w:spacing w:before="20" w:after="20"/>
            </w:pPr>
            <w:r/>
            <w:r>
              <w:rPr>
                <w:b w:val="0"/>
                <w:sz w:val="19"/>
              </w:rPr>
              <w:t>Application Administrator role (admin without Settings)</w:t>
            </w:r>
          </w:p>
        </w:tc>
        <w:tc>
          <w:tcPr>
            <w:tcW w:type="dxa" w:w="1930"/>
            <w:shd w:val="clear" w:color="auto" w:fill="F2F4F8"/>
          </w:tcPr>
          <w:p>
            <w:pPr>
              <w:spacing w:before="20" w:after="20"/>
            </w:pPr>
            <w:r/>
            <w:r>
              <w:rPr>
                <w:b w:val="0"/>
                <w:sz w:val="19"/>
              </w:rPr>
              <w:t>07-Oct-2026</w:t>
            </w:r>
          </w:p>
        </w:tc>
        <w:tc>
          <w:tcPr>
            <w:tcW w:type="dxa" w:w="1930"/>
            <w:shd w:val="clear" w:color="auto" w:fill="F2F4F8"/>
          </w:tcPr>
          <w:p>
            <w:pPr>
              <w:spacing w:before="20" w:after="20"/>
            </w:pPr>
            <w:r/>
            <w:r>
              <w:rPr>
                <w:b w:val="0"/>
                <w:sz w:val="19"/>
              </w:rPr>
              <w:t>Enhancement / Security</w:t>
            </w:r>
          </w:p>
        </w:tc>
        <w:tc>
          <w:tcPr>
            <w:tcW w:type="dxa" w:w="1930"/>
            <w:shd w:val="clear" w:color="auto" w:fill="F2F4F8"/>
          </w:tcPr>
          <w:p>
            <w:pPr>
              <w:spacing w:before="20" w:after="20"/>
            </w:pPr>
            <w:r/>
            <w:r>
              <w:rPr>
                <w:b w:val="0"/>
                <w:sz w:val="19"/>
              </w:rPr>
              <w:t>Delivered</w:t>
            </w:r>
          </w:p>
        </w:tc>
      </w:tr>
      <w:tr>
        <w:tc>
          <w:tcPr>
            <w:tcW w:type="dxa" w:w="1930"/>
          </w:tcPr>
          <w:p>
            <w:pPr>
              <w:spacing w:before="20" w:after="20"/>
            </w:pPr>
            <w:r/>
            <w:r>
              <w:rPr>
                <w:b w:val="0"/>
                <w:sz w:val="19"/>
              </w:rPr>
              <w:t>CR-SUP-003</w:t>
            </w:r>
          </w:p>
        </w:tc>
        <w:tc>
          <w:tcPr>
            <w:tcW w:type="dxa" w:w="1930"/>
          </w:tcPr>
          <w:p>
            <w:pPr>
              <w:spacing w:before="20" w:after="20"/>
            </w:pPr>
            <w:r/>
            <w:r>
              <w:rPr>
                <w:b w:val="0"/>
                <w:sz w:val="19"/>
              </w:rPr>
              <w:t>Portal-specific sender email addresses (per Business Unit)</w:t>
            </w:r>
          </w:p>
        </w:tc>
        <w:tc>
          <w:tcPr>
            <w:tcW w:type="dxa" w:w="1930"/>
          </w:tcPr>
          <w:p>
            <w:pPr>
              <w:spacing w:before="20" w:after="20"/>
            </w:pPr>
            <w:r/>
            <w:r>
              <w:rPr>
                <w:b w:val="0"/>
                <w:sz w:val="19"/>
              </w:rPr>
              <w:t>30-Sep-2026</w:t>
            </w:r>
          </w:p>
        </w:tc>
        <w:tc>
          <w:tcPr>
            <w:tcW w:type="dxa" w:w="1930"/>
          </w:tcPr>
          <w:p>
            <w:pPr>
              <w:spacing w:before="20" w:after="20"/>
            </w:pPr>
            <w:r/>
            <w:r>
              <w:rPr>
                <w:b w:val="0"/>
                <w:sz w:val="19"/>
              </w:rPr>
              <w:t>Enhancement</w:t>
            </w:r>
          </w:p>
        </w:tc>
        <w:tc>
          <w:tcPr>
            <w:tcW w:type="dxa" w:w="1930"/>
          </w:tcPr>
          <w:p>
            <w:pPr>
              <w:spacing w:before="20" w:after="20"/>
            </w:pPr>
            <w:r/>
            <w:r>
              <w:rPr>
                <w:b w:val="0"/>
                <w:sz w:val="19"/>
              </w:rPr>
              <w:t>Delivered</w:t>
            </w:r>
          </w:p>
        </w:tc>
      </w:tr>
      <w:tr>
        <w:tc>
          <w:tcPr>
            <w:tcW w:type="dxa" w:w="1930"/>
            <w:shd w:val="clear" w:color="auto" w:fill="F2F4F8"/>
          </w:tcPr>
          <w:p>
            <w:pPr>
              <w:spacing w:before="20" w:after="20"/>
            </w:pPr>
            <w:r/>
            <w:r>
              <w:rPr>
                <w:b w:val="0"/>
                <w:sz w:val="19"/>
              </w:rPr>
              <w:t>CR-SUP-004</w:t>
            </w:r>
          </w:p>
        </w:tc>
        <w:tc>
          <w:tcPr>
            <w:tcW w:type="dxa" w:w="1930"/>
            <w:shd w:val="clear" w:color="auto" w:fill="F2F4F8"/>
          </w:tcPr>
          <w:p>
            <w:pPr>
              <w:spacing w:before="20" w:after="20"/>
            </w:pPr>
            <w:r/>
            <w:r>
              <w:rPr>
                <w:b w:val="0"/>
                <w:sz w:val="19"/>
              </w:rPr>
              <w:t>One-time-password (OTP) delivery reliability fix</w:t>
            </w:r>
          </w:p>
        </w:tc>
        <w:tc>
          <w:tcPr>
            <w:tcW w:type="dxa" w:w="1930"/>
            <w:shd w:val="clear" w:color="auto" w:fill="F2F4F8"/>
          </w:tcPr>
          <w:p>
            <w:pPr>
              <w:spacing w:before="20" w:after="20"/>
            </w:pPr>
            <w:r/>
            <w:r>
              <w:rPr>
                <w:b w:val="0"/>
                <w:sz w:val="19"/>
              </w:rPr>
              <w:t>30-Sep-2026</w:t>
            </w:r>
          </w:p>
        </w:tc>
        <w:tc>
          <w:tcPr>
            <w:tcW w:type="dxa" w:w="1930"/>
            <w:shd w:val="clear" w:color="auto" w:fill="F2F4F8"/>
          </w:tcPr>
          <w:p>
            <w:pPr>
              <w:spacing w:before="20" w:after="20"/>
            </w:pPr>
            <w:r/>
            <w:r>
              <w:rPr>
                <w:b w:val="0"/>
                <w:sz w:val="19"/>
              </w:rPr>
              <w:t>Defect fix</w:t>
            </w:r>
          </w:p>
        </w:tc>
        <w:tc>
          <w:tcPr>
            <w:tcW w:type="dxa" w:w="1930"/>
            <w:shd w:val="clear" w:color="auto" w:fill="F2F4F8"/>
          </w:tcPr>
          <w:p>
            <w:pPr>
              <w:spacing w:before="20" w:after="20"/>
            </w:pPr>
            <w:r/>
            <w:r>
              <w:rPr>
                <w:b w:val="0"/>
                <w:sz w:val="19"/>
              </w:rPr>
              <w:t>Delivered</w:t>
            </w:r>
          </w:p>
        </w:tc>
      </w:tr>
      <w:tr>
        <w:tc>
          <w:tcPr>
            <w:tcW w:type="dxa" w:w="1930"/>
          </w:tcPr>
          <w:p>
            <w:pPr>
              <w:spacing w:before="20" w:after="20"/>
            </w:pPr>
            <w:r/>
            <w:r>
              <w:rPr>
                <w:b w:val="0"/>
                <w:sz w:val="19"/>
              </w:rPr>
              <w:t>CR-SUP-005</w:t>
            </w:r>
          </w:p>
        </w:tc>
        <w:tc>
          <w:tcPr>
            <w:tcW w:type="dxa" w:w="1930"/>
          </w:tcPr>
          <w:p>
            <w:pPr>
              <w:spacing w:before="20" w:after="20"/>
            </w:pPr>
            <w:r/>
            <w:r>
              <w:rPr>
                <w:b w:val="0"/>
                <w:sz w:val="19"/>
              </w:rPr>
              <w:t>Show masked recipient email on the in-app verification page</w:t>
            </w:r>
          </w:p>
        </w:tc>
        <w:tc>
          <w:tcPr>
            <w:tcW w:type="dxa" w:w="1930"/>
          </w:tcPr>
          <w:p>
            <w:pPr>
              <w:spacing w:before="20" w:after="20"/>
            </w:pPr>
            <w:r/>
            <w:r>
              <w:rPr>
                <w:b w:val="0"/>
                <w:sz w:val="19"/>
              </w:rPr>
              <w:t>30-Sep-2026</w:t>
            </w:r>
          </w:p>
        </w:tc>
        <w:tc>
          <w:tcPr>
            <w:tcW w:type="dxa" w:w="1930"/>
          </w:tcPr>
          <w:p>
            <w:pPr>
              <w:spacing w:before="20" w:after="20"/>
            </w:pPr>
            <w:r/>
            <w:r>
              <w:rPr>
                <w:b w:val="0"/>
                <w:sz w:val="19"/>
              </w:rPr>
              <w:t>Enhancement</w:t>
            </w:r>
          </w:p>
        </w:tc>
        <w:tc>
          <w:tcPr>
            <w:tcW w:type="dxa" w:w="1930"/>
          </w:tcPr>
          <w:p>
            <w:pPr>
              <w:spacing w:before="20" w:after="20"/>
            </w:pPr>
            <w:r/>
            <w:r>
              <w:rPr>
                <w:b w:val="0"/>
                <w:sz w:val="19"/>
              </w:rPr>
              <w:t>Delivered</w:t>
            </w:r>
          </w:p>
        </w:tc>
      </w:tr>
      <w:tr>
        <w:tc>
          <w:tcPr>
            <w:tcW w:type="dxa" w:w="1930"/>
            <w:shd w:val="clear" w:color="auto" w:fill="F2F4F8"/>
          </w:tcPr>
          <w:p>
            <w:pPr>
              <w:spacing w:before="20" w:after="20"/>
            </w:pPr>
            <w:r/>
            <w:r>
              <w:rPr>
                <w:b w:val="0"/>
                <w:sz w:val="19"/>
              </w:rPr>
              <w:t>CR-SUP-006</w:t>
            </w:r>
          </w:p>
        </w:tc>
        <w:tc>
          <w:tcPr>
            <w:tcW w:type="dxa" w:w="1930"/>
            <w:shd w:val="clear" w:color="auto" w:fill="F2F4F8"/>
          </w:tcPr>
          <w:p>
            <w:pPr>
              <w:spacing w:before="20" w:after="20"/>
            </w:pPr>
            <w:r/>
            <w:r>
              <w:rPr>
                <w:b w:val="0"/>
                <w:sz w:val="19"/>
              </w:rPr>
              <w:t>Partner Connect (DMZ) — clearer error on OTP request failure</w:t>
            </w:r>
          </w:p>
        </w:tc>
        <w:tc>
          <w:tcPr>
            <w:tcW w:type="dxa" w:w="1930"/>
            <w:shd w:val="clear" w:color="auto" w:fill="F2F4F8"/>
          </w:tcPr>
          <w:p>
            <w:pPr>
              <w:spacing w:before="20" w:after="20"/>
            </w:pPr>
            <w:r/>
            <w:r>
              <w:rPr>
                <w:b w:val="0"/>
                <w:sz w:val="19"/>
              </w:rPr>
              <w:t>30-Sep-2026</w:t>
            </w:r>
          </w:p>
        </w:tc>
        <w:tc>
          <w:tcPr>
            <w:tcW w:type="dxa" w:w="1930"/>
            <w:shd w:val="clear" w:color="auto" w:fill="F2F4F8"/>
          </w:tcPr>
          <w:p>
            <w:pPr>
              <w:spacing w:before="20" w:after="20"/>
            </w:pPr>
            <w:r/>
            <w:r>
              <w:rPr>
                <w:b w:val="0"/>
                <w:sz w:val="19"/>
              </w:rPr>
              <w:t>Defect fix / Supportability</w:t>
            </w:r>
          </w:p>
        </w:tc>
        <w:tc>
          <w:tcPr>
            <w:tcW w:type="dxa" w:w="1930"/>
            <w:shd w:val="clear" w:color="auto" w:fill="F2F4F8"/>
          </w:tcPr>
          <w:p>
            <w:pPr>
              <w:spacing w:before="20" w:after="20"/>
            </w:pPr>
            <w:r/>
            <w:r>
              <w:rPr>
                <w:b w:val="0"/>
                <w:sz w:val="19"/>
              </w:rPr>
              <w:t>Delivered</w:t>
            </w:r>
          </w:p>
        </w:tc>
      </w:tr>
      <w:tr>
        <w:tc>
          <w:tcPr>
            <w:tcW w:type="dxa" w:w="1930"/>
          </w:tcPr>
          <w:p>
            <w:pPr>
              <w:spacing w:before="20" w:after="20"/>
            </w:pPr>
            <w:r/>
            <w:r>
              <w:rPr>
                <w:b w:val="0"/>
                <w:sz w:val="19"/>
              </w:rPr>
              <w:t>CR-SUP-007</w:t>
            </w:r>
          </w:p>
        </w:tc>
        <w:tc>
          <w:tcPr>
            <w:tcW w:type="dxa" w:w="1930"/>
          </w:tcPr>
          <w:p>
            <w:pPr>
              <w:spacing w:before="20" w:after="20"/>
            </w:pPr>
            <w:r/>
            <w:r>
              <w:rPr>
                <w:b w:val="0"/>
                <w:sz w:val="19"/>
              </w:rPr>
              <w:t>Make "Supplier Status" an admin-controllable field in Supplier Field Settings</w:t>
            </w:r>
          </w:p>
        </w:tc>
        <w:tc>
          <w:tcPr>
            <w:tcW w:type="dxa" w:w="1930"/>
          </w:tcPr>
          <w:p>
            <w:pPr>
              <w:spacing w:before="20" w:after="20"/>
            </w:pPr>
            <w:r/>
            <w:r>
              <w:rPr>
                <w:b w:val="0"/>
                <w:sz w:val="19"/>
              </w:rPr>
              <w:t>07-Oct-2026</w:t>
            </w:r>
          </w:p>
        </w:tc>
        <w:tc>
          <w:tcPr>
            <w:tcW w:type="dxa" w:w="1930"/>
          </w:tcPr>
          <w:p>
            <w:pPr>
              <w:spacing w:before="20" w:after="20"/>
            </w:pPr>
            <w:r/>
            <w:r>
              <w:rPr>
                <w:b w:val="0"/>
                <w:sz w:val="19"/>
              </w:rPr>
              <w:t>Enhancement</w:t>
            </w:r>
          </w:p>
        </w:tc>
        <w:tc>
          <w:tcPr>
            <w:tcW w:type="dxa" w:w="1930"/>
          </w:tcPr>
          <w:p>
            <w:pPr>
              <w:spacing w:before="20" w:after="20"/>
            </w:pPr>
            <w:r/>
            <w:r>
              <w:rPr>
                <w:b w:val="0"/>
                <w:sz w:val="19"/>
              </w:rPr>
              <w:t>In progress</w:t>
            </w:r>
          </w:p>
        </w:tc>
      </w:tr>
      <w:tr>
        <w:tc>
          <w:tcPr>
            <w:tcW w:type="dxa" w:w="1930"/>
            <w:shd w:val="clear" w:color="auto" w:fill="F2F4F8"/>
          </w:tcPr>
          <w:p>
            <w:pPr>
              <w:spacing w:before="20" w:after="20"/>
            </w:pPr>
            <w:r/>
            <w:r>
              <w:rPr>
                <w:b w:val="0"/>
                <w:sz w:val="19"/>
              </w:rPr>
              <w:t>CR-SUP-008</w:t>
            </w:r>
          </w:p>
        </w:tc>
        <w:tc>
          <w:tcPr>
            <w:tcW w:type="dxa" w:w="1930"/>
            <w:shd w:val="clear" w:color="auto" w:fill="F2F4F8"/>
          </w:tcPr>
          <w:p>
            <w:pPr>
              <w:spacing w:before="20" w:after="20"/>
            </w:pPr>
            <w:r/>
            <w:r>
              <w:rPr>
                <w:b w:val="0"/>
                <w:sz w:val="19"/>
              </w:rPr>
              <w:t>Load of supplier reference documents (trade licences, TRN certificates)</w:t>
            </w:r>
          </w:p>
        </w:tc>
        <w:tc>
          <w:tcPr>
            <w:tcW w:type="dxa" w:w="1930"/>
            <w:shd w:val="clear" w:color="auto" w:fill="F2F4F8"/>
          </w:tcPr>
          <w:p>
            <w:pPr>
              <w:spacing w:before="20" w:after="20"/>
            </w:pPr>
            <w:r/>
            <w:r>
              <w:rPr>
                <w:b w:val="0"/>
                <w:sz w:val="19"/>
              </w:rPr>
              <w:t>30-Sep-2026</w:t>
            </w:r>
          </w:p>
        </w:tc>
        <w:tc>
          <w:tcPr>
            <w:tcW w:type="dxa" w:w="1930"/>
            <w:shd w:val="clear" w:color="auto" w:fill="F2F4F8"/>
          </w:tcPr>
          <w:p>
            <w:pPr>
              <w:spacing w:before="20" w:after="20"/>
            </w:pPr>
            <w:r/>
            <w:r>
              <w:rPr>
                <w:b w:val="0"/>
                <w:sz w:val="19"/>
              </w:rPr>
              <w:t>Data load</w:t>
            </w:r>
          </w:p>
        </w:tc>
        <w:tc>
          <w:tcPr>
            <w:tcW w:type="dxa" w:w="1930"/>
            <w:shd w:val="clear" w:color="auto" w:fill="F2F4F8"/>
          </w:tcPr>
          <w:p>
            <w:pPr>
              <w:spacing w:before="20" w:after="20"/>
            </w:pPr>
            <w:r/>
            <w:r>
              <w:rPr>
                <w:b w:val="0"/>
                <w:sz w:val="19"/>
              </w:rPr>
              <w:t>Delivered</w:t>
            </w:r>
          </w:p>
        </w:tc>
      </w:tr>
    </w:tbl>
    <w:p>
      <w:pPr>
        <w:spacing w:after="40"/>
      </w:pPr>
    </w:p>
    <w:p>
      <w:pPr>
        <w:pBdr>
          <w:bottom w:val="single" w:sz="6" w:space="1" w:color="C0C4CC"/>
        </w:pBdr>
      </w:pPr>
    </w:p>
    <w:p>
      <w:pPr>
        <w:spacing w:before="200" w:after="80"/>
      </w:pPr>
      <w:r>
        <w:rPr>
          <w:b/>
          <w:color w:val="1F3864"/>
          <w:sz w:val="30"/>
        </w:rPr>
        <w:t>CR-SUP-001 — Supplier Status (Active / Inactive) with grid toggle, filter and reporting</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864"/>
          </w:tcPr>
          <w:p>
            <w:pPr>
              <w:spacing w:before="20" w:after="20"/>
            </w:pPr>
            <w:r/>
          </w:p>
        </w:tc>
        <w:tc>
          <w:tcPr>
            <w:tcW w:type="dxa" w:w="4824"/>
            <w:shd w:val="clear" w:color="auto" w:fill="1F3864"/>
          </w:tcPr>
          <w:p>
            <w:pPr>
              <w:spacing w:before="20" w:after="20"/>
            </w:pPr>
            <w:r/>
          </w:p>
        </w:tc>
      </w:tr>
      <w:tr>
        <w:tc>
          <w:tcPr>
            <w:tcW w:type="dxa" w:w="4824"/>
          </w:tcPr>
          <w:p>
            <w:pPr>
              <w:spacing w:before="20" w:after="20"/>
            </w:pPr>
            <w:r/>
            <w:r>
              <w:rPr>
                <w:b/>
                <w:sz w:val="19"/>
              </w:rPr>
              <w:t>CR ID</w:t>
            </w:r>
          </w:p>
        </w:tc>
        <w:tc>
          <w:tcPr>
            <w:tcW w:type="dxa" w:w="4824"/>
          </w:tcPr>
          <w:p>
            <w:pPr>
              <w:spacing w:before="20" w:after="20"/>
            </w:pPr>
            <w:r/>
            <w:r>
              <w:rPr>
                <w:b w:val="0"/>
                <w:sz w:val="19"/>
              </w:rPr>
              <w:t>CR-SUP-001</w:t>
            </w:r>
          </w:p>
        </w:tc>
      </w:tr>
      <w:tr>
        <w:tc>
          <w:tcPr>
            <w:tcW w:type="dxa" w:w="4824"/>
            <w:shd w:val="clear" w:color="auto" w:fill="F2F4F8"/>
          </w:tcPr>
          <w:p>
            <w:pPr>
              <w:spacing w:before="20" w:after="20"/>
            </w:pPr>
            <w:r/>
            <w:r>
              <w:rPr>
                <w:b/>
                <w:sz w:val="19"/>
              </w:rPr>
              <w:t>Date delivered</w:t>
            </w:r>
          </w:p>
        </w:tc>
        <w:tc>
          <w:tcPr>
            <w:tcW w:type="dxa" w:w="4824"/>
            <w:shd w:val="clear" w:color="auto" w:fill="F2F4F8"/>
          </w:tcPr>
          <w:p>
            <w:pPr>
              <w:spacing w:before="20" w:after="20"/>
            </w:pPr>
            <w:r/>
            <w:r>
              <w:rPr>
                <w:b w:val="0"/>
                <w:sz w:val="19"/>
              </w:rPr>
              <w:t>06-Oct-2026</w:t>
            </w:r>
          </w:p>
        </w:tc>
      </w:tr>
      <w:tr>
        <w:tc>
          <w:tcPr>
            <w:tcW w:type="dxa" w:w="4824"/>
          </w:tcPr>
          <w:p>
            <w:pPr>
              <w:spacing w:before="20" w:after="20"/>
            </w:pPr>
            <w:r/>
            <w:r>
              <w:rPr>
                <w:b/>
                <w:sz w:val="19"/>
              </w:rPr>
              <w:t>Category</w:t>
            </w:r>
          </w:p>
        </w:tc>
        <w:tc>
          <w:tcPr>
            <w:tcW w:type="dxa" w:w="4824"/>
          </w:tcPr>
          <w:p>
            <w:pPr>
              <w:spacing w:before="20" w:after="20"/>
            </w:pPr>
            <w:r/>
            <w:r>
              <w:rPr>
                <w:b w:val="0"/>
                <w:sz w:val="19"/>
              </w:rPr>
              <w:t>Enhancement</w:t>
            </w:r>
          </w:p>
        </w:tc>
      </w:tr>
      <w:tr>
        <w:tc>
          <w:tcPr>
            <w:tcW w:type="dxa" w:w="4824"/>
            <w:shd w:val="clear" w:color="auto" w:fill="F2F4F8"/>
          </w:tcPr>
          <w:p>
            <w:pPr>
              <w:spacing w:before="20" w:after="20"/>
            </w:pPr>
            <w:r/>
            <w:r>
              <w:rPr>
                <w:b/>
                <w:sz w:val="19"/>
              </w:rPr>
              <w:t>Modules affected</w:t>
            </w:r>
          </w:p>
        </w:tc>
        <w:tc>
          <w:tcPr>
            <w:tcW w:type="dxa" w:w="4824"/>
            <w:shd w:val="clear" w:color="auto" w:fill="F2F4F8"/>
          </w:tcPr>
          <w:p>
            <w:pPr>
              <w:spacing w:before="20" w:after="20"/>
            </w:pPr>
            <w:r/>
            <w:r>
              <w:rPr>
                <w:b w:val="0"/>
                <w:sz w:val="19"/>
              </w:rPr>
              <w:t>Manage Supplier grid, Supplier service layer, Report Builder (supplier reports)</w:t>
            </w:r>
          </w:p>
        </w:tc>
      </w:tr>
      <w:tr>
        <w:tc>
          <w:tcPr>
            <w:tcW w:type="dxa" w:w="4824"/>
          </w:tcPr>
          <w:p>
            <w:pPr>
              <w:spacing w:before="20" w:after="20"/>
            </w:pPr>
            <w:r/>
            <w:r>
              <w:rPr>
                <w:b/>
                <w:sz w:val="19"/>
              </w:rPr>
              <w:t>Status</w:t>
            </w:r>
          </w:p>
        </w:tc>
        <w:tc>
          <w:tcPr>
            <w:tcW w:type="dxa" w:w="4824"/>
          </w:tcPr>
          <w:p>
            <w:pPr>
              <w:spacing w:before="20" w:after="20"/>
            </w:pPr>
            <w:r/>
            <w:r>
              <w:rPr>
                <w:b w:val="0"/>
                <w:sz w:val="19"/>
              </w:rPr>
              <w:t>Delivered</w:t>
            </w:r>
          </w:p>
        </w:tc>
      </w:tr>
    </w:tbl>
    <w:p>
      <w:pPr>
        <w:spacing w:after="40"/>
      </w:pPr>
    </w:p>
    <w:p>
      <w:pPr>
        <w:spacing w:after="80"/>
      </w:pPr>
      <w:r>
        <w:rPr>
          <w:b/>
        </w:rPr>
        <w:t>Business driver</w:t>
      </w:r>
      <w:r>
        <w:rPr>
          <w:b w:val="0"/>
        </w:rPr>
        <w:t xml:space="preserve"> The business needs a *Supplier Status* of </w:t>
      </w:r>
      <w:r>
        <w:rPr>
          <w:b/>
        </w:rPr>
        <w:t>Active / Inactive</w:t>
      </w:r>
      <w:r>
        <w:rPr>
          <w:b w:val="0"/>
        </w:rPr>
        <w:t xml:space="preserve"> that is separate from the existing workflow status, so that suppliers who should no longer be used can be disabled and hidden from day-to-day lists while remaining on file for history and reporting.</w:t>
      </w:r>
    </w:p>
    <w:p>
      <w:pPr>
        <w:spacing w:after="80"/>
      </w:pPr>
      <w:r>
        <w:rPr>
          <w:b/>
        </w:rPr>
        <w:t>Description of change</w:t>
      </w:r>
    </w:p>
    <w:p>
      <w:pPr>
        <w:pStyle w:val="ListBullet"/>
      </w:pPr>
      <w:r>
        <w:rPr>
          <w:b/>
        </w:rPr>
        <w:t>Grid column + toggle.</w:t>
      </w:r>
      <w:r>
        <w:rPr>
          <w:b w:val="0"/>
        </w:rPr>
        <w:t xml:space="preserve"> The *Manage Supplier* grid now shows a </w:t>
      </w:r>
      <w:r>
        <w:rPr>
          <w:b/>
        </w:rPr>
        <w:t>Supplier Status</w:t>
      </w:r>
      <w:r>
        <w:rPr>
          <w:b w:val="0"/>
        </w:rPr>
        <w:t xml:space="preserve"> column with an </w:t>
      </w:r>
      <w:r>
        <w:rPr>
          <w:b/>
        </w:rPr>
        <w:t>Active / Inactive toggle</w:t>
      </w:r>
      <w:r>
        <w:rPr>
          <w:b w:val="0"/>
        </w:rPr>
        <w:t xml:space="preserve"> (green = Active). Switching the toggle immediately enables or disables the supplier. Every change is written to the </w:t>
      </w:r>
      <w:r>
        <w:rPr>
          <w:b/>
        </w:rPr>
        <w:t>audit log</w:t>
      </w:r>
      <w:r>
        <w:rPr>
          <w:b w:val="0"/>
        </w:rPr>
        <w:t>.</w:t>
      </w:r>
    </w:p>
    <w:p>
      <w:pPr>
        <w:pStyle w:val="ListBullet"/>
      </w:pPr>
      <w:r>
        <w:rPr>
          <w:b/>
        </w:rPr>
        <w:t>Default view hides Inactive.</w:t>
      </w:r>
      <w:r>
        <w:rPr>
          <w:b w:val="0"/>
        </w:rPr>
        <w:t xml:space="preserve"> A </w:t>
      </w:r>
      <w:r>
        <w:rPr>
          <w:b/>
        </w:rPr>
        <w:t>Supplier Status filter</w:t>
      </w:r>
      <w:r>
        <w:rPr>
          <w:b w:val="0"/>
        </w:rPr>
        <w:t xml:space="preserve"> (*Active / Inactive / All*) was added to the filter bar. It </w:t>
      </w:r>
      <w:r>
        <w:rPr>
          <w:b/>
        </w:rPr>
        <w:t>defaults to Active</w:t>
      </w:r>
      <w:r>
        <w:rPr>
          <w:b w:val="0"/>
        </w:rPr>
        <w:t>, so inactive suppliers are hidden from the default list. Turning a supplier Inactive removes it from the Active view on save.</w:t>
      </w:r>
    </w:p>
    <w:p>
      <w:pPr>
        <w:pStyle w:val="ListBullet"/>
      </w:pPr>
      <w:r>
        <w:rPr>
          <w:b/>
        </w:rPr>
        <w:t>Column chooser &amp; export.</w:t>
      </w:r>
      <w:r>
        <w:rPr>
          <w:b w:val="0"/>
        </w:rPr>
        <w:t xml:space="preserve"> "Supplier Status" is available in the grid column chooser (shown by default) and is included in the Print / Export column set.</w:t>
      </w:r>
    </w:p>
    <w:p>
      <w:pPr>
        <w:pStyle w:val="ListBullet"/>
      </w:pPr>
      <w:r>
        <w:rPr>
          <w:b/>
        </w:rPr>
        <w:t>Report Builder.</w:t>
      </w:r>
      <w:r>
        <w:rPr>
          <w:b w:val="0"/>
        </w:rPr>
        <w:t xml:space="preserve"> The supplier reporting view now exposes </w:t>
      </w:r>
      <w:r>
        <w:rPr>
          <w:b/>
        </w:rPr>
        <w:t>Supplier Status</w:t>
      </w:r>
      <w:r>
        <w:rPr>
          <w:b w:val="0"/>
        </w:rPr>
        <w:t xml:space="preserve"> with business-friendly values </w:t>
      </w:r>
      <w:r>
        <w:rPr>
          <w:b/>
        </w:rPr>
        <w:t>'Active' / 'Inactive'</w:t>
      </w:r>
      <w:r>
        <w:rPr>
          <w:b w:val="0"/>
        </w:rPr>
        <w:t>, so it can be selected as a column and used as a filter in any supplier report.</w:t>
      </w:r>
    </w:p>
    <w:p>
      <w:pPr>
        <w:spacing w:after="80"/>
      </w:pPr>
      <w:r>
        <w:rPr>
          <w:b/>
        </w:rPr>
        <w:t>As-Is → To-Be</w:t>
      </w:r>
    </w:p>
    <w:p>
      <w:pPr>
        <w:pStyle w:val="ListBullet"/>
      </w:pPr>
      <w:r>
        <w:rPr>
          <w:b w:val="0"/>
        </w:rPr>
        <w:t>*As-Is:* The Active/Inactive flag existed in the database but was never shown or editable in the application; it could not be filtered or reported on.</w:t>
      </w:r>
    </w:p>
    <w:p>
      <w:pPr>
        <w:pStyle w:val="ListBullet"/>
      </w:pPr>
      <w:r>
        <w:rPr>
          <w:b w:val="0"/>
        </w:rPr>
        <w:t>*To-Be:* Staff can view, toggle, filter and report on Supplier Status from the Manage Supplier screen and the Report Builder.</w:t>
      </w:r>
    </w:p>
    <w:p>
      <w:pPr>
        <w:spacing w:after="80"/>
      </w:pPr>
      <w:r>
        <w:rPr>
          <w:b/>
        </w:rPr>
        <w:t>Data / database impact</w:t>
      </w:r>
    </w:p>
    <w:p>
      <w:pPr>
        <w:pStyle w:val="ListBullet"/>
      </w:pPr>
      <w:r>
        <w:rPr>
          <w:b w:val="0"/>
        </w:rPr>
        <w:t>The supplier reporting view (</w:t>
      </w:r>
      <w:r>
        <w:rPr>
          <w:rFonts w:ascii="Consolas" w:hAnsi="Consolas"/>
          <w:b w:val="0"/>
          <w:sz w:val="19"/>
        </w:rPr>
        <w:t>vSupplierReport</w:t>
      </w:r>
      <w:r>
        <w:rPr>
          <w:b w:val="0"/>
        </w:rPr>
        <w:t xml:space="preserve">) was updated so the status column is presented as </w:t>
      </w:r>
      <w:r>
        <w:rPr>
          <w:b/>
        </w:rPr>
        <w:t>'Active' / 'Inactive'</w:t>
      </w:r>
      <w:r>
        <w:rPr>
          <w:b w:val="0"/>
        </w:rPr>
        <w:t>. Applied automatically on deployment; fully reversible. No new supplier data columns were required (the underlying flag already existed).</w:t>
      </w:r>
    </w:p>
    <w:p>
      <w:pPr>
        <w:spacing w:after="80"/>
      </w:pPr>
      <w:r>
        <w:rPr>
          <w:b/>
        </w:rPr>
        <w:t>Security / roles</w:t>
      </w:r>
    </w:p>
    <w:p>
      <w:pPr>
        <w:pStyle w:val="ListBullet"/>
      </w:pPr>
      <w:r>
        <w:rPr>
          <w:b w:val="0"/>
        </w:rPr>
        <w:t>Available to the same staff roles that manage suppliers. Toggle actions are audit-logged with the acting user.</w:t>
      </w:r>
    </w:p>
    <w:p>
      <w:pPr>
        <w:pBdr>
          <w:bottom w:val="single" w:sz="6" w:space="1" w:color="C0C4CC"/>
        </w:pBdr>
      </w:pPr>
    </w:p>
    <w:p>
      <w:pPr>
        <w:spacing w:before="200" w:after="80"/>
      </w:pPr>
      <w:r>
        <w:rPr>
          <w:b/>
          <w:color w:val="1F3864"/>
          <w:sz w:val="30"/>
        </w:rPr>
        <w:t>CR-SUP-002 — Application Administrator role (administrator without Settings)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864"/>
          </w:tcPr>
          <w:p>
            <w:pPr>
              <w:spacing w:before="20" w:after="20"/>
            </w:pPr>
            <w:r/>
          </w:p>
        </w:tc>
        <w:tc>
          <w:tcPr>
            <w:tcW w:type="dxa" w:w="4824"/>
            <w:shd w:val="clear" w:color="auto" w:fill="1F3864"/>
          </w:tcPr>
          <w:p>
            <w:pPr>
              <w:spacing w:before="20" w:after="20"/>
            </w:pPr>
            <w:r/>
          </w:p>
        </w:tc>
      </w:tr>
      <w:tr>
        <w:tc>
          <w:tcPr>
            <w:tcW w:type="dxa" w:w="4824"/>
          </w:tcPr>
          <w:p>
            <w:pPr>
              <w:spacing w:before="20" w:after="20"/>
            </w:pPr>
            <w:r/>
            <w:r>
              <w:rPr>
                <w:b/>
                <w:sz w:val="19"/>
              </w:rPr>
              <w:t>CR ID</w:t>
            </w:r>
          </w:p>
        </w:tc>
        <w:tc>
          <w:tcPr>
            <w:tcW w:type="dxa" w:w="4824"/>
          </w:tcPr>
          <w:p>
            <w:pPr>
              <w:spacing w:before="20" w:after="20"/>
            </w:pPr>
            <w:r/>
            <w:r>
              <w:rPr>
                <w:b w:val="0"/>
                <w:sz w:val="19"/>
              </w:rPr>
              <w:t>CR-SUP-002</w:t>
            </w:r>
          </w:p>
        </w:tc>
      </w:tr>
      <w:tr>
        <w:tc>
          <w:tcPr>
            <w:tcW w:type="dxa" w:w="4824"/>
            <w:shd w:val="clear" w:color="auto" w:fill="F2F4F8"/>
          </w:tcPr>
          <w:p>
            <w:pPr>
              <w:spacing w:before="20" w:after="20"/>
            </w:pPr>
            <w:r/>
            <w:r>
              <w:rPr>
                <w:b/>
                <w:sz w:val="19"/>
              </w:rPr>
              <w:t>Date delivered</w:t>
            </w:r>
          </w:p>
        </w:tc>
        <w:tc>
          <w:tcPr>
            <w:tcW w:type="dxa" w:w="4824"/>
            <w:shd w:val="clear" w:color="auto" w:fill="F2F4F8"/>
          </w:tcPr>
          <w:p>
            <w:pPr>
              <w:spacing w:before="20" w:after="20"/>
            </w:pPr>
            <w:r/>
            <w:r>
              <w:rPr>
                <w:b w:val="0"/>
                <w:sz w:val="19"/>
              </w:rPr>
              <w:t>07-Oct-2026</w:t>
            </w:r>
          </w:p>
        </w:tc>
      </w:tr>
      <w:tr>
        <w:tc>
          <w:tcPr>
            <w:tcW w:type="dxa" w:w="4824"/>
          </w:tcPr>
          <w:p>
            <w:pPr>
              <w:spacing w:before="20" w:after="20"/>
            </w:pPr>
            <w:r/>
            <w:r>
              <w:rPr>
                <w:b/>
                <w:sz w:val="19"/>
              </w:rPr>
              <w:t>Category</w:t>
            </w:r>
          </w:p>
        </w:tc>
        <w:tc>
          <w:tcPr>
            <w:tcW w:type="dxa" w:w="4824"/>
          </w:tcPr>
          <w:p>
            <w:pPr>
              <w:spacing w:before="20" w:after="20"/>
            </w:pPr>
            <w:r/>
            <w:r>
              <w:rPr>
                <w:b w:val="0"/>
                <w:sz w:val="19"/>
              </w:rPr>
              <w:t>Enhancement / Security</w:t>
            </w:r>
          </w:p>
        </w:tc>
      </w:tr>
      <w:tr>
        <w:tc>
          <w:tcPr>
            <w:tcW w:type="dxa" w:w="4824"/>
            <w:shd w:val="clear" w:color="auto" w:fill="F2F4F8"/>
          </w:tcPr>
          <w:p>
            <w:pPr>
              <w:spacing w:before="20" w:after="20"/>
            </w:pPr>
            <w:r/>
            <w:r>
              <w:rPr>
                <w:b/>
                <w:sz w:val="19"/>
              </w:rPr>
              <w:t>Modules affected</w:t>
            </w:r>
          </w:p>
        </w:tc>
        <w:tc>
          <w:tcPr>
            <w:tcW w:type="dxa" w:w="4824"/>
            <w:shd w:val="clear" w:color="auto" w:fill="F2F4F8"/>
          </w:tcPr>
          <w:p>
            <w:pPr>
              <w:spacing w:before="20" w:after="20"/>
            </w:pPr>
            <w:r/>
            <w:r>
              <w:rPr>
                <w:b w:val="0"/>
                <w:sz w:val="19"/>
              </w:rPr>
              <w:t>User roles &amp; security, navigation menu, Home page, user create/edit, operational pages across Supplier / Customer / Landlord portals</w:t>
            </w:r>
          </w:p>
        </w:tc>
      </w:tr>
      <w:tr>
        <w:tc>
          <w:tcPr>
            <w:tcW w:type="dxa" w:w="4824"/>
          </w:tcPr>
          <w:p>
            <w:pPr>
              <w:spacing w:before="20" w:after="20"/>
            </w:pPr>
            <w:r/>
            <w:r>
              <w:rPr>
                <w:b/>
                <w:sz w:val="19"/>
              </w:rPr>
              <w:t>Status</w:t>
            </w:r>
          </w:p>
        </w:tc>
        <w:tc>
          <w:tcPr>
            <w:tcW w:type="dxa" w:w="4824"/>
          </w:tcPr>
          <w:p>
            <w:pPr>
              <w:spacing w:before="20" w:after="20"/>
            </w:pPr>
            <w:r/>
            <w:r>
              <w:rPr>
                <w:b w:val="0"/>
                <w:sz w:val="19"/>
              </w:rPr>
              <w:t>Delivered</w:t>
            </w:r>
          </w:p>
        </w:tc>
      </w:tr>
    </w:tbl>
    <w:p>
      <w:pPr>
        <w:spacing w:after="40"/>
      </w:pPr>
    </w:p>
    <w:p>
      <w:pPr>
        <w:spacing w:after="80"/>
      </w:pPr>
      <w:r>
        <w:rPr>
          <w:b/>
        </w:rPr>
        <w:t>Business driver</w:t>
      </w:r>
      <w:r>
        <w:rPr>
          <w:b w:val="0"/>
        </w:rPr>
        <w:t xml:space="preserve"> The business wants a role that can perform all day-to-day operational work but must </w:t>
      </w:r>
      <w:r>
        <w:rPr>
          <w:b/>
        </w:rPr>
        <w:t>not</w:t>
      </w:r>
      <w:r>
        <w:rPr>
          <w:b w:val="0"/>
        </w:rPr>
        <w:t xml:space="preserve"> be able to change system configuration. This lets operational leads run the portal without granting them full administrative control over Settings.</w:t>
      </w:r>
    </w:p>
    <w:p>
      <w:pPr>
        <w:spacing w:after="80"/>
      </w:pPr>
      <w:r>
        <w:rPr>
          <w:b/>
        </w:rPr>
        <w:t>Description of change</w:t>
      </w:r>
      <w:r>
        <w:rPr>
          <w:b w:val="0"/>
        </w:rPr>
        <w:t xml:space="preserve"> A new </w:t>
      </w:r>
      <w:r>
        <w:rPr>
          <w:b/>
        </w:rPr>
        <w:t>Application Administrator</w:t>
      </w:r>
      <w:r>
        <w:rPr>
          <w:b w:val="0"/>
        </w:rPr>
        <w:t xml:space="preserve"> role was introduced — a "miniature administrator".</w:t>
      </w:r>
    </w:p>
    <w:p>
      <w:pPr>
        <w:pStyle w:val="ListBullet"/>
      </w:pPr>
      <w:r>
        <w:rPr>
          <w:b/>
        </w:rPr>
        <w:t>What an Application Administrator CAN do (same as Administrator):</w:t>
      </w:r>
      <w:r>
        <w:rPr>
          <w:b w:val="0"/>
        </w:rPr>
        <w:t xml:space="preserve"> see all records within the </w:t>
      </w:r>
      <w:r>
        <w:rPr>
          <w:b/>
        </w:rPr>
        <w:t>business units assigned to them</w:t>
      </w:r>
      <w:r>
        <w:rPr>
          <w:b w:val="0"/>
        </w:rPr>
        <w:t>, view all users' records, import/export Excel, register suppliers/customers/landlords, send notifications, assign work, and use the dashboards and reports.</w:t>
      </w:r>
    </w:p>
    <w:p>
      <w:pPr>
        <w:pStyle w:val="ListBullet"/>
      </w:pPr>
      <w:r>
        <w:rPr>
          <w:b/>
        </w:rPr>
        <w:t>What an Application Administrator CANNOT do:</w:t>
      </w:r>
      <w:r>
        <w:rPr>
          <w:b w:val="0"/>
        </w:rPr>
        <w:t xml:space="preserve"> open the </w:t>
      </w:r>
      <w:r>
        <w:rPr>
          <w:b/>
        </w:rPr>
        <w:t>Settings</w:t>
      </w:r>
      <w:r>
        <w:rPr>
          <w:b w:val="0"/>
        </w:rPr>
        <w:t xml:space="preserve"> area — Business Units, Manage Users, Supplier/Customer/Landlord Field Settings, Document Types, Notification Groups, Scheduled Reports, Break-Glass, and Audit Log. The Settings menu is hidden for them, and direct links to Settings pages are denied.</w:t>
      </w:r>
    </w:p>
    <w:p>
      <w:pPr>
        <w:pStyle w:val="ListBullet"/>
      </w:pPr>
      <w:r>
        <w:rPr>
          <w:b/>
        </w:rPr>
        <w:t>User administration.</w:t>
      </w:r>
      <w:r>
        <w:rPr>
          <w:b w:val="0"/>
        </w:rPr>
        <w:t xml:space="preserve"> The role dropdown on *Create User* and *Edit User* now offers </w:t>
      </w:r>
      <w:r>
        <w:rPr>
          <w:b/>
        </w:rPr>
        <w:t>"Application Administrator"</w:t>
      </w:r>
      <w:r>
        <w:rPr>
          <w:b w:val="0"/>
        </w:rPr>
        <w:t xml:space="preserve"> with explanatory help text, and the Users list shows a friendly role label.</w:t>
      </w:r>
    </w:p>
    <w:p>
      <w:pPr>
        <w:spacing w:after="80"/>
      </w:pPr>
      <w:r>
        <w:rPr>
          <w:b/>
        </w:rPr>
        <w:t>As-Is → To-Be</w:t>
      </w:r>
    </w:p>
    <w:p>
      <w:pPr>
        <w:pStyle w:val="ListBullet"/>
      </w:pPr>
      <w:r>
        <w:rPr>
          <w:b w:val="0"/>
        </w:rPr>
        <w:t>*As-Is:* Only two operational role levels existed — full Administrator (everything, including Settings) or Normal User (scoped).</w:t>
      </w:r>
    </w:p>
    <w:p>
      <w:pPr>
        <w:pStyle w:val="ListBullet"/>
      </w:pPr>
      <w:r>
        <w:rPr>
          <w:b w:val="0"/>
        </w:rPr>
        <w:t>*To-Be:* A middle tier exists — full operational access within assigned business units, but no access to Settings.</w:t>
      </w:r>
    </w:p>
    <w:p>
      <w:pPr>
        <w:spacing w:after="80"/>
      </w:pPr>
      <w:r>
        <w:rPr>
          <w:b/>
        </w:rPr>
        <w:t>Security / roles</w:t>
      </w:r>
    </w:p>
    <w:p>
      <w:pPr>
        <w:pStyle w:val="ListBullet"/>
      </w:pPr>
      <w:r>
        <w:rPr>
          <w:b w:val="0"/>
        </w:rPr>
        <w:t xml:space="preserve">Enforced in two layers: the Settings navigation is hidden, </w:t>
      </w:r>
      <w:r>
        <w:rPr>
          <w:b/>
        </w:rPr>
        <w:t>and</w:t>
      </w:r>
      <w:r>
        <w:rPr>
          <w:b w:val="0"/>
        </w:rPr>
        <w:t xml:space="preserve"> each Settings page continues to require full Administrator rights, so access is blocked even via a direct URL.</w:t>
      </w:r>
    </w:p>
    <w:p>
      <w:pPr>
        <w:spacing w:after="80"/>
      </w:pPr>
      <w:r>
        <w:rPr>
          <w:b/>
        </w:rPr>
        <w:t>Scope note</w:t>
      </w:r>
    </w:p>
    <w:p>
      <w:pPr>
        <w:pStyle w:val="ListBullet"/>
      </w:pPr>
      <w:r>
        <w:rPr>
          <w:b w:val="0"/>
        </w:rPr>
        <w:t>The role is cross-portal; it applies identically in the Supplier, Customer and Landlord portals.</w:t>
      </w:r>
    </w:p>
    <w:p>
      <w:pPr>
        <w:pBdr>
          <w:bottom w:val="single" w:sz="6" w:space="1" w:color="C0C4CC"/>
        </w:pBdr>
      </w:pPr>
    </w:p>
    <w:p>
      <w:pPr>
        <w:spacing w:before="200" w:after="80"/>
      </w:pPr>
      <w:r>
        <w:rPr>
          <w:b/>
          <w:color w:val="1F3864"/>
          <w:sz w:val="30"/>
        </w:rPr>
        <w:t>CR-SUP-003 — Portal-specific sender email addresses (per Business Unit)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864"/>
          </w:tcPr>
          <w:p>
            <w:pPr>
              <w:spacing w:before="20" w:after="20"/>
            </w:pPr>
            <w:r/>
          </w:p>
        </w:tc>
        <w:tc>
          <w:tcPr>
            <w:tcW w:type="dxa" w:w="4824"/>
            <w:shd w:val="clear" w:color="auto" w:fill="1F3864"/>
          </w:tcPr>
          <w:p>
            <w:pPr>
              <w:spacing w:before="20" w:after="20"/>
            </w:pPr>
            <w:r/>
          </w:p>
        </w:tc>
      </w:tr>
      <w:tr>
        <w:tc>
          <w:tcPr>
            <w:tcW w:type="dxa" w:w="4824"/>
          </w:tcPr>
          <w:p>
            <w:pPr>
              <w:spacing w:before="20" w:after="20"/>
            </w:pPr>
            <w:r/>
            <w:r>
              <w:rPr>
                <w:b/>
                <w:sz w:val="19"/>
              </w:rPr>
              <w:t>CR ID</w:t>
            </w:r>
          </w:p>
        </w:tc>
        <w:tc>
          <w:tcPr>
            <w:tcW w:type="dxa" w:w="4824"/>
          </w:tcPr>
          <w:p>
            <w:pPr>
              <w:spacing w:before="20" w:after="20"/>
            </w:pPr>
            <w:r/>
            <w:r>
              <w:rPr>
                <w:b w:val="0"/>
                <w:sz w:val="19"/>
              </w:rPr>
              <w:t>CR-SUP-003</w:t>
            </w:r>
          </w:p>
        </w:tc>
      </w:tr>
      <w:tr>
        <w:tc>
          <w:tcPr>
            <w:tcW w:type="dxa" w:w="4824"/>
            <w:shd w:val="clear" w:color="auto" w:fill="F2F4F8"/>
          </w:tcPr>
          <w:p>
            <w:pPr>
              <w:spacing w:before="20" w:after="20"/>
            </w:pPr>
            <w:r/>
            <w:r>
              <w:rPr>
                <w:b/>
                <w:sz w:val="19"/>
              </w:rPr>
              <w:t>Date delivered</w:t>
            </w:r>
          </w:p>
        </w:tc>
        <w:tc>
          <w:tcPr>
            <w:tcW w:type="dxa" w:w="4824"/>
            <w:shd w:val="clear" w:color="auto" w:fill="F2F4F8"/>
          </w:tcPr>
          <w:p>
            <w:pPr>
              <w:spacing w:before="20" w:after="20"/>
            </w:pPr>
            <w:r/>
            <w:r>
              <w:rPr>
                <w:b w:val="0"/>
                <w:sz w:val="19"/>
              </w:rPr>
              <w:t>30-Sep-2026</w:t>
            </w:r>
          </w:p>
        </w:tc>
      </w:tr>
      <w:tr>
        <w:tc>
          <w:tcPr>
            <w:tcW w:type="dxa" w:w="4824"/>
          </w:tcPr>
          <w:p>
            <w:pPr>
              <w:spacing w:before="20" w:after="20"/>
            </w:pPr>
            <w:r/>
            <w:r>
              <w:rPr>
                <w:b/>
                <w:sz w:val="19"/>
              </w:rPr>
              <w:t>Category</w:t>
            </w:r>
          </w:p>
        </w:tc>
        <w:tc>
          <w:tcPr>
            <w:tcW w:type="dxa" w:w="4824"/>
          </w:tcPr>
          <w:p>
            <w:pPr>
              <w:spacing w:before="20" w:after="20"/>
            </w:pPr>
            <w:r/>
            <w:r>
              <w:rPr>
                <w:b w:val="0"/>
                <w:sz w:val="19"/>
              </w:rPr>
              <w:t>Enhancement</w:t>
            </w:r>
          </w:p>
        </w:tc>
      </w:tr>
      <w:tr>
        <w:tc>
          <w:tcPr>
            <w:tcW w:type="dxa" w:w="4824"/>
            <w:shd w:val="clear" w:color="auto" w:fill="F2F4F8"/>
          </w:tcPr>
          <w:p>
            <w:pPr>
              <w:spacing w:before="20" w:after="20"/>
            </w:pPr>
            <w:r/>
            <w:r>
              <w:rPr>
                <w:b/>
                <w:sz w:val="19"/>
              </w:rPr>
              <w:t>Modules affected</w:t>
            </w:r>
          </w:p>
        </w:tc>
        <w:tc>
          <w:tcPr>
            <w:tcW w:type="dxa" w:w="4824"/>
            <w:shd w:val="clear" w:color="auto" w:fill="F2F4F8"/>
          </w:tcPr>
          <w:p>
            <w:pPr>
              <w:spacing w:before="20" w:after="20"/>
            </w:pPr>
            <w:r/>
            <w:r>
              <w:rPr>
                <w:b w:val="0"/>
                <w:sz w:val="19"/>
              </w:rPr>
              <w:t>Business Unit settings, email dispatch for Supplier (and Customer / Landlord / Broker)</w:t>
            </w:r>
          </w:p>
        </w:tc>
      </w:tr>
      <w:tr>
        <w:tc>
          <w:tcPr>
            <w:tcW w:type="dxa" w:w="4824"/>
          </w:tcPr>
          <w:p>
            <w:pPr>
              <w:spacing w:before="20" w:after="20"/>
            </w:pPr>
            <w:r/>
            <w:r>
              <w:rPr>
                <w:b/>
                <w:sz w:val="19"/>
              </w:rPr>
              <w:t>Status</w:t>
            </w:r>
          </w:p>
        </w:tc>
        <w:tc>
          <w:tcPr>
            <w:tcW w:type="dxa" w:w="4824"/>
          </w:tcPr>
          <w:p>
            <w:pPr>
              <w:spacing w:before="20" w:after="20"/>
            </w:pPr>
            <w:r/>
            <w:r>
              <w:rPr>
                <w:b w:val="0"/>
                <w:sz w:val="19"/>
              </w:rPr>
              <w:t>Delivered</w:t>
            </w:r>
          </w:p>
        </w:tc>
      </w:tr>
    </w:tbl>
    <w:p>
      <w:pPr>
        <w:spacing w:after="40"/>
      </w:pPr>
    </w:p>
    <w:p>
      <w:pPr>
        <w:spacing w:after="80"/>
      </w:pPr>
      <w:r>
        <w:rPr>
          <w:b/>
        </w:rPr>
        <w:t>Business driver</w:t>
      </w:r>
      <w:r>
        <w:rPr>
          <w:b w:val="0"/>
        </w:rPr>
        <w:t xml:space="preserve"> System-generated emails should be clearly identified by business function, so recipients recognise who the message is from (e.g. for DIP: </w:t>
      </w:r>
      <w:r>
        <w:rPr>
          <w:rFonts w:ascii="Consolas" w:hAnsi="Consolas"/>
          <w:b w:val="0"/>
          <w:sz w:val="19"/>
        </w:rPr>
        <w:t>purchase@dipark.com</w:t>
      </w:r>
      <w:r>
        <w:rPr>
          <w:b w:val="0"/>
        </w:rPr>
        <w:t xml:space="preserve"> for Supplier communications).</w:t>
      </w:r>
    </w:p>
    <w:p>
      <w:pPr>
        <w:spacing w:after="80"/>
      </w:pPr>
      <w:r>
        <w:rPr>
          <w:b/>
        </w:rPr>
        <w:t>Description of change</w:t>
      </w:r>
    </w:p>
    <w:p>
      <w:pPr>
        <w:pStyle w:val="ListBullet"/>
      </w:pPr>
      <w:r>
        <w:rPr>
          <w:b w:val="0"/>
        </w:rPr>
        <w:t xml:space="preserve">Each </w:t>
      </w:r>
      <w:r>
        <w:rPr>
          <w:b/>
        </w:rPr>
        <w:t>Business Unit</w:t>
      </w:r>
      <w:r>
        <w:rPr>
          <w:b w:val="0"/>
        </w:rPr>
        <w:t xml:space="preserve"> can now define a dedicated </w:t>
      </w:r>
      <w:r>
        <w:rPr>
          <w:b/>
        </w:rPr>
        <w:t>sender ("From") email per portal</w:t>
      </w:r>
      <w:r>
        <w:rPr>
          <w:b w:val="0"/>
        </w:rPr>
        <w:t xml:space="preserve"> — Supplier, Customer, Landlord and Broker — configured in *Add / Edit Business Unit* under a new "Portal sender email addresses" section.</w:t>
      </w:r>
    </w:p>
    <w:p>
      <w:pPr>
        <w:pStyle w:val="ListBullet"/>
      </w:pPr>
      <w:r>
        <w:rPr>
          <w:b w:val="0"/>
        </w:rPr>
        <w:t xml:space="preserve">When a portal sends an email, it uses that portal's address if set; otherwise it falls back to the Business Unit's general email; otherwise to the global default sender. </w:t>
      </w:r>
      <w:r>
        <w:rPr>
          <w:b/>
        </w:rPr>
        <w:t>Existing behaviour is unchanged until an address is entered.</w:t>
      </w:r>
    </w:p>
    <w:p>
      <w:pPr>
        <w:pStyle w:val="ListBullet"/>
      </w:pPr>
      <w:r>
        <w:rPr>
          <w:b w:val="0"/>
        </w:rPr>
        <w:t>The sender shown to recipients on self-service link/contact information uses the same per-portal address.</w:t>
      </w:r>
    </w:p>
    <w:p>
      <w:pPr>
        <w:pStyle w:val="ListBullet"/>
      </w:pPr>
      <w:r>
        <w:rPr>
          <w:b/>
        </w:rPr>
        <w:t>Recipients of internal notifications are unchanged</w:t>
      </w:r>
      <w:r>
        <w:rPr>
          <w:b w:val="0"/>
        </w:rPr>
        <w:t xml:space="preserve"> — only the "From" sender address became portal-specific.</w:t>
      </w:r>
    </w:p>
    <w:p>
      <w:pPr>
        <w:spacing w:after="80"/>
      </w:pPr>
      <w:r>
        <w:rPr>
          <w:b/>
        </w:rPr>
        <w:t>Data / database impact</w:t>
      </w:r>
    </w:p>
    <w:p>
      <w:pPr>
        <w:pStyle w:val="ListBullet"/>
      </w:pPr>
      <w:r>
        <w:rPr>
          <w:b w:val="0"/>
        </w:rPr>
        <w:t>Four optional sender-address columns were added to the Business Unit record. Applied automatically on deployment.</w:t>
      </w:r>
    </w:p>
    <w:p>
      <w:pPr>
        <w:pBdr>
          <w:bottom w:val="single" w:sz="6" w:space="1" w:color="C0C4CC"/>
        </w:pBdr>
      </w:pPr>
    </w:p>
    <w:p>
      <w:pPr>
        <w:spacing w:before="200" w:after="80"/>
      </w:pPr>
      <w:r>
        <w:rPr>
          <w:b/>
          <w:color w:val="1F3864"/>
          <w:sz w:val="30"/>
        </w:rPr>
        <w:t>CR-SUP-004 — One-time-password (OTP) delivery reliability fix</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864"/>
          </w:tcPr>
          <w:p>
            <w:pPr>
              <w:spacing w:before="20" w:after="20"/>
            </w:pPr>
            <w:r/>
          </w:p>
        </w:tc>
        <w:tc>
          <w:tcPr>
            <w:tcW w:type="dxa" w:w="4824"/>
            <w:shd w:val="clear" w:color="auto" w:fill="1F3864"/>
          </w:tcPr>
          <w:p>
            <w:pPr>
              <w:spacing w:before="20" w:after="20"/>
            </w:pPr>
            <w:r/>
          </w:p>
        </w:tc>
      </w:tr>
      <w:tr>
        <w:tc>
          <w:tcPr>
            <w:tcW w:type="dxa" w:w="4824"/>
          </w:tcPr>
          <w:p>
            <w:pPr>
              <w:spacing w:before="20" w:after="20"/>
            </w:pPr>
            <w:r/>
            <w:r>
              <w:rPr>
                <w:b/>
                <w:sz w:val="19"/>
              </w:rPr>
              <w:t>CR ID</w:t>
            </w:r>
          </w:p>
        </w:tc>
        <w:tc>
          <w:tcPr>
            <w:tcW w:type="dxa" w:w="4824"/>
          </w:tcPr>
          <w:p>
            <w:pPr>
              <w:spacing w:before="20" w:after="20"/>
            </w:pPr>
            <w:r/>
            <w:r>
              <w:rPr>
                <w:b w:val="0"/>
                <w:sz w:val="19"/>
              </w:rPr>
              <w:t>CR-SUP-004</w:t>
            </w:r>
          </w:p>
        </w:tc>
      </w:tr>
      <w:tr>
        <w:tc>
          <w:tcPr>
            <w:tcW w:type="dxa" w:w="4824"/>
            <w:shd w:val="clear" w:color="auto" w:fill="F2F4F8"/>
          </w:tcPr>
          <w:p>
            <w:pPr>
              <w:spacing w:before="20" w:after="20"/>
            </w:pPr>
            <w:r/>
            <w:r>
              <w:rPr>
                <w:b/>
                <w:sz w:val="19"/>
              </w:rPr>
              <w:t>Date delivered</w:t>
            </w:r>
          </w:p>
        </w:tc>
        <w:tc>
          <w:tcPr>
            <w:tcW w:type="dxa" w:w="4824"/>
            <w:shd w:val="clear" w:color="auto" w:fill="F2F4F8"/>
          </w:tcPr>
          <w:p>
            <w:pPr>
              <w:spacing w:before="20" w:after="20"/>
            </w:pPr>
            <w:r/>
            <w:r>
              <w:rPr>
                <w:b w:val="0"/>
                <w:sz w:val="19"/>
              </w:rPr>
              <w:t>30-Sep-2026</w:t>
            </w:r>
          </w:p>
        </w:tc>
      </w:tr>
      <w:tr>
        <w:tc>
          <w:tcPr>
            <w:tcW w:type="dxa" w:w="4824"/>
          </w:tcPr>
          <w:p>
            <w:pPr>
              <w:spacing w:before="20" w:after="20"/>
            </w:pPr>
            <w:r/>
            <w:r>
              <w:rPr>
                <w:b/>
                <w:sz w:val="19"/>
              </w:rPr>
              <w:t>Category</w:t>
            </w:r>
          </w:p>
        </w:tc>
        <w:tc>
          <w:tcPr>
            <w:tcW w:type="dxa" w:w="4824"/>
          </w:tcPr>
          <w:p>
            <w:pPr>
              <w:spacing w:before="20" w:after="20"/>
            </w:pPr>
            <w:r/>
            <w:r>
              <w:rPr>
                <w:b w:val="0"/>
                <w:sz w:val="19"/>
              </w:rPr>
              <w:t>Defect fix</w:t>
            </w:r>
          </w:p>
        </w:tc>
      </w:tr>
      <w:tr>
        <w:tc>
          <w:tcPr>
            <w:tcW w:type="dxa" w:w="4824"/>
            <w:shd w:val="clear" w:color="auto" w:fill="F2F4F8"/>
          </w:tcPr>
          <w:p>
            <w:pPr>
              <w:spacing w:before="20" w:after="20"/>
            </w:pPr>
            <w:r/>
            <w:r>
              <w:rPr>
                <w:b/>
                <w:sz w:val="19"/>
              </w:rPr>
              <w:t>Modules affected</w:t>
            </w:r>
          </w:p>
        </w:tc>
        <w:tc>
          <w:tcPr>
            <w:tcW w:type="dxa" w:w="4824"/>
            <w:shd w:val="clear" w:color="auto" w:fill="F2F4F8"/>
          </w:tcPr>
          <w:p>
            <w:pPr>
              <w:spacing w:before="20" w:after="20"/>
            </w:pPr>
            <w:r/>
            <w:r>
              <w:rPr>
                <w:b w:val="0"/>
                <w:sz w:val="19"/>
              </w:rPr>
              <w:t>Supplier self-service OTP (and Landlord, by the same fix)</w:t>
            </w:r>
          </w:p>
        </w:tc>
      </w:tr>
      <w:tr>
        <w:tc>
          <w:tcPr>
            <w:tcW w:type="dxa" w:w="4824"/>
          </w:tcPr>
          <w:p>
            <w:pPr>
              <w:spacing w:before="20" w:after="20"/>
            </w:pPr>
            <w:r/>
            <w:r>
              <w:rPr>
                <w:b/>
                <w:sz w:val="19"/>
              </w:rPr>
              <w:t>Status</w:t>
            </w:r>
          </w:p>
        </w:tc>
        <w:tc>
          <w:tcPr>
            <w:tcW w:type="dxa" w:w="4824"/>
          </w:tcPr>
          <w:p>
            <w:pPr>
              <w:spacing w:before="20" w:after="20"/>
            </w:pPr>
            <w:r/>
            <w:r>
              <w:rPr>
                <w:b w:val="0"/>
                <w:sz w:val="19"/>
              </w:rPr>
              <w:t>Delivered</w:t>
            </w:r>
          </w:p>
        </w:tc>
      </w:tr>
    </w:tbl>
    <w:p>
      <w:pPr>
        <w:spacing w:after="40"/>
      </w:pPr>
    </w:p>
    <w:p>
      <w:pPr>
        <w:spacing w:after="80"/>
      </w:pPr>
      <w:r>
        <w:rPr>
          <w:b/>
        </w:rPr>
        <w:t>Business driver / problem</w:t>
      </w:r>
      <w:r>
        <w:rPr>
          <w:b w:val="0"/>
        </w:rPr>
        <w:t xml:space="preserve"> A supplier could open the verification link and never receive the OTP code. The system recorded the code as "sent" </w:t>
      </w:r>
      <w:r>
        <w:rPr>
          <w:b/>
        </w:rPr>
        <w:t>before</w:t>
      </w:r>
      <w:r>
        <w:rPr>
          <w:b w:val="0"/>
        </w:rPr>
        <w:t xml:space="preserve"> the email actually left, so a failed send looked successful: the code was never re-tried, the error was hidden from the user, and one send was consumed from the allowed limit.</w:t>
      </w:r>
    </w:p>
    <w:p>
      <w:pPr>
        <w:spacing w:after="80"/>
      </w:pPr>
      <w:r>
        <w:rPr>
          <w:b/>
        </w:rPr>
        <w:t>Description of change</w:t>
      </w:r>
      <w:r>
        <w:rPr>
          <w:b w:val="0"/>
        </w:rPr>
        <w:t xml:space="preserve"> The order of operations was corrected: the OTP is </w:t>
      </w:r>
      <w:r>
        <w:rPr>
          <w:b/>
        </w:rPr>
        <w:t>sent first</w:t>
      </w:r>
      <w:r>
        <w:rPr>
          <w:b w:val="0"/>
        </w:rPr>
        <w:t>, and only once delivery succeeds does the system record the code, its expiry and the send count. If sending fails, nothing is recorded, so the verification page automatically retries and the error becomes visible.</w:t>
      </w:r>
    </w:p>
    <w:p>
      <w:pPr>
        <w:spacing w:after="80"/>
      </w:pPr>
      <w:r>
        <w:rPr>
          <w:b/>
        </w:rPr>
        <w:t>As-Is → To-Be</w:t>
      </w:r>
    </w:p>
    <w:p>
      <w:pPr>
        <w:pStyle w:val="ListBullet"/>
      </w:pPr>
      <w:r>
        <w:rPr>
          <w:b w:val="0"/>
        </w:rPr>
        <w:t>*As-Is:* "Sent" was recorded before delivery; a silent failure left the supplier with no code and no retry.</w:t>
      </w:r>
    </w:p>
    <w:p>
      <w:pPr>
        <w:pStyle w:val="ListBullet"/>
      </w:pPr>
      <w:r>
        <w:rPr>
          <w:b w:val="0"/>
        </w:rPr>
        <w:t>*To-Be:* The code is recorded only after successful delivery; failures retry and surface.</w:t>
      </w:r>
    </w:p>
    <w:p>
      <w:pPr>
        <w:pBdr>
          <w:bottom w:val="single" w:sz="6" w:space="1" w:color="C0C4CC"/>
        </w:pBdr>
      </w:pPr>
    </w:p>
    <w:p>
      <w:pPr>
        <w:spacing w:before="200" w:after="80"/>
      </w:pPr>
      <w:r>
        <w:rPr>
          <w:b/>
          <w:color w:val="1F3864"/>
          <w:sz w:val="30"/>
        </w:rPr>
        <w:t>CR-SUP-005 — Show masked recipient email on the in-app verification page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864"/>
          </w:tcPr>
          <w:p>
            <w:pPr>
              <w:spacing w:before="20" w:after="20"/>
            </w:pPr>
            <w:r/>
          </w:p>
        </w:tc>
        <w:tc>
          <w:tcPr>
            <w:tcW w:type="dxa" w:w="4824"/>
            <w:shd w:val="clear" w:color="auto" w:fill="1F3864"/>
          </w:tcPr>
          <w:p>
            <w:pPr>
              <w:spacing w:before="20" w:after="20"/>
            </w:pPr>
            <w:r/>
          </w:p>
        </w:tc>
      </w:tr>
      <w:tr>
        <w:tc>
          <w:tcPr>
            <w:tcW w:type="dxa" w:w="4824"/>
          </w:tcPr>
          <w:p>
            <w:pPr>
              <w:spacing w:before="20" w:after="20"/>
            </w:pPr>
            <w:r/>
            <w:r>
              <w:rPr>
                <w:b/>
                <w:sz w:val="19"/>
              </w:rPr>
              <w:t>CR ID</w:t>
            </w:r>
          </w:p>
        </w:tc>
        <w:tc>
          <w:tcPr>
            <w:tcW w:type="dxa" w:w="4824"/>
          </w:tcPr>
          <w:p>
            <w:pPr>
              <w:spacing w:before="20" w:after="20"/>
            </w:pPr>
            <w:r/>
            <w:r>
              <w:rPr>
                <w:b w:val="0"/>
                <w:sz w:val="19"/>
              </w:rPr>
              <w:t>CR-SUP-005</w:t>
            </w:r>
          </w:p>
        </w:tc>
      </w:tr>
      <w:tr>
        <w:tc>
          <w:tcPr>
            <w:tcW w:type="dxa" w:w="4824"/>
            <w:shd w:val="clear" w:color="auto" w:fill="F2F4F8"/>
          </w:tcPr>
          <w:p>
            <w:pPr>
              <w:spacing w:before="20" w:after="20"/>
            </w:pPr>
            <w:r/>
            <w:r>
              <w:rPr>
                <w:b/>
                <w:sz w:val="19"/>
              </w:rPr>
              <w:t>Date delivered</w:t>
            </w:r>
          </w:p>
        </w:tc>
        <w:tc>
          <w:tcPr>
            <w:tcW w:type="dxa" w:w="4824"/>
            <w:shd w:val="clear" w:color="auto" w:fill="F2F4F8"/>
          </w:tcPr>
          <w:p>
            <w:pPr>
              <w:spacing w:before="20" w:after="20"/>
            </w:pPr>
            <w:r/>
            <w:r>
              <w:rPr>
                <w:b w:val="0"/>
                <w:sz w:val="19"/>
              </w:rPr>
              <w:t>30-Sep-2026</w:t>
            </w:r>
          </w:p>
        </w:tc>
      </w:tr>
      <w:tr>
        <w:tc>
          <w:tcPr>
            <w:tcW w:type="dxa" w:w="4824"/>
          </w:tcPr>
          <w:p>
            <w:pPr>
              <w:spacing w:before="20" w:after="20"/>
            </w:pPr>
            <w:r/>
            <w:r>
              <w:rPr>
                <w:b/>
                <w:sz w:val="19"/>
              </w:rPr>
              <w:t>Category</w:t>
            </w:r>
          </w:p>
        </w:tc>
        <w:tc>
          <w:tcPr>
            <w:tcW w:type="dxa" w:w="4824"/>
          </w:tcPr>
          <w:p>
            <w:pPr>
              <w:spacing w:before="20" w:after="20"/>
            </w:pPr>
            <w:r/>
            <w:r>
              <w:rPr>
                <w:b w:val="0"/>
                <w:sz w:val="19"/>
              </w:rPr>
              <w:t>Enhancement (usability)</w:t>
            </w:r>
          </w:p>
        </w:tc>
      </w:tr>
      <w:tr>
        <w:tc>
          <w:tcPr>
            <w:tcW w:type="dxa" w:w="4824"/>
            <w:shd w:val="clear" w:color="auto" w:fill="F2F4F8"/>
          </w:tcPr>
          <w:p>
            <w:pPr>
              <w:spacing w:before="20" w:after="20"/>
            </w:pPr>
            <w:r/>
            <w:r>
              <w:rPr>
                <w:b/>
                <w:sz w:val="19"/>
              </w:rPr>
              <w:t>Modules affected</w:t>
            </w:r>
          </w:p>
        </w:tc>
        <w:tc>
          <w:tcPr>
            <w:tcW w:type="dxa" w:w="4824"/>
            <w:shd w:val="clear" w:color="auto" w:fill="F2F4F8"/>
          </w:tcPr>
          <w:p>
            <w:pPr>
              <w:spacing w:before="20" w:after="20"/>
            </w:pPr>
            <w:r/>
            <w:r>
              <w:rPr>
                <w:b w:val="0"/>
                <w:sz w:val="19"/>
              </w:rPr>
              <w:t>Supplier (and Customer) in-app verification page</w:t>
            </w:r>
          </w:p>
        </w:tc>
      </w:tr>
      <w:tr>
        <w:tc>
          <w:tcPr>
            <w:tcW w:type="dxa" w:w="4824"/>
          </w:tcPr>
          <w:p>
            <w:pPr>
              <w:spacing w:before="20" w:after="20"/>
            </w:pPr>
            <w:r/>
            <w:r>
              <w:rPr>
                <w:b/>
                <w:sz w:val="19"/>
              </w:rPr>
              <w:t>Status</w:t>
            </w:r>
          </w:p>
        </w:tc>
        <w:tc>
          <w:tcPr>
            <w:tcW w:type="dxa" w:w="4824"/>
          </w:tcPr>
          <w:p>
            <w:pPr>
              <w:spacing w:before="20" w:after="20"/>
            </w:pPr>
            <w:r/>
            <w:r>
              <w:rPr>
                <w:b w:val="0"/>
                <w:sz w:val="19"/>
              </w:rPr>
              <w:t>Delivered</w:t>
            </w:r>
          </w:p>
        </w:tc>
      </w:tr>
    </w:tbl>
    <w:p>
      <w:pPr>
        <w:spacing w:after="40"/>
      </w:pPr>
    </w:p>
    <w:p>
      <w:pPr>
        <w:spacing w:after="80"/>
      </w:pPr>
      <w:r>
        <w:rPr>
          <w:b/>
        </w:rPr>
        <w:t>Business driver</w:t>
      </w:r>
      <w:r>
        <w:rPr>
          <w:b w:val="0"/>
        </w:rPr>
        <w:t xml:space="preserve"> When staff triggered verification from inside the portal, the page only said the code was sent "to the email address on file", without showing which address. A wrong on-file email was impossible to spot.</w:t>
      </w:r>
    </w:p>
    <w:p>
      <w:pPr>
        <w:spacing w:after="80"/>
      </w:pPr>
      <w:r>
        <w:rPr>
          <w:b/>
        </w:rPr>
        <w:t>Description of change</w:t>
      </w:r>
      <w:r>
        <w:rPr>
          <w:b w:val="0"/>
        </w:rPr>
        <w:t xml:space="preserve"> The in-app verification page now shows the </w:t>
      </w:r>
      <w:r>
        <w:rPr>
          <w:b/>
        </w:rPr>
        <w:t>masked recipient address</w:t>
      </w:r>
      <w:r>
        <w:rPr>
          <w:b w:val="0"/>
        </w:rPr>
        <w:t xml:space="preserve"> (for example </w:t>
      </w:r>
      <w:r>
        <w:rPr>
          <w:rFonts w:ascii="Consolas" w:hAnsi="Consolas"/>
          <w:b w:val="0"/>
          <w:sz w:val="19"/>
        </w:rPr>
        <w:t>n***@g***l.com</w:t>
      </w:r>
      <w:r>
        <w:rPr>
          <w:b w:val="0"/>
        </w:rPr>
        <w:t>) next to the account name, so staff can confirm the code went to the expected inbox. The DMZ Partner Connect verification pages already displayed this and are unchanged.</w:t>
      </w:r>
    </w:p>
    <w:p>
      <w:pPr>
        <w:pBdr>
          <w:bottom w:val="single" w:sz="6" w:space="1" w:color="C0C4CC"/>
        </w:pBdr>
      </w:pPr>
    </w:p>
    <w:p>
      <w:pPr>
        <w:spacing w:before="200" w:after="80"/>
      </w:pPr>
      <w:r>
        <w:rPr>
          <w:b/>
          <w:color w:val="1F3864"/>
          <w:sz w:val="30"/>
        </w:rPr>
        <w:t>CR-SUP-006 — Partner Connect (DMZ): clearer error on OTP request failure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864"/>
          </w:tcPr>
          <w:p>
            <w:pPr>
              <w:spacing w:before="20" w:after="20"/>
            </w:pPr>
            <w:r/>
          </w:p>
        </w:tc>
        <w:tc>
          <w:tcPr>
            <w:tcW w:type="dxa" w:w="4824"/>
            <w:shd w:val="clear" w:color="auto" w:fill="1F3864"/>
          </w:tcPr>
          <w:p>
            <w:pPr>
              <w:spacing w:before="20" w:after="20"/>
            </w:pPr>
            <w:r/>
          </w:p>
        </w:tc>
      </w:tr>
      <w:tr>
        <w:tc>
          <w:tcPr>
            <w:tcW w:type="dxa" w:w="4824"/>
          </w:tcPr>
          <w:p>
            <w:pPr>
              <w:spacing w:before="20" w:after="20"/>
            </w:pPr>
            <w:r/>
            <w:r>
              <w:rPr>
                <w:b/>
                <w:sz w:val="19"/>
              </w:rPr>
              <w:t>CR ID</w:t>
            </w:r>
          </w:p>
        </w:tc>
        <w:tc>
          <w:tcPr>
            <w:tcW w:type="dxa" w:w="4824"/>
          </w:tcPr>
          <w:p>
            <w:pPr>
              <w:spacing w:before="20" w:after="20"/>
            </w:pPr>
            <w:r/>
            <w:r>
              <w:rPr>
                <w:b w:val="0"/>
                <w:sz w:val="19"/>
              </w:rPr>
              <w:t>CR-SUP-006</w:t>
            </w:r>
          </w:p>
        </w:tc>
      </w:tr>
      <w:tr>
        <w:tc>
          <w:tcPr>
            <w:tcW w:type="dxa" w:w="4824"/>
            <w:shd w:val="clear" w:color="auto" w:fill="F2F4F8"/>
          </w:tcPr>
          <w:p>
            <w:pPr>
              <w:spacing w:before="20" w:after="20"/>
            </w:pPr>
            <w:r/>
            <w:r>
              <w:rPr>
                <w:b/>
                <w:sz w:val="19"/>
              </w:rPr>
              <w:t>Date delivered</w:t>
            </w:r>
          </w:p>
        </w:tc>
        <w:tc>
          <w:tcPr>
            <w:tcW w:type="dxa" w:w="4824"/>
            <w:shd w:val="clear" w:color="auto" w:fill="F2F4F8"/>
          </w:tcPr>
          <w:p>
            <w:pPr>
              <w:spacing w:before="20" w:after="20"/>
            </w:pPr>
            <w:r/>
            <w:r>
              <w:rPr>
                <w:b w:val="0"/>
                <w:sz w:val="19"/>
              </w:rPr>
              <w:t>30-Sep-2026</w:t>
            </w:r>
          </w:p>
        </w:tc>
      </w:tr>
      <w:tr>
        <w:tc>
          <w:tcPr>
            <w:tcW w:type="dxa" w:w="4824"/>
          </w:tcPr>
          <w:p>
            <w:pPr>
              <w:spacing w:before="20" w:after="20"/>
            </w:pPr>
            <w:r/>
            <w:r>
              <w:rPr>
                <w:b/>
                <w:sz w:val="19"/>
              </w:rPr>
              <w:t>Category</w:t>
            </w:r>
          </w:p>
        </w:tc>
        <w:tc>
          <w:tcPr>
            <w:tcW w:type="dxa" w:w="4824"/>
          </w:tcPr>
          <w:p>
            <w:pPr>
              <w:spacing w:before="20" w:after="20"/>
            </w:pPr>
            <w:r/>
            <w:r>
              <w:rPr>
                <w:b w:val="0"/>
                <w:sz w:val="19"/>
              </w:rPr>
              <w:t>Defect fix / Supportability</w:t>
            </w:r>
          </w:p>
        </w:tc>
      </w:tr>
      <w:tr>
        <w:tc>
          <w:tcPr>
            <w:tcW w:type="dxa" w:w="4824"/>
            <w:shd w:val="clear" w:color="auto" w:fill="F2F4F8"/>
          </w:tcPr>
          <w:p>
            <w:pPr>
              <w:spacing w:before="20" w:after="20"/>
            </w:pPr>
            <w:r/>
            <w:r>
              <w:rPr>
                <w:b/>
                <w:sz w:val="19"/>
              </w:rPr>
              <w:t>Modules affected</w:t>
            </w:r>
          </w:p>
        </w:tc>
        <w:tc>
          <w:tcPr>
            <w:tcW w:type="dxa" w:w="4824"/>
            <w:shd w:val="clear" w:color="auto" w:fill="F2F4F8"/>
          </w:tcPr>
          <w:p>
            <w:pPr>
              <w:spacing w:before="20" w:after="20"/>
            </w:pPr>
            <w:r/>
            <w:r>
              <w:rPr>
                <w:b w:val="0"/>
                <w:sz w:val="19"/>
              </w:rPr>
              <w:t>DMZ Partner Connect supplier self-service client</w:t>
            </w:r>
          </w:p>
        </w:tc>
      </w:tr>
      <w:tr>
        <w:tc>
          <w:tcPr>
            <w:tcW w:type="dxa" w:w="4824"/>
          </w:tcPr>
          <w:p>
            <w:pPr>
              <w:spacing w:before="20" w:after="20"/>
            </w:pPr>
            <w:r/>
            <w:r>
              <w:rPr>
                <w:b/>
                <w:sz w:val="19"/>
              </w:rPr>
              <w:t>Status</w:t>
            </w:r>
          </w:p>
        </w:tc>
        <w:tc>
          <w:tcPr>
            <w:tcW w:type="dxa" w:w="4824"/>
          </w:tcPr>
          <w:p>
            <w:pPr>
              <w:spacing w:before="20" w:after="20"/>
            </w:pPr>
            <w:r/>
            <w:r>
              <w:rPr>
                <w:b w:val="0"/>
                <w:sz w:val="19"/>
              </w:rPr>
              <w:t>Delivered</w:t>
            </w:r>
          </w:p>
        </w:tc>
      </w:tr>
    </w:tbl>
    <w:p>
      <w:pPr>
        <w:spacing w:after="40"/>
      </w:pPr>
    </w:p>
    <w:p>
      <w:pPr>
        <w:spacing w:after="80"/>
      </w:pPr>
      <w:r>
        <w:rPr>
          <w:b/>
        </w:rPr>
        <w:t>Business driver / problem</w:t>
      </w:r>
      <w:r>
        <w:rPr>
          <w:b w:val="0"/>
        </w:rPr>
        <w:t xml:space="preserve"> When the Partner Connect (DMZ) supplier self-service could not request an OTP from the internal system, it showed only a generic "service is temporarily unavailable" message, hiding whether the cause was a permission issue, a mis-configuration, or a server error — making support slow.</w:t>
      </w:r>
    </w:p>
    <w:p>
      <w:pPr>
        <w:spacing w:after="80"/>
      </w:pPr>
      <w:r>
        <w:rPr>
          <w:b/>
        </w:rPr>
        <w:t>Description of change</w:t>
      </w:r>
      <w:r>
        <w:rPr>
          <w:b w:val="0"/>
        </w:rPr>
        <w:t xml:space="preserve"> The failure message now includes the underlying status, and the detailed response is logged, so the cause can be diagnosed quickly. This brings the supplier self-service client in line with the customer self-service client, which already surfaced this detail.</w:t>
      </w:r>
    </w:p>
    <w:p>
      <w:pPr>
        <w:pBdr>
          <w:bottom w:val="single" w:sz="6" w:space="1" w:color="C0C4CC"/>
        </w:pBdr>
      </w:pPr>
    </w:p>
    <w:p>
      <w:pPr>
        <w:spacing w:before="200" w:after="80"/>
      </w:pPr>
      <w:r>
        <w:rPr>
          <w:b/>
          <w:color w:val="1F3864"/>
          <w:sz w:val="30"/>
        </w:rPr>
        <w:t>CR-SUP-007 — Make "Supplier Status" an admin-controllable field in Supplier Field Settings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864"/>
          </w:tcPr>
          <w:p>
            <w:pPr>
              <w:spacing w:before="20" w:after="20"/>
            </w:pPr>
            <w:r/>
          </w:p>
        </w:tc>
        <w:tc>
          <w:tcPr>
            <w:tcW w:type="dxa" w:w="4824"/>
            <w:shd w:val="clear" w:color="auto" w:fill="1F3864"/>
          </w:tcPr>
          <w:p>
            <w:pPr>
              <w:spacing w:before="20" w:after="20"/>
            </w:pPr>
            <w:r/>
          </w:p>
        </w:tc>
      </w:tr>
      <w:tr>
        <w:tc>
          <w:tcPr>
            <w:tcW w:type="dxa" w:w="4824"/>
          </w:tcPr>
          <w:p>
            <w:pPr>
              <w:spacing w:before="20" w:after="20"/>
            </w:pPr>
            <w:r/>
            <w:r>
              <w:rPr>
                <w:b/>
                <w:sz w:val="19"/>
              </w:rPr>
              <w:t>CR ID</w:t>
            </w:r>
          </w:p>
        </w:tc>
        <w:tc>
          <w:tcPr>
            <w:tcW w:type="dxa" w:w="4824"/>
          </w:tcPr>
          <w:p>
            <w:pPr>
              <w:spacing w:before="20" w:after="20"/>
            </w:pPr>
            <w:r/>
            <w:r>
              <w:rPr>
                <w:b w:val="0"/>
                <w:sz w:val="19"/>
              </w:rPr>
              <w:t>CR-SUP-007</w:t>
            </w:r>
          </w:p>
        </w:tc>
      </w:tr>
      <w:tr>
        <w:tc>
          <w:tcPr>
            <w:tcW w:type="dxa" w:w="4824"/>
            <w:shd w:val="clear" w:color="auto" w:fill="F2F4F8"/>
          </w:tcPr>
          <w:p>
            <w:pPr>
              <w:spacing w:before="20" w:after="20"/>
            </w:pPr>
            <w:r/>
            <w:r>
              <w:rPr>
                <w:b/>
                <w:sz w:val="19"/>
              </w:rPr>
              <w:t>Date</w:t>
            </w:r>
          </w:p>
        </w:tc>
        <w:tc>
          <w:tcPr>
            <w:tcW w:type="dxa" w:w="4824"/>
            <w:shd w:val="clear" w:color="auto" w:fill="F2F4F8"/>
          </w:tcPr>
          <w:p>
            <w:pPr>
              <w:spacing w:before="20" w:after="20"/>
            </w:pPr>
            <w:r/>
            <w:r>
              <w:rPr>
                <w:b w:val="0"/>
                <w:sz w:val="19"/>
              </w:rPr>
              <w:t>07-Oct-2026</w:t>
            </w:r>
          </w:p>
        </w:tc>
      </w:tr>
      <w:tr>
        <w:tc>
          <w:tcPr>
            <w:tcW w:type="dxa" w:w="4824"/>
          </w:tcPr>
          <w:p>
            <w:pPr>
              <w:spacing w:before="20" w:after="20"/>
            </w:pPr>
            <w:r/>
            <w:r>
              <w:rPr>
                <w:b/>
                <w:sz w:val="19"/>
              </w:rPr>
              <w:t>Category</w:t>
            </w:r>
          </w:p>
        </w:tc>
        <w:tc>
          <w:tcPr>
            <w:tcW w:type="dxa" w:w="4824"/>
          </w:tcPr>
          <w:p>
            <w:pPr>
              <w:spacing w:before="20" w:after="20"/>
            </w:pPr>
            <w:r/>
            <w:r>
              <w:rPr>
                <w:b w:val="0"/>
                <w:sz w:val="19"/>
              </w:rPr>
              <w:t>Enhancement</w:t>
            </w:r>
          </w:p>
        </w:tc>
      </w:tr>
      <w:tr>
        <w:tc>
          <w:tcPr>
            <w:tcW w:type="dxa" w:w="4824"/>
            <w:shd w:val="clear" w:color="auto" w:fill="F2F4F8"/>
          </w:tcPr>
          <w:p>
            <w:pPr>
              <w:spacing w:before="20" w:after="20"/>
            </w:pPr>
            <w:r/>
            <w:r>
              <w:rPr>
                <w:b/>
                <w:sz w:val="19"/>
              </w:rPr>
              <w:t>Modules affected</w:t>
            </w:r>
          </w:p>
        </w:tc>
        <w:tc>
          <w:tcPr>
            <w:tcW w:type="dxa" w:w="4824"/>
            <w:shd w:val="clear" w:color="auto" w:fill="F2F4F8"/>
          </w:tcPr>
          <w:p>
            <w:pPr>
              <w:spacing w:before="20" w:after="20"/>
            </w:pPr>
            <w:r/>
            <w:r>
              <w:rPr>
                <w:b w:val="0"/>
                <w:sz w:val="19"/>
              </w:rPr>
              <w:t>Supplier Field Settings (Field Manager), Manage Supplier grid, Excel export, Report Builder</w:t>
            </w:r>
          </w:p>
        </w:tc>
      </w:tr>
      <w:tr>
        <w:tc>
          <w:tcPr>
            <w:tcW w:type="dxa" w:w="4824"/>
          </w:tcPr>
          <w:p>
            <w:pPr>
              <w:spacing w:before="20" w:after="20"/>
            </w:pPr>
            <w:r/>
            <w:r>
              <w:rPr>
                <w:b/>
                <w:sz w:val="19"/>
              </w:rPr>
              <w:t>Status</w:t>
            </w:r>
          </w:p>
        </w:tc>
        <w:tc>
          <w:tcPr>
            <w:tcW w:type="dxa" w:w="4824"/>
          </w:tcPr>
          <w:p>
            <w:pPr>
              <w:spacing w:before="20" w:after="20"/>
            </w:pPr>
            <w:r/>
            <w:r>
              <w:rPr>
                <w:b/>
                <w:sz w:val="19"/>
              </w:rPr>
              <w:t>In progress</w:t>
            </w:r>
          </w:p>
        </w:tc>
      </w:tr>
    </w:tbl>
    <w:p>
      <w:pPr>
        <w:spacing w:after="40"/>
      </w:pPr>
    </w:p>
    <w:p>
      <w:pPr>
        <w:spacing w:after="80"/>
      </w:pPr>
      <w:r>
        <w:rPr>
          <w:b/>
        </w:rPr>
        <w:t>Business driver</w:t>
      </w:r>
      <w:r>
        <w:rPr>
          <w:b w:val="0"/>
        </w:rPr>
        <w:t xml:space="preserve"> Administrators want to control the </w:t>
      </w:r>
      <w:r>
        <w:rPr>
          <w:b/>
        </w:rPr>
        <w:t>Supplier Status</w:t>
      </w:r>
      <w:r>
        <w:rPr>
          <w:b w:val="0"/>
        </w:rPr>
        <w:t xml:space="preserve"> field's behaviour from *Settings → Supplier Fields*, the same way other supplier fields are controlled — in particular, to show or hide the Supplier Status column on the Manage Supplier grid.</w:t>
      </w:r>
    </w:p>
    <w:p>
      <w:pPr>
        <w:spacing w:after="80"/>
      </w:pPr>
      <w:r>
        <w:rPr>
          <w:b/>
        </w:rPr>
        <w:t>Description of change (planned / in progress)</w:t>
      </w:r>
    </w:p>
    <w:p>
      <w:pPr>
        <w:pStyle w:val="ListBullet"/>
      </w:pPr>
      <w:r>
        <w:rPr>
          <w:b w:val="0"/>
        </w:rPr>
        <w:t xml:space="preserve">Add </w:t>
      </w:r>
      <w:r>
        <w:rPr>
          <w:b/>
        </w:rPr>
        <w:t>"Supplier Status"</w:t>
      </w:r>
      <w:r>
        <w:rPr>
          <w:b w:val="0"/>
        </w:rPr>
        <w:t xml:space="preserve"> to the Supplier Field catalogue so it appears in *Settings → Supplier Fields*.</w:t>
      </w:r>
    </w:p>
    <w:p>
      <w:pPr>
        <w:pStyle w:val="ListBullet"/>
      </w:pPr>
      <w:r>
        <w:rPr>
          <w:b w:val="0"/>
        </w:rPr>
        <w:t xml:space="preserve">The field's </w:t>
      </w:r>
      <w:r>
        <w:rPr>
          <w:b/>
        </w:rPr>
        <w:t>Visible</w:t>
      </w:r>
      <w:r>
        <w:rPr>
          <w:b w:val="0"/>
        </w:rPr>
        <w:t xml:space="preserve"> toggle (show/hide) controls whether the </w:t>
      </w:r>
      <w:r>
        <w:rPr>
          <w:b/>
        </w:rPr>
        <w:t>Supplier Status column appears on the Manage Supplier grid</w:t>
      </w:r>
      <w:r>
        <w:rPr>
          <w:b w:val="0"/>
        </w:rPr>
        <w:t>.</w:t>
      </w:r>
    </w:p>
    <w:p>
      <w:pPr>
        <w:pStyle w:val="ListBullet"/>
      </w:pPr>
      <w:r>
        <w:rPr>
          <w:b/>
        </w:rPr>
        <w:t>Excel export:</w:t>
      </w:r>
      <w:r>
        <w:rPr>
          <w:b w:val="0"/>
        </w:rPr>
        <w:t xml:space="preserve"> Supplier Status </w:t>
      </w:r>
      <w:r>
        <w:rPr>
          <w:b/>
        </w:rPr>
        <w:t>remains included</w:t>
      </w:r>
      <w:r>
        <w:rPr>
          <w:b w:val="0"/>
        </w:rPr>
        <w:t xml:space="preserve"> in the full Excel export.</w:t>
      </w:r>
    </w:p>
    <w:p>
      <w:pPr>
        <w:pStyle w:val="ListBullet"/>
      </w:pPr>
      <w:r>
        <w:rPr>
          <w:b/>
        </w:rPr>
        <w:t>Import template:</w:t>
      </w:r>
      <w:r>
        <w:rPr>
          <w:b w:val="0"/>
        </w:rPr>
        <w:t xml:space="preserve"> Supplier Status is </w:t>
      </w:r>
      <w:r>
        <w:rPr>
          <w:b/>
        </w:rPr>
        <w:t>excluded</w:t>
      </w:r>
      <w:r>
        <w:rPr>
          <w:b w:val="0"/>
        </w:rPr>
        <w:t xml:space="preserve"> from the upload/import template (it is an internal flag, not supplier-supplied).</w:t>
      </w:r>
    </w:p>
    <w:p>
      <w:pPr>
        <w:pStyle w:val="ListBullet"/>
      </w:pPr>
      <w:r>
        <w:rPr>
          <w:b/>
        </w:rPr>
        <w:t>Report Builder:</w:t>
      </w:r>
      <w:r>
        <w:rPr>
          <w:b w:val="0"/>
        </w:rPr>
        <w:t xml:space="preserve"> Supplier Status </w:t>
      </w:r>
      <w:r>
        <w:rPr>
          <w:b/>
        </w:rPr>
        <w:t>remains available</w:t>
      </w:r>
      <w:r>
        <w:rPr>
          <w:b w:val="0"/>
        </w:rPr>
        <w:t xml:space="preserve"> as a selectable column and filter.</w:t>
      </w:r>
    </w:p>
    <w:p>
      <w:pPr>
        <w:spacing w:after="80"/>
      </w:pPr>
      <w:r>
        <w:rPr>
          <w:b/>
        </w:rPr>
        <w:t>Status note</w:t>
      </w:r>
      <w:r>
        <w:rPr>
          <w:b w:val="0"/>
        </w:rPr>
        <w:t xml:space="preserve"> This change is under development and not yet released. (A build-and-release cycle, test run, and sign-off are outstanding.)</w:t>
      </w:r>
    </w:p>
    <w:p>
      <w:pPr>
        <w:pBdr>
          <w:bottom w:val="single" w:sz="6" w:space="1" w:color="C0C4CC"/>
        </w:pBdr>
      </w:pPr>
    </w:p>
    <w:p>
      <w:pPr>
        <w:spacing w:before="200" w:after="80"/>
      </w:pPr>
      <w:r>
        <w:rPr>
          <w:b/>
          <w:color w:val="1F3864"/>
          <w:sz w:val="30"/>
        </w:rPr>
        <w:t>CR-SUP-008 — Load of supplier reference documents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864"/>
          </w:tcPr>
          <w:p>
            <w:pPr>
              <w:spacing w:before="20" w:after="20"/>
            </w:pPr>
            <w:r/>
          </w:p>
        </w:tc>
        <w:tc>
          <w:tcPr>
            <w:tcW w:type="dxa" w:w="4824"/>
            <w:shd w:val="clear" w:color="auto" w:fill="1F3864"/>
          </w:tcPr>
          <w:p>
            <w:pPr>
              <w:spacing w:before="20" w:after="20"/>
            </w:pPr>
            <w:r/>
          </w:p>
        </w:tc>
      </w:tr>
      <w:tr>
        <w:tc>
          <w:tcPr>
            <w:tcW w:type="dxa" w:w="4824"/>
          </w:tcPr>
          <w:p>
            <w:pPr>
              <w:spacing w:before="20" w:after="20"/>
            </w:pPr>
            <w:r/>
            <w:r>
              <w:rPr>
                <w:b/>
                <w:sz w:val="19"/>
              </w:rPr>
              <w:t>CR ID</w:t>
            </w:r>
          </w:p>
        </w:tc>
        <w:tc>
          <w:tcPr>
            <w:tcW w:type="dxa" w:w="4824"/>
          </w:tcPr>
          <w:p>
            <w:pPr>
              <w:spacing w:before="20" w:after="20"/>
            </w:pPr>
            <w:r/>
            <w:r>
              <w:rPr>
                <w:b w:val="0"/>
                <w:sz w:val="19"/>
              </w:rPr>
              <w:t>CR-SUP-008</w:t>
            </w:r>
          </w:p>
        </w:tc>
      </w:tr>
      <w:tr>
        <w:tc>
          <w:tcPr>
            <w:tcW w:type="dxa" w:w="4824"/>
            <w:shd w:val="clear" w:color="auto" w:fill="F2F4F8"/>
          </w:tcPr>
          <w:p>
            <w:pPr>
              <w:spacing w:before="20" w:after="20"/>
            </w:pPr>
            <w:r/>
            <w:r>
              <w:rPr>
                <w:b/>
                <w:sz w:val="19"/>
              </w:rPr>
              <w:t>Date</w:t>
            </w:r>
          </w:p>
        </w:tc>
        <w:tc>
          <w:tcPr>
            <w:tcW w:type="dxa" w:w="4824"/>
            <w:shd w:val="clear" w:color="auto" w:fill="F2F4F8"/>
          </w:tcPr>
          <w:p>
            <w:pPr>
              <w:spacing w:before="20" w:after="20"/>
            </w:pPr>
            <w:r/>
            <w:r>
              <w:rPr>
                <w:b w:val="0"/>
                <w:sz w:val="19"/>
              </w:rPr>
              <w:t>30-Sep-2026</w:t>
            </w:r>
          </w:p>
        </w:tc>
      </w:tr>
      <w:tr>
        <w:tc>
          <w:tcPr>
            <w:tcW w:type="dxa" w:w="4824"/>
          </w:tcPr>
          <w:p>
            <w:pPr>
              <w:spacing w:before="20" w:after="20"/>
            </w:pPr>
            <w:r/>
            <w:r>
              <w:rPr>
                <w:b/>
                <w:sz w:val="19"/>
              </w:rPr>
              <w:t>Category</w:t>
            </w:r>
          </w:p>
        </w:tc>
        <w:tc>
          <w:tcPr>
            <w:tcW w:type="dxa" w:w="4824"/>
          </w:tcPr>
          <w:p>
            <w:pPr>
              <w:spacing w:before="20" w:after="20"/>
            </w:pPr>
            <w:r/>
            <w:r>
              <w:rPr>
                <w:b w:val="0"/>
                <w:sz w:val="19"/>
              </w:rPr>
              <w:t>Data / reference load</w:t>
            </w:r>
          </w:p>
        </w:tc>
      </w:tr>
      <w:tr>
        <w:tc>
          <w:tcPr>
            <w:tcW w:type="dxa" w:w="4824"/>
            <w:shd w:val="clear" w:color="auto" w:fill="F2F4F8"/>
          </w:tcPr>
          <w:p>
            <w:pPr>
              <w:spacing w:before="20" w:after="20"/>
            </w:pPr>
            <w:r/>
            <w:r>
              <w:rPr>
                <w:b/>
                <w:sz w:val="19"/>
              </w:rPr>
              <w:t>Modules affected</w:t>
            </w:r>
          </w:p>
        </w:tc>
        <w:tc>
          <w:tcPr>
            <w:tcW w:type="dxa" w:w="4824"/>
            <w:shd w:val="clear" w:color="auto" w:fill="F2F4F8"/>
          </w:tcPr>
          <w:p>
            <w:pPr>
              <w:spacing w:before="20" w:after="20"/>
            </w:pPr>
            <w:r/>
            <w:r>
              <w:rPr>
                <w:b w:val="0"/>
                <w:sz w:val="19"/>
              </w:rPr>
              <w:t>Project document store (</w:t>
            </w:r>
            <w:r>
              <w:rPr>
                <w:rFonts w:ascii="Consolas" w:hAnsi="Consolas"/>
                <w:b w:val="0"/>
                <w:sz w:val="19"/>
              </w:rPr>
              <w:t>/docs</w:t>
            </w:r>
            <w:r>
              <w:rPr>
                <w:b w:val="0"/>
                <w:sz w:val="19"/>
              </w:rPr>
              <w:t>)</w:t>
            </w:r>
          </w:p>
        </w:tc>
      </w:tr>
      <w:tr>
        <w:tc>
          <w:tcPr>
            <w:tcW w:type="dxa" w:w="4824"/>
          </w:tcPr>
          <w:p>
            <w:pPr>
              <w:spacing w:before="20" w:after="20"/>
            </w:pPr>
            <w:r/>
            <w:r>
              <w:rPr>
                <w:b/>
                <w:sz w:val="19"/>
              </w:rPr>
              <w:t>Status</w:t>
            </w:r>
          </w:p>
        </w:tc>
        <w:tc>
          <w:tcPr>
            <w:tcW w:type="dxa" w:w="4824"/>
          </w:tcPr>
          <w:p>
            <w:pPr>
              <w:spacing w:before="20" w:after="20"/>
            </w:pPr>
            <w:r/>
            <w:r>
              <w:rPr>
                <w:b w:val="0"/>
                <w:sz w:val="19"/>
              </w:rPr>
              <w:t>Delivered</w:t>
            </w:r>
          </w:p>
        </w:tc>
      </w:tr>
    </w:tbl>
    <w:p>
      <w:pPr>
        <w:spacing w:after="40"/>
      </w:pPr>
    </w:p>
    <w:p>
      <w:pPr>
        <w:spacing w:after="80"/>
      </w:pPr>
      <w:r>
        <w:rPr>
          <w:b/>
        </w:rPr>
        <w:t>Description</w:t>
      </w:r>
      <w:r>
        <w:rPr>
          <w:b w:val="0"/>
        </w:rPr>
        <w:t xml:space="preserve"> A set of supplier reference documents (trade licences, TRN/VAT registration certificates, bank-transfer details) and a supporting archive were loaded into the project document store for reference and testing. This is a document/data load only; it does not change application behaviour.</w:t>
      </w:r>
    </w:p>
    <w:p>
      <w:pPr>
        <w:pBdr>
          <w:bottom w:val="single" w:sz="6" w:space="1" w:color="C0C4CC"/>
        </w:pBdr>
      </w:pPr>
    </w:p>
    <w:p>
      <w:pPr>
        <w:spacing w:before="200" w:after="80"/>
      </w:pPr>
      <w:r>
        <w:rPr>
          <w:b/>
          <w:color w:val="1F3864"/>
          <w:sz w:val="30"/>
        </w:rPr>
        <w:t>Sign-off</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3864"/>
          </w:tcPr>
          <w:p>
            <w:pPr>
              <w:spacing w:before="20" w:after="20"/>
            </w:pPr>
            <w:r/>
            <w:r>
              <w:rPr>
                <w:b/>
                <w:color w:val="FFFFFF"/>
                <w:sz w:val="19"/>
              </w:rPr>
              <w:t>Role</w:t>
            </w:r>
          </w:p>
        </w:tc>
        <w:tc>
          <w:tcPr>
            <w:tcW w:type="dxa" w:w="2412"/>
            <w:shd w:val="clear" w:color="auto" w:fill="1F3864"/>
          </w:tcPr>
          <w:p>
            <w:pPr>
              <w:spacing w:before="20" w:after="20"/>
            </w:pPr>
            <w:r/>
            <w:r>
              <w:rPr>
                <w:b/>
                <w:color w:val="FFFFFF"/>
                <w:sz w:val="19"/>
              </w:rPr>
              <w:t>Name</w:t>
            </w:r>
          </w:p>
        </w:tc>
        <w:tc>
          <w:tcPr>
            <w:tcW w:type="dxa" w:w="2412"/>
            <w:shd w:val="clear" w:color="auto" w:fill="1F3864"/>
          </w:tcPr>
          <w:p>
            <w:pPr>
              <w:spacing w:before="20" w:after="20"/>
            </w:pPr>
            <w:r/>
            <w:r>
              <w:rPr>
                <w:b/>
                <w:color w:val="FFFFFF"/>
                <w:sz w:val="19"/>
              </w:rPr>
              <w:t>Signature</w:t>
            </w:r>
          </w:p>
        </w:tc>
        <w:tc>
          <w:tcPr>
            <w:tcW w:type="dxa" w:w="2412"/>
            <w:shd w:val="clear" w:color="auto" w:fill="1F3864"/>
          </w:tcPr>
          <w:p>
            <w:pPr>
              <w:spacing w:before="20" w:after="20"/>
            </w:pPr>
            <w:r/>
            <w:r>
              <w:rPr>
                <w:b/>
                <w:color w:val="FFFFFF"/>
                <w:sz w:val="19"/>
              </w:rPr>
              <w:t>Date</w:t>
            </w:r>
          </w:p>
        </w:tc>
      </w:tr>
      <w:tr>
        <w:tc>
          <w:tcPr>
            <w:tcW w:type="dxa" w:w="2412"/>
          </w:tcPr>
          <w:p>
            <w:pPr>
              <w:spacing w:before="20" w:after="20"/>
            </w:pPr>
            <w:r/>
            <w:r>
              <w:rPr>
                <w:b w:val="0"/>
                <w:sz w:val="19"/>
              </w:rPr>
              <w:t>Business Owner</w:t>
            </w:r>
          </w:p>
        </w:tc>
        <w:tc>
          <w:tcPr>
            <w:tcW w:type="dxa" w:w="2412"/>
          </w:tcPr>
          <w:p>
            <w:pPr>
              <w:spacing w:before="20" w:after="20"/>
            </w:pPr>
            <w:r/>
          </w:p>
        </w:tc>
        <w:tc>
          <w:tcPr>
            <w:tcW w:type="dxa" w:w="2412"/>
          </w:tcPr>
          <w:p>
            <w:pPr>
              <w:spacing w:before="20" w:after="20"/>
            </w:pPr>
            <w:r/>
          </w:p>
        </w:tc>
        <w:tc>
          <w:tcPr>
            <w:tcW w:type="dxa" w:w="2412"/>
          </w:tcPr>
          <w:p>
            <w:pPr>
              <w:spacing w:before="20" w:after="20"/>
            </w:pPr>
            <w:r/>
          </w:p>
        </w:tc>
      </w:tr>
      <w:tr>
        <w:tc>
          <w:tcPr>
            <w:tcW w:type="dxa" w:w="2412"/>
            <w:shd w:val="clear" w:color="auto" w:fill="F2F4F8"/>
          </w:tcPr>
          <w:p>
            <w:pPr>
              <w:spacing w:before="20" w:after="20"/>
            </w:pPr>
            <w:r/>
            <w:r>
              <w:rPr>
                <w:b w:val="0"/>
                <w:sz w:val="19"/>
              </w:rPr>
              <w:t>Product / Process Owner</w:t>
            </w:r>
          </w:p>
        </w:tc>
        <w:tc>
          <w:tcPr>
            <w:tcW w:type="dxa" w:w="2412"/>
            <w:shd w:val="clear" w:color="auto" w:fill="F2F4F8"/>
          </w:tcPr>
          <w:p>
            <w:pPr>
              <w:spacing w:before="20" w:after="20"/>
            </w:pPr>
            <w:r/>
          </w:p>
        </w:tc>
        <w:tc>
          <w:tcPr>
            <w:tcW w:type="dxa" w:w="2412"/>
            <w:shd w:val="clear" w:color="auto" w:fill="F2F4F8"/>
          </w:tcPr>
          <w:p>
            <w:pPr>
              <w:spacing w:before="20" w:after="20"/>
            </w:pPr>
            <w:r/>
          </w:p>
        </w:tc>
        <w:tc>
          <w:tcPr>
            <w:tcW w:type="dxa" w:w="2412"/>
            <w:shd w:val="clear" w:color="auto" w:fill="F2F4F8"/>
          </w:tcPr>
          <w:p>
            <w:pPr>
              <w:spacing w:before="20" w:after="20"/>
            </w:pPr>
            <w:r/>
          </w:p>
        </w:tc>
      </w:tr>
      <w:tr>
        <w:tc>
          <w:tcPr>
            <w:tcW w:type="dxa" w:w="2412"/>
          </w:tcPr>
          <w:p>
            <w:pPr>
              <w:spacing w:before="20" w:after="20"/>
            </w:pPr>
            <w:r/>
            <w:r>
              <w:rPr>
                <w:b w:val="0"/>
                <w:sz w:val="19"/>
              </w:rPr>
              <w:t>IT / Delivery</w:t>
            </w:r>
          </w:p>
        </w:tc>
        <w:tc>
          <w:tcPr>
            <w:tcW w:type="dxa" w:w="2412"/>
          </w:tcPr>
          <w:p>
            <w:pPr>
              <w:spacing w:before="20" w:after="20"/>
            </w:pPr>
            <w:r/>
          </w:p>
        </w:tc>
        <w:tc>
          <w:tcPr>
            <w:tcW w:type="dxa" w:w="2412"/>
          </w:tcPr>
          <w:p>
            <w:pPr>
              <w:spacing w:before="20" w:after="20"/>
            </w:pPr>
            <w:r/>
          </w:p>
        </w:tc>
        <w:tc>
          <w:tcPr>
            <w:tcW w:type="dxa" w:w="2412"/>
          </w:tcPr>
          <w:p>
            <w:pPr>
              <w:spacing w:before="20" w:after="20"/>
            </w:pPr>
            <w:r/>
          </w:p>
        </w:tc>
      </w:tr>
      <w:tr>
        <w:tc>
          <w:tcPr>
            <w:tcW w:type="dxa" w:w="2412"/>
            <w:shd w:val="clear" w:color="auto" w:fill="F2F4F8"/>
          </w:tcPr>
          <w:p>
            <w:pPr>
              <w:spacing w:before="20" w:after="20"/>
            </w:pPr>
            <w:r/>
            <w:r>
              <w:rPr>
                <w:b w:val="0"/>
                <w:sz w:val="19"/>
              </w:rPr>
              <w:t>QA / Test</w:t>
            </w:r>
          </w:p>
        </w:tc>
        <w:tc>
          <w:tcPr>
            <w:tcW w:type="dxa" w:w="2412"/>
            <w:shd w:val="clear" w:color="auto" w:fill="F2F4F8"/>
          </w:tcPr>
          <w:p>
            <w:pPr>
              <w:spacing w:before="20" w:after="20"/>
            </w:pPr>
            <w:r/>
          </w:p>
        </w:tc>
        <w:tc>
          <w:tcPr>
            <w:tcW w:type="dxa" w:w="2412"/>
            <w:shd w:val="clear" w:color="auto" w:fill="F2F4F8"/>
          </w:tcPr>
          <w:p>
            <w:pPr>
              <w:spacing w:before="20" w:after="20"/>
            </w:pPr>
            <w:r/>
          </w:p>
        </w:tc>
        <w:tc>
          <w:tcPr>
            <w:tcW w:type="dxa" w:w="2412"/>
            <w:shd w:val="clear" w:color="auto" w:fill="F2F4F8"/>
          </w:tcPr>
          <w:p>
            <w:pPr>
              <w:spacing w:before="20" w:after="20"/>
            </w:pPr>
            <w:r/>
          </w:p>
        </w:tc>
      </w:tr>
    </w:tbl>
    <w:p>
      <w:pPr>
        <w:spacing w:after="40"/>
      </w:pPr>
    </w:p>
    <w:p>
      <w:pPr>
        <w:pBdr>
          <w:bottom w:val="single" w:sz="6" w:space="1" w:color="C0C4CC"/>
        </w:pBdr>
      </w:pPr>
    </w:p>
    <w:p>
      <w:pPr>
        <w:spacing w:after="80"/>
      </w:pPr>
      <w:r>
        <w:rPr>
          <w:b w:val="0"/>
        </w:rPr>
        <w:t>*This register was generated from the application's source-control history for the stated window. Each CR corresponds to a discrete, reviewable change delivered to the Supplier Portal.*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