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A2233"/>
          <w:sz w:val="30"/>
          <w:szCs w:val="30"/>
        </w:rPr>
        <w:t xml:space="preserve">DUBAI INVESTMENTS</w:t>
      </w:r>
    </w:p>
    <w:p>
      <w:pPr>
        <w:spacing w:after="40"/>
        <w:jc w:val="center"/>
      </w:pPr>
      <w:r>
        <w:rPr>
          <w:b/>
          <w:bCs/>
          <w:color w:val="C8A24A"/>
          <w:sz w:val="26"/>
          <w:szCs w:val="26"/>
        </w:rPr>
        <w:t xml:space="preserve">Business Partner (Supplier) Portal</w:t>
      </w:r>
    </w:p>
    <w:p>
      <w:pPr>
        <w:spacing w:after="0" w:before="700"/>
        <w:jc w:val="center"/>
      </w:pPr>
      <w:r>
        <w:rPr>
          <w:b/>
          <w:bCs/>
          <w:color w:val="1A2233"/>
          <w:sz w:val="56"/>
          <w:szCs w:val="56"/>
        </w:rPr>
        <w:t xml:space="preserve">Functional Requirements Document</w:t>
      </w:r>
    </w:p>
    <w:p>
      <w:pPr>
        <w:spacing w:before="120"/>
        <w:jc w:val="center"/>
      </w:pPr>
      <w:r>
        <w:rPr>
          <w:b/>
          <w:bCs/>
          <w:color w:val="6B7280"/>
          <w:sz w:val="32"/>
          <w:szCs w:val="32"/>
        </w:rPr>
        <w:t xml:space="preserve">(FRD)</w:t>
      </w:r>
    </w:p>
    <w:p>
      <w:pPr>
        <w:spacing w:before="1400"/>
        <w:jc w:val="center"/>
      </w:pPr>
      <w:r>
        <w:rPr>
          <w:b/>
          <w:bCs/>
          <w:color w:val="1A2233"/>
          <w:sz w:val="24"/>
          <w:szCs w:val="24"/>
        </w:rPr>
        <w:t xml:space="preserve">Version 1.0</w:t>
      </w:r>
    </w:p>
    <w:p>
      <w:pPr>
        <w:spacing w:before="40"/>
        <w:jc w:val="center"/>
      </w:pPr>
      <w:r>
        <w:rPr>
          <w:color w:val="6B7280"/>
          <w:sz w:val="20"/>
          <w:szCs w:val="20"/>
        </w:rPr>
        <w:t xml:space="preserve">Status: Draft for Review</w:t>
      </w:r>
    </w:p>
    <w:p>
      <w:r>
        <w:br w:type="page"/>
      </w:r>
    </w:p>
    <w:p>
      <w:pPr>
        <w:pStyle w:val="Heading1"/>
        <w:spacing w:after="140" w:before="320"/>
      </w:pPr>
      <w:r>
        <w:rPr>
          <w:b/>
          <w:bCs/>
          <w:color w:val="1A2233"/>
          <w:sz w:val="30"/>
          <w:szCs w:val="30"/>
        </w:rP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A2233" w:val="clear"/>
            <w:tcMar>
              <w:top w:type="dxa" w:w="60"/>
              <w:left w:type="dxa" w:w="110"/>
              <w:bottom w:type="dxa" w:w="60"/>
              <w:right w:type="dxa" w:w="110"/>
            </w:tcMar>
          </w:tcPr>
          <w:p>
            <w:pPr>
              <w:spacing w:after="0" w:line="252"/>
            </w:pPr>
            <w:r>
              <w:rPr>
                <w:b/>
                <w:bCs/>
                <w:color w:val="FFFFFF"/>
                <w:sz w:val="20"/>
                <w:szCs w:val="20"/>
              </w:rPr>
              <w:t xml:space="preserve">Field</w:t>
            </w:r>
          </w:p>
        </w:tc>
        <w:tc>
          <w:tcPr>
            <w:tcW w:type="dxa" w:w="6420"/>
            <w:shd w:fill="1A2233" w:val="clear"/>
            <w:tcMar>
              <w:top w:type="dxa" w:w="60"/>
              <w:left w:type="dxa" w:w="110"/>
              <w:bottom w:type="dxa" w:w="60"/>
              <w:right w:type="dxa" w:w="110"/>
            </w:tcMar>
          </w:tcPr>
          <w:p>
            <w:pPr>
              <w:spacing w:after="0" w:line="252"/>
            </w:pPr>
            <w:r>
              <w:rPr>
                <w:b/>
                <w:bCs/>
                <w:color w:val="FFFFFF"/>
                <w:sz w:val="20"/>
                <w:szCs w:val="20"/>
              </w:rPr>
              <w:t xml:space="preserve">Detail</w:t>
            </w:r>
          </w:p>
        </w:tc>
      </w:tr>
      <w:tr>
        <w:tc>
          <w:tcPr>
            <w:tcW w:type="dxa" w:w="2600"/>
            <w:shd w:fill="EEF1F6" w:val="clear"/>
            <w:tcMar>
              <w:top w:type="dxa" w:w="60"/>
              <w:left w:type="dxa" w:w="110"/>
              <w:bottom w:type="dxa" w:w="60"/>
              <w:right w:type="dxa" w:w="110"/>
            </w:tcMar>
          </w:tcPr>
          <w:p>
            <w:pPr>
              <w:spacing w:after="0" w:line="252"/>
            </w:pPr>
            <w:r>
              <w:rPr>
                <w:b/>
                <w:bCs/>
                <w:color w:val="1A2233"/>
                <w:sz w:val="20"/>
                <w:szCs w:val="20"/>
              </w:rPr>
              <w:t xml:space="preserve">Document Title</w:t>
            </w:r>
          </w:p>
        </w:tc>
        <w:tc>
          <w:tcPr>
            <w:tcW w:type="dxa" w:w="6420"/>
            <w:shd w:fill="EEF1F6" w:val="clear"/>
            <w:tcMar>
              <w:top w:type="dxa" w:w="60"/>
              <w:left w:type="dxa" w:w="110"/>
              <w:bottom w:type="dxa" w:w="60"/>
              <w:right w:type="dxa" w:w="110"/>
            </w:tcMar>
          </w:tcPr>
          <w:p>
            <w:pPr>
              <w:spacing w:after="0" w:line="252"/>
            </w:pPr>
            <w:r>
              <w:rPr>
                <w:sz w:val="20"/>
                <w:szCs w:val="20"/>
              </w:rPr>
              <w:t xml:space="preserve">Business Partner (Supplier) Portal — Functional Requirements Document</w:t>
            </w:r>
          </w:p>
        </w:tc>
      </w:tr>
      <w:tr>
        <w:tc>
          <w:tcPr>
            <w:tcW w:type="dxa" w:w="2600"/>
            <w:shd w:fill="FFFFFF" w:val="clear"/>
            <w:tcMar>
              <w:top w:type="dxa" w:w="60"/>
              <w:left w:type="dxa" w:w="110"/>
              <w:bottom w:type="dxa" w:w="60"/>
              <w:right w:type="dxa" w:w="110"/>
            </w:tcMar>
          </w:tcPr>
          <w:p>
            <w:pPr>
              <w:spacing w:after="0" w:line="252"/>
            </w:pPr>
            <w:r>
              <w:rPr>
                <w:b/>
                <w:bCs/>
                <w:color w:val="1A2233"/>
                <w:sz w:val="20"/>
                <w:szCs w:val="20"/>
              </w:rPr>
              <w:t xml:space="preserve">Document Version</w:t>
            </w:r>
          </w:p>
        </w:tc>
        <w:tc>
          <w:tcPr>
            <w:tcW w:type="dxa" w:w="6420"/>
            <w:shd w:fill="FFFFFF" w:val="clear"/>
            <w:tcMar>
              <w:top w:type="dxa" w:w="60"/>
              <w:left w:type="dxa" w:w="110"/>
              <w:bottom w:type="dxa" w:w="60"/>
              <w:right w:type="dxa" w:w="110"/>
            </w:tcMar>
          </w:tcPr>
          <w:p>
            <w:pPr>
              <w:spacing w:after="0" w:line="252"/>
            </w:pPr>
            <w:r>
              <w:rPr>
                <w:sz w:val="20"/>
                <w:szCs w:val="20"/>
              </w:rPr>
              <w:t xml:space="preserve">1.0</w:t>
            </w:r>
          </w:p>
        </w:tc>
      </w:tr>
      <w:tr>
        <w:tc>
          <w:tcPr>
            <w:tcW w:type="dxa" w:w="2600"/>
            <w:shd w:fill="EEF1F6" w:val="clear"/>
            <w:tcMar>
              <w:top w:type="dxa" w:w="60"/>
              <w:left w:type="dxa" w:w="110"/>
              <w:bottom w:type="dxa" w:w="60"/>
              <w:right w:type="dxa" w:w="110"/>
            </w:tcMar>
          </w:tcPr>
          <w:p>
            <w:pPr>
              <w:spacing w:after="0" w:line="252"/>
            </w:pPr>
            <w:r>
              <w:rPr>
                <w:b/>
                <w:bCs/>
                <w:color w:val="1A2233"/>
                <w:sz w:val="20"/>
                <w:szCs w:val="20"/>
              </w:rPr>
              <w:t xml:space="preserve">Status</w:t>
            </w:r>
          </w:p>
        </w:tc>
        <w:tc>
          <w:tcPr>
            <w:tcW w:type="dxa" w:w="6420"/>
            <w:shd w:fill="EEF1F6" w:val="clear"/>
            <w:tcMar>
              <w:top w:type="dxa" w:w="60"/>
              <w:left w:type="dxa" w:w="110"/>
              <w:bottom w:type="dxa" w:w="60"/>
              <w:right w:type="dxa" w:w="110"/>
            </w:tcMar>
          </w:tcPr>
          <w:p>
            <w:pPr>
              <w:spacing w:after="0" w:line="252"/>
            </w:pPr>
            <w:r>
              <w:rPr>
                <w:sz w:val="20"/>
                <w:szCs w:val="20"/>
              </w:rPr>
              <w:t xml:space="preserve">Draft for Review</w:t>
            </w:r>
          </w:p>
        </w:tc>
      </w:tr>
      <w:tr>
        <w:tc>
          <w:tcPr>
            <w:tcW w:type="dxa" w:w="2600"/>
            <w:shd w:fill="FFFFFF" w:val="clear"/>
            <w:tcMar>
              <w:top w:type="dxa" w:w="60"/>
              <w:left w:type="dxa" w:w="110"/>
              <w:bottom w:type="dxa" w:w="60"/>
              <w:right w:type="dxa" w:w="110"/>
            </w:tcMar>
          </w:tcPr>
          <w:p>
            <w:pPr>
              <w:spacing w:after="0" w:line="252"/>
            </w:pPr>
            <w:r>
              <w:rPr>
                <w:b/>
                <w:bCs/>
                <w:color w:val="1A2233"/>
                <w:sz w:val="20"/>
                <w:szCs w:val="20"/>
              </w:rPr>
              <w:t xml:space="preserve">Owner</w:t>
            </w:r>
          </w:p>
        </w:tc>
        <w:tc>
          <w:tcPr>
            <w:tcW w:type="dxa" w:w="6420"/>
            <w:shd w:fill="FFFFFF" w:val="clear"/>
            <w:tcMar>
              <w:top w:type="dxa" w:w="60"/>
              <w:left w:type="dxa" w:w="110"/>
              <w:bottom w:type="dxa" w:w="60"/>
              <w:right w:type="dxa" w:w="110"/>
            </w:tcMar>
          </w:tcPr>
          <w:p>
            <w:pPr>
              <w:spacing w:after="0" w:line="252"/>
            </w:pPr>
            <w:r>
              <w:rPr>
                <w:sz w:val="20"/>
                <w:szCs w:val="20"/>
              </w:rPr>
              <w:t xml:space="preserve">Dubai Investments — Applications Development</w:t>
            </w:r>
          </w:p>
        </w:tc>
      </w:tr>
      <w:tr>
        <w:tc>
          <w:tcPr>
            <w:tcW w:type="dxa" w:w="2600"/>
            <w:shd w:fill="EEF1F6" w:val="clear"/>
            <w:tcMar>
              <w:top w:type="dxa" w:w="60"/>
              <w:left w:type="dxa" w:w="110"/>
              <w:bottom w:type="dxa" w:w="60"/>
              <w:right w:type="dxa" w:w="110"/>
            </w:tcMar>
          </w:tcPr>
          <w:p>
            <w:pPr>
              <w:spacing w:after="0" w:line="252"/>
            </w:pPr>
            <w:r>
              <w:rPr>
                <w:b/>
                <w:bCs/>
                <w:color w:val="1A2233"/>
                <w:sz w:val="20"/>
                <w:szCs w:val="20"/>
              </w:rPr>
              <w:t xml:space="preserve">Prepared For</w:t>
            </w:r>
          </w:p>
        </w:tc>
        <w:tc>
          <w:tcPr>
            <w:tcW w:type="dxa" w:w="6420"/>
            <w:shd w:fill="EEF1F6" w:val="clear"/>
            <w:tcMar>
              <w:top w:type="dxa" w:w="60"/>
              <w:left w:type="dxa" w:w="110"/>
              <w:bottom w:type="dxa" w:w="60"/>
              <w:right w:type="dxa" w:w="110"/>
            </w:tcMar>
          </w:tcPr>
          <w:p>
            <w:pPr>
              <w:spacing w:after="0" w:line="252"/>
            </w:pPr>
            <w:r>
              <w:rPr>
                <w:sz w:val="20"/>
                <w:szCs w:val="20"/>
              </w:rPr>
              <w:t xml:space="preserve">Business &amp; IT stakeholders, UAT and sign-off</w:t>
            </w:r>
          </w:p>
        </w:tc>
      </w:tr>
      <w:tr>
        <w:tc>
          <w:tcPr>
            <w:tcW w:type="dxa" w:w="2600"/>
            <w:shd w:fill="FFFFFF" w:val="clear"/>
            <w:tcMar>
              <w:top w:type="dxa" w:w="60"/>
              <w:left w:type="dxa" w:w="110"/>
              <w:bottom w:type="dxa" w:w="60"/>
              <w:right w:type="dxa" w:w="110"/>
            </w:tcMar>
          </w:tcPr>
          <w:p>
            <w:pPr>
              <w:spacing w:after="0" w:line="252"/>
            </w:pPr>
            <w:r>
              <w:rPr>
                <w:b/>
                <w:bCs/>
                <w:color w:val="1A2233"/>
                <w:sz w:val="20"/>
                <w:szCs w:val="20"/>
              </w:rPr>
              <w:t xml:space="preserve">Classification</w:t>
            </w:r>
          </w:p>
        </w:tc>
        <w:tc>
          <w:tcPr>
            <w:tcW w:type="dxa" w:w="6420"/>
            <w:shd w:fill="FFFFFF" w:val="clear"/>
            <w:tcMar>
              <w:top w:type="dxa" w:w="60"/>
              <w:left w:type="dxa" w:w="110"/>
              <w:bottom w:type="dxa" w:w="60"/>
              <w:right w:type="dxa" w:w="110"/>
            </w:tcMar>
          </w:tcPr>
          <w:p>
            <w:pPr>
              <w:spacing w:after="0" w:line="252"/>
            </w:pPr>
            <w:r>
              <w:rPr>
                <w:sz w:val="20"/>
                <w:szCs w:val="20"/>
              </w:rPr>
              <w:t xml:space="preserve">Internal</w:t>
            </w:r>
          </w:p>
        </w:tc>
      </w:tr>
    </w:tbl>
    <w:p>
      <w:pPr>
        <w:spacing w:after="80"/>
      </w:pPr>
    </w:p>
    <w:p>
      <w:pPr>
        <w:pStyle w:val="Heading2"/>
        <w:spacing w:after="100" w:before="240"/>
      </w:pPr>
      <w:r>
        <w:rPr>
          <w:b/>
          <w:bCs/>
          <w:color w:val="1A2233"/>
          <w:sz w:val="25"/>
          <w:szCs w:val="25"/>
        </w:rP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3620"/>
      </w:tblGrid>
      <w:tr>
        <w:trPr>
          <w:tblHeader/>
        </w:trPr>
        <w:tc>
          <w:tcPr>
            <w:tcW w:type="dxa" w:w="1200"/>
            <w:shd w:fill="1A2233" w:val="clear"/>
            <w:tcMar>
              <w:top w:type="dxa" w:w="60"/>
              <w:left w:type="dxa" w:w="110"/>
              <w:bottom w:type="dxa" w:w="60"/>
              <w:right w:type="dxa" w:w="110"/>
            </w:tcMar>
          </w:tcPr>
          <w:p>
            <w:pPr>
              <w:spacing w:after="0" w:line="252"/>
            </w:pPr>
            <w:r>
              <w:rPr>
                <w:b/>
                <w:bCs/>
                <w:color w:val="FFFFFF"/>
                <w:sz w:val="20"/>
                <w:szCs w:val="20"/>
              </w:rPr>
              <w:t xml:space="preserve">Version</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Date</w:t>
            </w:r>
          </w:p>
        </w:tc>
        <w:tc>
          <w:tcPr>
            <w:tcW w:type="dxa" w:w="2600"/>
            <w:shd w:fill="1A2233" w:val="clear"/>
            <w:tcMar>
              <w:top w:type="dxa" w:w="60"/>
              <w:left w:type="dxa" w:w="110"/>
              <w:bottom w:type="dxa" w:w="60"/>
              <w:right w:type="dxa" w:w="110"/>
            </w:tcMar>
          </w:tcPr>
          <w:p>
            <w:pPr>
              <w:spacing w:after="0" w:line="252"/>
            </w:pPr>
            <w:r>
              <w:rPr>
                <w:b/>
                <w:bCs/>
                <w:color w:val="FFFFFF"/>
                <w:sz w:val="20"/>
                <w:szCs w:val="20"/>
              </w:rPr>
              <w:t xml:space="preserve">Author</w:t>
            </w:r>
          </w:p>
        </w:tc>
        <w:tc>
          <w:tcPr>
            <w:tcW w:type="dxa" w:w="3620"/>
            <w:shd w:fill="1A2233" w:val="clear"/>
            <w:tcMar>
              <w:top w:type="dxa" w:w="60"/>
              <w:left w:type="dxa" w:w="110"/>
              <w:bottom w:type="dxa" w:w="60"/>
              <w:right w:type="dxa" w:w="110"/>
            </w:tcMar>
          </w:tcPr>
          <w:p>
            <w:pPr>
              <w:spacing w:after="0" w:line="252"/>
            </w:pPr>
            <w:r>
              <w:rPr>
                <w:b/>
                <w:bCs/>
                <w:color w:val="FFFFFF"/>
                <w:sz w:val="20"/>
                <w:szCs w:val="20"/>
              </w:rPr>
              <w:t xml:space="preserve">Summary of Change</w:t>
            </w:r>
          </w:p>
        </w:tc>
      </w:tr>
      <w:tr>
        <w:tc>
          <w:tcPr>
            <w:tcW w:type="dxa" w:w="1200"/>
            <w:shd w:fill="EEF1F6" w:val="clear"/>
            <w:tcMar>
              <w:top w:type="dxa" w:w="60"/>
              <w:left w:type="dxa" w:w="110"/>
              <w:bottom w:type="dxa" w:w="60"/>
              <w:right w:type="dxa" w:w="110"/>
            </w:tcMar>
          </w:tcPr>
          <w:p>
            <w:pPr>
              <w:spacing w:after="0" w:line="252"/>
            </w:pPr>
            <w:r>
              <w:rPr>
                <w:sz w:val="20"/>
                <w:szCs w:val="20"/>
              </w:rPr>
              <w:t xml:space="preserve">1.0</w:t>
            </w:r>
          </w:p>
        </w:tc>
        <w:tc>
          <w:tcPr>
            <w:tcW w:type="dxa" w:w="1600"/>
            <w:shd w:fill="EEF1F6" w:val="clear"/>
            <w:tcMar>
              <w:top w:type="dxa" w:w="60"/>
              <w:left w:type="dxa" w:w="110"/>
              <w:bottom w:type="dxa" w:w="60"/>
              <w:right w:type="dxa" w:w="110"/>
            </w:tcMar>
          </w:tcPr>
          <w:p>
            <w:pPr>
              <w:spacing w:after="0" w:line="252"/>
            </w:pPr>
            <w:r>
              <w:rPr>
                <w:sz w:val="20"/>
                <w:szCs w:val="20"/>
              </w:rPr>
              <w:t xml:space="preserve">—</w:t>
            </w:r>
          </w:p>
        </w:tc>
        <w:tc>
          <w:tcPr>
            <w:tcW w:type="dxa" w:w="2600"/>
            <w:shd w:fill="EEF1F6" w:val="clear"/>
            <w:tcMar>
              <w:top w:type="dxa" w:w="60"/>
              <w:left w:type="dxa" w:w="110"/>
              <w:bottom w:type="dxa" w:w="60"/>
              <w:right w:type="dxa" w:w="110"/>
            </w:tcMar>
          </w:tcPr>
          <w:p>
            <w:pPr>
              <w:spacing w:after="0" w:line="252"/>
            </w:pPr>
            <w:r>
              <w:rPr>
                <w:sz w:val="20"/>
                <w:szCs w:val="20"/>
              </w:rPr>
              <w:t xml:space="preserve">Applications Development</w:t>
            </w:r>
          </w:p>
        </w:tc>
        <w:tc>
          <w:tcPr>
            <w:tcW w:type="dxa" w:w="3620"/>
            <w:shd w:fill="EEF1F6" w:val="clear"/>
            <w:tcMar>
              <w:top w:type="dxa" w:w="60"/>
              <w:left w:type="dxa" w:w="110"/>
              <w:bottom w:type="dxa" w:w="60"/>
              <w:right w:type="dxa" w:w="110"/>
            </w:tcMar>
          </w:tcPr>
          <w:p>
            <w:pPr>
              <w:spacing w:after="0" w:line="252"/>
            </w:pPr>
            <w:r>
              <w:rPr>
                <w:sz w:val="20"/>
                <w:szCs w:val="20"/>
              </w:rPr>
              <w:t xml:space="preserve">Initial baseline covering all implemented modules.</w:t>
            </w:r>
          </w:p>
        </w:tc>
      </w:tr>
    </w:tbl>
    <w:p>
      <w:r>
        <w:br w:type="page"/>
      </w:r>
    </w:p>
    <w:p>
      <w:pPr>
        <w:pStyle w:val="Heading1"/>
        <w:spacing w:after="140" w:before="320"/>
      </w:pPr>
      <w:r>
        <w:rPr>
          <w:b/>
          <w:bCs/>
          <w:color w:val="1A2233"/>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A2233"/>
          <w:sz w:val="30"/>
          <w:szCs w:val="30"/>
        </w:rPr>
        <w:t xml:space="preserve">1. Introduction</w:t>
      </w:r>
    </w:p>
    <w:p>
      <w:pPr>
        <w:pStyle w:val="Heading2"/>
        <w:spacing w:after="100" w:before="240"/>
      </w:pPr>
      <w:r>
        <w:rPr>
          <w:b/>
          <w:bCs/>
          <w:color w:val="1A2233"/>
          <w:sz w:val="25"/>
          <w:szCs w:val="25"/>
        </w:rPr>
        <w:t xml:space="preserve">1.1 Purpose</w:t>
      </w:r>
    </w:p>
    <w:p>
      <w:pPr>
        <w:spacing w:after="120" w:before="0" w:line="276"/>
      </w:pPr>
      <w:r>
        <w:rPr>
          <w:sz w:val="21"/>
          <w:szCs w:val="21"/>
        </w:rPr>
        <w:t xml:space="preserve">This Functional Requirements Document (FRD) defines the functional and non-functional requirements of the Dubai Investments Business Partner (Supplier) Portal. It describes what the system does across every module and serves as the basis for development verification, User Acceptance Testing (UAT) and stakeholder sign-off.</w:t>
      </w:r>
    </w:p>
    <w:p>
      <w:pPr>
        <w:pStyle w:val="Heading2"/>
        <w:spacing w:after="100" w:before="240"/>
      </w:pPr>
      <w:r>
        <w:rPr>
          <w:b/>
          <w:bCs/>
          <w:color w:val="1A2233"/>
          <w:sz w:val="25"/>
          <w:szCs w:val="25"/>
        </w:rPr>
        <w:t xml:space="preserve">1.2 Scope</w:t>
      </w:r>
    </w:p>
    <w:p>
      <w:pPr>
        <w:spacing w:after="120" w:before="0" w:line="276"/>
      </w:pPr>
      <w:r>
        <w:rPr>
          <w:sz w:val="21"/>
          <w:szCs w:val="21"/>
        </w:rPr>
        <w:t xml:space="preserve">The system is a supplier (business partner) master-data management application comprising three deployable tiers:</w:t>
      </w:r>
    </w:p>
    <w:p>
      <w:pPr>
        <w:pStyle w:val="ListParagraph"/>
        <w:numPr>
          <w:ilvl w:val="0"/>
          <w:numId w:val="2"/>
        </w:numPr>
        <w:spacing w:after="60" w:line="264"/>
      </w:pPr>
      <w:r>
        <w:rPr>
          <w:sz w:val="21"/>
          <w:szCs w:val="21"/>
        </w:rPr>
        <w:t xml:space="preserve">An internal, intranet-hosted administrative portal used by Dubai Investments staff to manage business units, users and supplier records.</w:t>
      </w:r>
    </w:p>
    <w:p>
      <w:pPr>
        <w:pStyle w:val="ListParagraph"/>
        <w:numPr>
          <w:ilvl w:val="0"/>
          <w:numId w:val="2"/>
        </w:numPr>
        <w:spacing w:after="60" w:line="264"/>
      </w:pPr>
      <w:r>
        <w:rPr>
          <w:sz w:val="21"/>
          <w:szCs w:val="21"/>
        </w:rPr>
        <w:t xml:space="preserve">A public-facing (DMZ) Supplier Self-Service portal through which external suppliers review and update their own data.</w:t>
      </w:r>
    </w:p>
    <w:p>
      <w:pPr>
        <w:pStyle w:val="ListParagraph"/>
        <w:numPr>
          <w:ilvl w:val="0"/>
          <w:numId w:val="2"/>
        </w:numPr>
        <w:spacing w:after="60" w:line="264"/>
      </w:pPr>
      <w:r>
        <w:rPr>
          <w:sz w:val="21"/>
          <w:szCs w:val="21"/>
        </w:rPr>
        <w:t xml:space="preserve">An internal REST API that owns the database and mediates all data exchange with the DMZ portal.</w:t>
      </w:r>
    </w:p>
    <w:p>
      <w:pPr>
        <w:spacing w:after="120" w:before="0" w:line="276"/>
      </w:pPr>
      <w:r>
        <w:rPr>
          <w:sz w:val="21"/>
          <w:szCs w:val="21"/>
        </w:rPr>
        <w:t xml:space="preserve">The document covers authentication, user and business-unit administration, supplier registration and master data, configurable field rules, document management, data validation, workflow and status, dashboard and reporting, notifications, supplier self-service, the DMZ/API architecture, bulk import, export/print, and audit/change tracking.</w:t>
      </w:r>
    </w:p>
    <w:p>
      <w:pPr>
        <w:pStyle w:val="Heading2"/>
        <w:spacing w:after="100" w:before="240"/>
      </w:pPr>
      <w:r>
        <w:rPr>
          <w:b/>
          <w:bCs/>
          <w:color w:val="1A2233"/>
          <w:sz w:val="25"/>
          <w:szCs w:val="25"/>
        </w:rPr>
        <w:t xml:space="preserve">1.3 Intended Audience</w:t>
      </w:r>
    </w:p>
    <w:p>
      <w:pPr>
        <w:spacing w:after="120" w:before="0" w:line="276"/>
      </w:pPr>
      <w:r>
        <w:rPr>
          <w:sz w:val="21"/>
          <w:szCs w:val="21"/>
        </w:rPr>
        <w:t xml:space="preserve">Business owners, functional consultants, the development and QA teams, infrastructure/security teams, and UAT participants.</w:t>
      </w:r>
    </w:p>
    <w:p>
      <w:pPr>
        <w:pStyle w:val="Heading2"/>
        <w:spacing w:after="100" w:before="240"/>
      </w:pPr>
      <w:r>
        <w:rPr>
          <w:b/>
          <w:bCs/>
          <w:color w:val="1A2233"/>
          <w:sz w:val="25"/>
          <w:szCs w:val="25"/>
        </w:rPr>
        <w:t xml:space="preserve">1.4 Definitions &amp; Acronyms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A2233" w:val="clear"/>
            <w:tcMar>
              <w:top w:type="dxa" w:w="60"/>
              <w:left w:type="dxa" w:w="110"/>
              <w:bottom w:type="dxa" w:w="60"/>
              <w:right w:type="dxa" w:w="110"/>
            </w:tcMar>
          </w:tcPr>
          <w:p>
            <w:pPr>
              <w:spacing w:after="0" w:line="252"/>
            </w:pPr>
            <w:r>
              <w:rPr>
                <w:b/>
                <w:bCs/>
                <w:color w:val="FFFFFF"/>
                <w:sz w:val="20"/>
                <w:szCs w:val="20"/>
              </w:rPr>
              <w:t xml:space="preserve">Term</w:t>
            </w:r>
          </w:p>
        </w:tc>
        <w:tc>
          <w:tcPr>
            <w:tcW w:type="dxa" w:w="7220"/>
            <w:shd w:fill="1A2233" w:val="clear"/>
            <w:tcMar>
              <w:top w:type="dxa" w:w="60"/>
              <w:left w:type="dxa" w:w="110"/>
              <w:bottom w:type="dxa" w:w="60"/>
              <w:right w:type="dxa" w:w="110"/>
            </w:tcMar>
          </w:tcPr>
          <w:p>
            <w:pPr>
              <w:spacing w:after="0" w:line="252"/>
            </w:pPr>
            <w:r>
              <w:rPr>
                <w:b/>
                <w:bCs/>
                <w:color w:val="FFFFFF"/>
                <w:sz w:val="20"/>
                <w:szCs w:val="20"/>
              </w:rPr>
              <w:t xml:space="preserve">Definition</w:t>
            </w:r>
          </w:p>
        </w:tc>
      </w:tr>
      <w:tr>
        <w:tc>
          <w:tcPr>
            <w:tcW w:type="dxa" w:w="1800"/>
            <w:shd w:fill="EEF1F6" w:val="clear"/>
            <w:tcMar>
              <w:top w:type="dxa" w:w="60"/>
              <w:left w:type="dxa" w:w="110"/>
              <w:bottom w:type="dxa" w:w="60"/>
              <w:right w:type="dxa" w:w="110"/>
            </w:tcMar>
          </w:tcPr>
          <w:p>
            <w:pPr>
              <w:spacing w:after="0" w:line="252"/>
            </w:pPr>
            <w:r>
              <w:rPr>
                <w:b/>
                <w:bCs/>
                <w:color w:val="1A2233"/>
                <w:sz w:val="20"/>
                <w:szCs w:val="20"/>
              </w:rPr>
              <w:t xml:space="preserve">BP</w:t>
            </w:r>
          </w:p>
        </w:tc>
        <w:tc>
          <w:tcPr>
            <w:tcW w:type="dxa" w:w="7220"/>
            <w:shd w:fill="EEF1F6" w:val="clear"/>
            <w:tcMar>
              <w:top w:type="dxa" w:w="60"/>
              <w:left w:type="dxa" w:w="110"/>
              <w:bottom w:type="dxa" w:w="60"/>
              <w:right w:type="dxa" w:w="110"/>
            </w:tcMar>
          </w:tcPr>
          <w:p>
            <w:pPr>
              <w:spacing w:after="0" w:line="252"/>
            </w:pPr>
            <w:r>
              <w:rPr>
                <w:sz w:val="20"/>
                <w:szCs w:val="20"/>
              </w:rPr>
              <w:t xml:space="preserve">Business Partner (used interchangeably with "Supplier").</w:t>
            </w:r>
          </w:p>
        </w:tc>
      </w:tr>
      <w:tr>
        <w:tc>
          <w:tcPr>
            <w:tcW w:type="dxa" w:w="1800"/>
            <w:shd w:fill="FFFFFF" w:val="clear"/>
            <w:tcMar>
              <w:top w:type="dxa" w:w="60"/>
              <w:left w:type="dxa" w:w="110"/>
              <w:bottom w:type="dxa" w:w="60"/>
              <w:right w:type="dxa" w:w="110"/>
            </w:tcMar>
          </w:tcPr>
          <w:p>
            <w:pPr>
              <w:spacing w:after="0" w:line="252"/>
            </w:pPr>
            <w:r>
              <w:rPr>
                <w:b/>
                <w:bCs/>
                <w:color w:val="1A2233"/>
                <w:sz w:val="20"/>
                <w:szCs w:val="20"/>
              </w:rPr>
              <w:t xml:space="preserve">BU</w:t>
            </w:r>
          </w:p>
        </w:tc>
        <w:tc>
          <w:tcPr>
            <w:tcW w:type="dxa" w:w="7220"/>
            <w:shd w:fill="FFFFFF" w:val="clear"/>
            <w:tcMar>
              <w:top w:type="dxa" w:w="60"/>
              <w:left w:type="dxa" w:w="110"/>
              <w:bottom w:type="dxa" w:w="60"/>
              <w:right w:type="dxa" w:w="110"/>
            </w:tcMar>
          </w:tcPr>
          <w:p>
            <w:pPr>
              <w:spacing w:after="0" w:line="252"/>
            </w:pPr>
            <w:r>
              <w:rPr>
                <w:sz w:val="20"/>
                <w:szCs w:val="20"/>
              </w:rPr>
              <w:t xml:space="preserve">Business Unit — a Dubai Investments entity/subsidiary a supplier is associated with.</w:t>
            </w:r>
          </w:p>
        </w:tc>
      </w:tr>
      <w:tr>
        <w:tc>
          <w:tcPr>
            <w:tcW w:type="dxa" w:w="1800"/>
            <w:shd w:fill="EEF1F6" w:val="clear"/>
            <w:tcMar>
              <w:top w:type="dxa" w:w="60"/>
              <w:left w:type="dxa" w:w="110"/>
              <w:bottom w:type="dxa" w:w="60"/>
              <w:right w:type="dxa" w:w="110"/>
            </w:tcMar>
          </w:tcPr>
          <w:p>
            <w:pPr>
              <w:spacing w:after="0" w:line="252"/>
            </w:pPr>
            <w:r>
              <w:rPr>
                <w:b/>
                <w:bCs/>
                <w:color w:val="1A2233"/>
                <w:sz w:val="20"/>
                <w:szCs w:val="20"/>
              </w:rPr>
              <w:t xml:space="preserve">LOV</w:t>
            </w:r>
          </w:p>
        </w:tc>
        <w:tc>
          <w:tcPr>
            <w:tcW w:type="dxa" w:w="7220"/>
            <w:shd w:fill="EEF1F6" w:val="clear"/>
            <w:tcMar>
              <w:top w:type="dxa" w:w="60"/>
              <w:left w:type="dxa" w:w="110"/>
              <w:bottom w:type="dxa" w:w="60"/>
              <w:right w:type="dxa" w:w="110"/>
            </w:tcMar>
          </w:tcPr>
          <w:p>
            <w:pPr>
              <w:spacing w:after="0" w:line="252"/>
            </w:pPr>
            <w:r>
              <w:rPr>
                <w:sz w:val="20"/>
                <w:szCs w:val="20"/>
              </w:rPr>
              <w:t xml:space="preserve">List of Values — a configurable lookup list (e.g. Country, Supplier Type).</w:t>
            </w:r>
          </w:p>
        </w:tc>
      </w:tr>
      <w:tr>
        <w:tc>
          <w:tcPr>
            <w:tcW w:type="dxa" w:w="1800"/>
            <w:shd w:fill="FFFFFF" w:val="clear"/>
            <w:tcMar>
              <w:top w:type="dxa" w:w="60"/>
              <w:left w:type="dxa" w:w="110"/>
              <w:bottom w:type="dxa" w:w="60"/>
              <w:right w:type="dxa" w:w="110"/>
            </w:tcMar>
          </w:tcPr>
          <w:p>
            <w:pPr>
              <w:spacing w:after="0" w:line="252"/>
            </w:pPr>
            <w:r>
              <w:rPr>
                <w:b/>
                <w:bCs/>
                <w:color w:val="1A2233"/>
                <w:sz w:val="20"/>
                <w:szCs w:val="20"/>
              </w:rPr>
              <w:t xml:space="preserve">OTP</w:t>
            </w:r>
          </w:p>
        </w:tc>
        <w:tc>
          <w:tcPr>
            <w:tcW w:type="dxa" w:w="7220"/>
            <w:shd w:fill="FFFFFF" w:val="clear"/>
            <w:tcMar>
              <w:top w:type="dxa" w:w="60"/>
              <w:left w:type="dxa" w:w="110"/>
              <w:bottom w:type="dxa" w:w="60"/>
              <w:right w:type="dxa" w:w="110"/>
            </w:tcMar>
          </w:tcPr>
          <w:p>
            <w:pPr>
              <w:spacing w:after="0" w:line="252"/>
            </w:pPr>
            <w:r>
              <w:rPr>
                <w:sz w:val="20"/>
                <w:szCs w:val="20"/>
              </w:rPr>
              <w:t xml:space="preserve">One-Time Password — a short numeric code emailed to verify a supplier.</w:t>
            </w:r>
          </w:p>
        </w:tc>
      </w:tr>
      <w:tr>
        <w:tc>
          <w:tcPr>
            <w:tcW w:type="dxa" w:w="1800"/>
            <w:shd w:fill="EEF1F6" w:val="clear"/>
            <w:tcMar>
              <w:top w:type="dxa" w:w="60"/>
              <w:left w:type="dxa" w:w="110"/>
              <w:bottom w:type="dxa" w:w="60"/>
              <w:right w:type="dxa" w:w="110"/>
            </w:tcMar>
          </w:tcPr>
          <w:p>
            <w:pPr>
              <w:spacing w:after="0" w:line="252"/>
            </w:pPr>
            <w:r>
              <w:rPr>
                <w:b/>
                <w:bCs/>
                <w:color w:val="1A2233"/>
                <w:sz w:val="20"/>
                <w:szCs w:val="20"/>
              </w:rPr>
              <w:t xml:space="preserve">DMZ</w:t>
            </w:r>
          </w:p>
        </w:tc>
        <w:tc>
          <w:tcPr>
            <w:tcW w:type="dxa" w:w="7220"/>
            <w:shd w:fill="EEF1F6" w:val="clear"/>
            <w:tcMar>
              <w:top w:type="dxa" w:w="60"/>
              <w:left w:type="dxa" w:w="110"/>
              <w:bottom w:type="dxa" w:w="60"/>
              <w:right w:type="dxa" w:w="110"/>
            </w:tcMar>
          </w:tcPr>
          <w:p>
            <w:pPr>
              <w:spacing w:after="0" w:line="252"/>
            </w:pPr>
            <w:r>
              <w:rPr>
                <w:sz w:val="20"/>
                <w:szCs w:val="20"/>
              </w:rPr>
              <w:t xml:space="preserve">Demilitarized Zone — a network segment exposed to the internet, isolated from the internal network.</w:t>
            </w:r>
          </w:p>
        </w:tc>
      </w:tr>
      <w:tr>
        <w:tc>
          <w:tcPr>
            <w:tcW w:type="dxa" w:w="1800"/>
            <w:shd w:fill="FFFFFF" w:val="clear"/>
            <w:tcMar>
              <w:top w:type="dxa" w:w="60"/>
              <w:left w:type="dxa" w:w="110"/>
              <w:bottom w:type="dxa" w:w="60"/>
              <w:right w:type="dxa" w:w="110"/>
            </w:tcMar>
          </w:tcPr>
          <w:p>
            <w:pPr>
              <w:spacing w:after="0" w:line="252"/>
            </w:pPr>
            <w:r>
              <w:rPr>
                <w:b/>
                <w:bCs/>
                <w:color w:val="1A2233"/>
                <w:sz w:val="20"/>
                <w:szCs w:val="20"/>
              </w:rPr>
              <w:t xml:space="preserve">AD</w:t>
            </w:r>
          </w:p>
        </w:tc>
        <w:tc>
          <w:tcPr>
            <w:tcW w:type="dxa" w:w="7220"/>
            <w:shd w:fill="FFFFFF" w:val="clear"/>
            <w:tcMar>
              <w:top w:type="dxa" w:w="60"/>
              <w:left w:type="dxa" w:w="110"/>
              <w:bottom w:type="dxa" w:w="60"/>
              <w:right w:type="dxa" w:w="110"/>
            </w:tcMar>
          </w:tcPr>
          <w:p>
            <w:pPr>
              <w:spacing w:after="0" w:line="252"/>
            </w:pPr>
            <w:r>
              <w:rPr>
                <w:sz w:val="20"/>
                <w:szCs w:val="20"/>
              </w:rPr>
              <w:t xml:space="preserve">Active Directory — the corporate directory used for staff authentication over LDAP.</w:t>
            </w:r>
          </w:p>
        </w:tc>
      </w:tr>
      <w:tr>
        <w:tc>
          <w:tcPr>
            <w:tcW w:type="dxa" w:w="1800"/>
            <w:shd w:fill="EEF1F6" w:val="clear"/>
            <w:tcMar>
              <w:top w:type="dxa" w:w="60"/>
              <w:left w:type="dxa" w:w="110"/>
              <w:bottom w:type="dxa" w:w="60"/>
              <w:right w:type="dxa" w:w="110"/>
            </w:tcMar>
          </w:tcPr>
          <w:p>
            <w:pPr>
              <w:spacing w:after="0" w:line="252"/>
            </w:pPr>
            <w:r>
              <w:rPr>
                <w:b/>
                <w:bCs/>
                <w:color w:val="1A2233"/>
                <w:sz w:val="20"/>
                <w:szCs w:val="20"/>
              </w:rPr>
              <w:t xml:space="preserve">TRN</w:t>
            </w:r>
          </w:p>
        </w:tc>
        <w:tc>
          <w:tcPr>
            <w:tcW w:type="dxa" w:w="7220"/>
            <w:shd w:fill="EEF1F6" w:val="clear"/>
            <w:tcMar>
              <w:top w:type="dxa" w:w="60"/>
              <w:left w:type="dxa" w:w="110"/>
              <w:bottom w:type="dxa" w:w="60"/>
              <w:right w:type="dxa" w:w="110"/>
            </w:tcMar>
          </w:tcPr>
          <w:p>
            <w:pPr>
              <w:spacing w:after="0" w:line="252"/>
            </w:pPr>
            <w:r>
              <w:rPr>
                <w:sz w:val="20"/>
                <w:szCs w:val="20"/>
              </w:rPr>
              <w:t xml:space="preserve">Tax Registration Number — the 15-digit UAE VAT registration identifier.</w:t>
            </w:r>
          </w:p>
        </w:tc>
      </w:tr>
      <w:tr>
        <w:tc>
          <w:tcPr>
            <w:tcW w:type="dxa" w:w="1800"/>
            <w:shd w:fill="FFFFFF" w:val="clear"/>
            <w:tcMar>
              <w:top w:type="dxa" w:w="60"/>
              <w:left w:type="dxa" w:w="110"/>
              <w:bottom w:type="dxa" w:w="60"/>
              <w:right w:type="dxa" w:w="110"/>
            </w:tcMar>
          </w:tcPr>
          <w:p>
            <w:pPr>
              <w:spacing w:after="0" w:line="252"/>
            </w:pPr>
            <w:r>
              <w:rPr>
                <w:b/>
                <w:bCs/>
                <w:color w:val="1A2233"/>
                <w:sz w:val="20"/>
                <w:szCs w:val="20"/>
              </w:rPr>
              <w:t xml:space="preserve">FR / NFR</w:t>
            </w:r>
          </w:p>
        </w:tc>
        <w:tc>
          <w:tcPr>
            <w:tcW w:type="dxa" w:w="7220"/>
            <w:shd w:fill="FFFFFF" w:val="clear"/>
            <w:tcMar>
              <w:top w:type="dxa" w:w="60"/>
              <w:left w:type="dxa" w:w="110"/>
              <w:bottom w:type="dxa" w:w="60"/>
              <w:right w:type="dxa" w:w="110"/>
            </w:tcMar>
          </w:tcPr>
          <w:p>
            <w:pPr>
              <w:spacing w:after="0" w:line="252"/>
            </w:pPr>
            <w:r>
              <w:rPr>
                <w:sz w:val="20"/>
                <w:szCs w:val="20"/>
              </w:rPr>
              <w:t xml:space="preserve">Functional Requirement / Non-Functional Requirement.</w:t>
            </w:r>
          </w:p>
        </w:tc>
      </w:tr>
    </w:tbl>
    <w:p>
      <w:pPr>
        <w:pStyle w:val="Heading2"/>
        <w:spacing w:after="100" w:before="240"/>
      </w:pPr>
      <w:r>
        <w:rPr>
          <w:b/>
          <w:bCs/>
          <w:color w:val="1A2233"/>
          <w:sz w:val="25"/>
          <w:szCs w:val="25"/>
        </w:rPr>
        <w:t xml:space="preserve">1.5 References</w:t>
      </w:r>
    </w:p>
    <w:p>
      <w:pPr>
        <w:pStyle w:val="ListParagraph"/>
        <w:numPr>
          <w:ilvl w:val="0"/>
          <w:numId w:val="2"/>
        </w:numPr>
        <w:spacing w:after="60" w:line="264"/>
      </w:pPr>
      <w:r>
        <w:rPr>
          <w:sz w:val="21"/>
          <w:szCs w:val="21"/>
        </w:rPr>
        <w:t xml:space="preserve">Solution architecture &amp; security: deploy/SELF-SERVICE-DMZ-ARCHITECTURE.md</w:t>
      </w:r>
    </w:p>
    <w:p>
      <w:pPr>
        <w:pStyle w:val="ListParagraph"/>
        <w:numPr>
          <w:ilvl w:val="0"/>
          <w:numId w:val="2"/>
        </w:numPr>
        <w:spacing w:after="60" w:line="264"/>
      </w:pPr>
      <w:r>
        <w:rPr>
          <w:sz w:val="21"/>
          <w:szCs w:val="21"/>
        </w:rPr>
        <w:t xml:space="preserve">Deployment guide: deploy/README-DEPLOYMENT.md</w:t>
      </w:r>
    </w:p>
    <w:p>
      <w:r>
        <w:br w:type="page"/>
      </w:r>
    </w:p>
    <w:p>
      <w:pPr>
        <w:pStyle w:val="Heading1"/>
        <w:spacing w:after="140" w:before="320"/>
      </w:pPr>
      <w:r>
        <w:rPr>
          <w:b/>
          <w:bCs/>
          <w:color w:val="1A2233"/>
          <w:sz w:val="30"/>
          <w:szCs w:val="30"/>
        </w:rPr>
        <w:t xml:space="preserve">2. System Overview</w:t>
      </w:r>
    </w:p>
    <w:p>
      <w:pPr>
        <w:pStyle w:val="Heading2"/>
        <w:spacing w:after="100" w:before="240"/>
      </w:pPr>
      <w:r>
        <w:rPr>
          <w:b/>
          <w:bCs/>
          <w:color w:val="1A2233"/>
          <w:sz w:val="25"/>
          <w:szCs w:val="25"/>
        </w:rPr>
        <w:t xml:space="preserve">2.1 Description</w:t>
      </w:r>
    </w:p>
    <w:p>
      <w:pPr>
        <w:spacing w:after="120" w:before="0" w:line="276"/>
      </w:pPr>
      <w:r>
        <w:rPr>
          <w:sz w:val="21"/>
          <w:szCs w:val="21"/>
        </w:rPr>
        <w:t xml:space="preserve">The portal maintains supplier master data (organization, contact, banking and site/business-unit information) under a controlled review workflow. Staff create or import supplier records and invite suppliers, via a secure link, to review and update their own details. Submissions are routed back to staff for review, with changed fields highlighted, before completion.</w:t>
      </w:r>
    </w:p>
    <w:p>
      <w:pPr>
        <w:pStyle w:val="Heading2"/>
        <w:spacing w:after="100" w:before="240"/>
      </w:pPr>
      <w:r>
        <w:rPr>
          <w:b/>
          <w:bCs/>
          <w:color w:val="1A2233"/>
          <w:sz w:val="25"/>
          <w:szCs w:val="25"/>
        </w:rPr>
        <w:t xml:space="preserve">2.2 Architecture &amp; Deployment Topology</w:t>
      </w:r>
    </w:p>
    <w:p>
      <w:pPr>
        <w:spacing w:after="120" w:before="0" w:line="276"/>
      </w:pPr>
      <w:r>
        <w:rPr>
          <w:sz w:val="21"/>
          <w:szCs w:val="21"/>
        </w:rPr>
        <w:t xml:space="preserve">The solution is deployed as three tiers across two network zones so that the internet-facing component never touches the database: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6120"/>
      </w:tblGrid>
      <w:tr>
        <w:trPr>
          <w:tblHeader/>
        </w:trPr>
        <w:tc>
          <w:tcPr>
            <w:tcW w:type="dxa" w:w="2900"/>
            <w:shd w:fill="1A2233" w:val="clear"/>
            <w:tcMar>
              <w:top w:type="dxa" w:w="60"/>
              <w:left w:type="dxa" w:w="110"/>
              <w:bottom w:type="dxa" w:w="60"/>
              <w:right w:type="dxa" w:w="110"/>
            </w:tcMar>
          </w:tcPr>
          <w:p>
            <w:pPr>
              <w:spacing w:after="0" w:line="252"/>
            </w:pPr>
            <w:r>
              <w:rPr>
                <w:b/>
                <w:bCs/>
                <w:color w:val="FFFFFF"/>
                <w:sz w:val="20"/>
                <w:szCs w:val="20"/>
              </w:rPr>
              <w:t xml:space="preserve">Tier</w:t>
            </w:r>
          </w:p>
        </w:tc>
        <w:tc>
          <w:tcPr>
            <w:tcW w:type="dxa" w:w="6120"/>
            <w:shd w:fill="1A2233" w:val="clear"/>
            <w:tcMar>
              <w:top w:type="dxa" w:w="60"/>
              <w:left w:type="dxa" w:w="110"/>
              <w:bottom w:type="dxa" w:w="60"/>
              <w:right w:type="dxa" w:w="110"/>
            </w:tcMar>
          </w:tcPr>
          <w:p>
            <w:pPr>
              <w:spacing w:after="0" w:line="252"/>
            </w:pPr>
            <w:r>
              <w:rPr>
                <w:b/>
                <w:bCs/>
                <w:color w:val="FFFFFF"/>
                <w:sz w:val="20"/>
                <w:szCs w:val="20"/>
              </w:rPr>
              <w:t xml:space="preserve">Description</w:t>
            </w:r>
          </w:p>
        </w:tc>
      </w:tr>
      <w:tr>
        <w:tc>
          <w:tcPr>
            <w:tcW w:type="dxa" w:w="2900"/>
            <w:shd w:fill="EEF1F6" w:val="clear"/>
            <w:tcMar>
              <w:top w:type="dxa" w:w="60"/>
              <w:left w:type="dxa" w:w="110"/>
              <w:bottom w:type="dxa" w:w="60"/>
              <w:right w:type="dxa" w:w="110"/>
            </w:tcMar>
          </w:tcPr>
          <w:p>
            <w:pPr>
              <w:spacing w:after="0" w:line="252"/>
            </w:pPr>
            <w:r>
              <w:rPr>
                <w:b/>
                <w:bCs/>
                <w:color w:val="1A2233"/>
                <w:sz w:val="20"/>
                <w:szCs w:val="20"/>
              </w:rPr>
              <w:t xml:space="preserve">Internal Admin Portal</w:t>
            </w:r>
          </w:p>
        </w:tc>
        <w:tc>
          <w:tcPr>
            <w:tcW w:type="dxa" w:w="6120"/>
            <w:shd w:fill="EEF1F6" w:val="clear"/>
            <w:tcMar>
              <w:top w:type="dxa" w:w="60"/>
              <w:left w:type="dxa" w:w="110"/>
              <w:bottom w:type="dxa" w:w="60"/>
              <w:right w:type="dxa" w:w="110"/>
            </w:tcMar>
          </w:tcPr>
          <w:p>
            <w:pPr>
              <w:spacing w:after="0" w:line="252"/>
            </w:pPr>
            <w:r>
              <w:rPr>
                <w:sz w:val="20"/>
                <w:szCs w:val="20"/>
              </w:rPr>
              <w:t xml:space="preserve">Intranet-hosted web application with direct database access, used by staff (Blazor Server, .NET 8).</w:t>
            </w:r>
          </w:p>
        </w:tc>
      </w:tr>
      <w:tr>
        <w:tc>
          <w:tcPr>
            <w:tcW w:type="dxa" w:w="2900"/>
            <w:shd w:fill="FFFFFF" w:val="clear"/>
            <w:tcMar>
              <w:top w:type="dxa" w:w="60"/>
              <w:left w:type="dxa" w:w="110"/>
              <w:bottom w:type="dxa" w:w="60"/>
              <w:right w:type="dxa" w:w="110"/>
            </w:tcMar>
          </w:tcPr>
          <w:p>
            <w:pPr>
              <w:spacing w:after="0" w:line="252"/>
            </w:pPr>
            <w:r>
              <w:rPr>
                <w:b/>
                <w:bCs/>
                <w:color w:val="1A2233"/>
                <w:sz w:val="20"/>
                <w:szCs w:val="20"/>
              </w:rPr>
              <w:t xml:space="preserve">Internal REST API</w:t>
            </w:r>
          </w:p>
        </w:tc>
        <w:tc>
          <w:tcPr>
            <w:tcW w:type="dxa" w:w="6120"/>
            <w:shd w:fill="FFFFFF" w:val="clear"/>
            <w:tcMar>
              <w:top w:type="dxa" w:w="60"/>
              <w:left w:type="dxa" w:w="110"/>
              <w:bottom w:type="dxa" w:w="60"/>
              <w:right w:type="dxa" w:w="110"/>
            </w:tcMar>
          </w:tcPr>
          <w:p>
            <w:pPr>
              <w:spacing w:after="0" w:line="252"/>
            </w:pPr>
            <w:r>
              <w:rPr>
                <w:sz w:val="20"/>
                <w:szCs w:val="20"/>
              </w:rPr>
              <w:t xml:space="preserve">Hosted on the internal network; owns the SQL Server database. Exposes only the supplier self-service operations. Not reachable from the internet.</w:t>
            </w:r>
          </w:p>
        </w:tc>
      </w:tr>
      <w:tr>
        <w:tc>
          <w:tcPr>
            <w:tcW w:type="dxa" w:w="2900"/>
            <w:shd w:fill="EEF1F6" w:val="clear"/>
            <w:tcMar>
              <w:top w:type="dxa" w:w="60"/>
              <w:left w:type="dxa" w:w="110"/>
              <w:bottom w:type="dxa" w:w="60"/>
              <w:right w:type="dxa" w:w="110"/>
            </w:tcMar>
          </w:tcPr>
          <w:p>
            <w:pPr>
              <w:spacing w:after="0" w:line="252"/>
            </w:pPr>
            <w:r>
              <w:rPr>
                <w:b/>
                <w:bCs/>
                <w:color w:val="1A2233"/>
                <w:sz w:val="20"/>
                <w:szCs w:val="20"/>
              </w:rPr>
              <w:t xml:space="preserve">DMZ Self-Service Portal</w:t>
            </w:r>
          </w:p>
        </w:tc>
        <w:tc>
          <w:tcPr>
            <w:tcW w:type="dxa" w:w="6120"/>
            <w:shd w:fill="EEF1F6" w:val="clear"/>
            <w:tcMar>
              <w:top w:type="dxa" w:w="60"/>
              <w:left w:type="dxa" w:w="110"/>
              <w:bottom w:type="dxa" w:w="60"/>
              <w:right w:type="dxa" w:w="110"/>
            </w:tcMar>
          </w:tcPr>
          <w:p>
            <w:pPr>
              <w:spacing w:after="0" w:line="252"/>
            </w:pPr>
            <w:r>
              <w:rPr>
                <w:sz w:val="20"/>
                <w:szCs w:val="20"/>
              </w:rPr>
              <w:t xml:space="preserve">Public-facing web application in the DMZ with NO database access; exchanges all data with the internal REST API over HTTPS.</w:t>
            </w:r>
          </w:p>
        </w:tc>
      </w:tr>
      <w:tr>
        <w:tc>
          <w:tcPr>
            <w:tcW w:type="dxa" w:w="2900"/>
            <w:shd w:fill="FFFFFF" w:val="clear"/>
            <w:tcMar>
              <w:top w:type="dxa" w:w="60"/>
              <w:left w:type="dxa" w:w="110"/>
              <w:bottom w:type="dxa" w:w="60"/>
              <w:right w:type="dxa" w:w="110"/>
            </w:tcMar>
          </w:tcPr>
          <w:p>
            <w:pPr>
              <w:spacing w:after="0" w:line="252"/>
            </w:pPr>
            <w:r>
              <w:rPr>
                <w:b/>
                <w:bCs/>
                <w:color w:val="1A2233"/>
                <w:sz w:val="20"/>
                <w:szCs w:val="20"/>
              </w:rPr>
              <w:t xml:space="preserve">Database</w:t>
            </w:r>
          </w:p>
        </w:tc>
        <w:tc>
          <w:tcPr>
            <w:tcW w:type="dxa" w:w="6120"/>
            <w:shd w:fill="FFFFFF" w:val="clear"/>
            <w:tcMar>
              <w:top w:type="dxa" w:w="60"/>
              <w:left w:type="dxa" w:w="110"/>
              <w:bottom w:type="dxa" w:w="60"/>
              <w:right w:type="dxa" w:w="110"/>
            </w:tcMar>
          </w:tcPr>
          <w:p>
            <w:pPr>
              <w:spacing w:after="0" w:line="252"/>
            </w:pPr>
            <w:r>
              <w:rPr>
                <w:sz w:val="20"/>
                <w:szCs w:val="20"/>
              </w:rPr>
              <w:t xml:space="preserve">Microsoft SQL Server (database "BP"); reachable only from the internal Admin Portal and the internal API.</w:t>
            </w:r>
          </w:p>
        </w:tc>
      </w:tr>
    </w:tbl>
    <w:p>
      <w:pPr>
        <w:spacing w:after="80"/>
      </w:pPr>
    </w:p>
    <w:p>
      <w:pPr>
        <w:spacing w:after="120" w:before="0" w:line="276"/>
      </w:pPr>
      <w:r>
        <w:rPr>
          <w:sz w:val="21"/>
          <w:szCs w:val="21"/>
        </w:rPr>
        <w:t xml:space="preserve">Trust between the DMZ portal and the API uses OAuth2 client-credentials, layered with a per-supplier session token issued after OTP verification. Full details are in the referenced architecture document.</w:t>
      </w:r>
    </w:p>
    <w:p>
      <w:pPr>
        <w:pStyle w:val="Heading2"/>
        <w:spacing w:after="100" w:before="240"/>
      </w:pPr>
      <w:r>
        <w:rPr>
          <w:b/>
          <w:bCs/>
          <w:color w:val="1A2233"/>
          <w:sz w:val="25"/>
          <w:szCs w:val="25"/>
        </w:rPr>
        <w:t xml:space="preserve">2.3 User Roles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A2233" w:val="clear"/>
            <w:tcMar>
              <w:top w:type="dxa" w:w="60"/>
              <w:left w:type="dxa" w:w="110"/>
              <w:bottom w:type="dxa" w:w="60"/>
              <w:right w:type="dxa" w:w="110"/>
            </w:tcMar>
          </w:tcPr>
          <w:p>
            <w:pPr>
              <w:spacing w:after="0" w:line="252"/>
            </w:pPr>
            <w:r>
              <w:rPr>
                <w:b/>
                <w:bCs/>
                <w:color w:val="FFFFFF"/>
                <w:sz w:val="20"/>
                <w:szCs w:val="20"/>
              </w:rPr>
              <w:t xml:space="preserve">Role</w:t>
            </w:r>
          </w:p>
        </w:tc>
        <w:tc>
          <w:tcPr>
            <w:tcW w:type="dxa" w:w="6420"/>
            <w:shd w:fill="1A2233" w:val="clear"/>
            <w:tcMar>
              <w:top w:type="dxa" w:w="60"/>
              <w:left w:type="dxa" w:w="110"/>
              <w:bottom w:type="dxa" w:w="60"/>
              <w:right w:type="dxa" w:w="110"/>
            </w:tcMar>
          </w:tcPr>
          <w:p>
            <w:pPr>
              <w:spacing w:after="0" w:line="252"/>
            </w:pPr>
            <w:r>
              <w:rPr>
                <w:b/>
                <w:bCs/>
                <w:color w:val="FFFFFF"/>
                <w:sz w:val="20"/>
                <w:szCs w:val="20"/>
              </w:rPr>
              <w:t xml:space="preserve">Description</w:t>
            </w:r>
          </w:p>
        </w:tc>
      </w:tr>
      <w:tr>
        <w:tc>
          <w:tcPr>
            <w:tcW w:type="dxa" w:w="2600"/>
            <w:shd w:fill="EEF1F6" w:val="clear"/>
            <w:tcMar>
              <w:top w:type="dxa" w:w="60"/>
              <w:left w:type="dxa" w:w="110"/>
              <w:bottom w:type="dxa" w:w="60"/>
              <w:right w:type="dxa" w:w="110"/>
            </w:tcMar>
          </w:tcPr>
          <w:p>
            <w:pPr>
              <w:spacing w:after="0" w:line="252"/>
            </w:pPr>
            <w:r>
              <w:rPr>
                <w:b/>
                <w:bCs/>
                <w:color w:val="1A2233"/>
                <w:sz w:val="20"/>
                <w:szCs w:val="20"/>
              </w:rPr>
              <w:t xml:space="preserve">Administrator</w:t>
            </w:r>
          </w:p>
        </w:tc>
        <w:tc>
          <w:tcPr>
            <w:tcW w:type="dxa" w:w="6420"/>
            <w:shd w:fill="EEF1F6" w:val="clear"/>
            <w:tcMar>
              <w:top w:type="dxa" w:w="60"/>
              <w:left w:type="dxa" w:w="110"/>
              <w:bottom w:type="dxa" w:w="60"/>
              <w:right w:type="dxa" w:w="110"/>
            </w:tcMar>
          </w:tcPr>
          <w:p>
            <w:pPr>
              <w:spacing w:after="0" w:line="252"/>
            </w:pPr>
            <w:r>
              <w:rPr>
                <w:sz w:val="20"/>
                <w:szCs w:val="20"/>
              </w:rPr>
              <w:t xml:space="preserve">Full access: manage users, business units, supplier field settings, all supplier records and notifications.</w:t>
            </w:r>
          </w:p>
        </w:tc>
      </w:tr>
      <w:tr>
        <w:tc>
          <w:tcPr>
            <w:tcW w:type="dxa" w:w="2600"/>
            <w:shd w:fill="FFFFFF" w:val="clear"/>
            <w:tcMar>
              <w:top w:type="dxa" w:w="60"/>
              <w:left w:type="dxa" w:w="110"/>
              <w:bottom w:type="dxa" w:w="60"/>
              <w:right w:type="dxa" w:w="110"/>
            </w:tcMar>
          </w:tcPr>
          <w:p>
            <w:pPr>
              <w:spacing w:after="0" w:line="252"/>
            </w:pPr>
            <w:r>
              <w:rPr>
                <w:b/>
                <w:bCs/>
                <w:color w:val="1A2233"/>
                <w:sz w:val="20"/>
                <w:szCs w:val="20"/>
              </w:rPr>
              <w:t xml:space="preserve">Normal User</w:t>
            </w:r>
          </w:p>
        </w:tc>
        <w:tc>
          <w:tcPr>
            <w:tcW w:type="dxa" w:w="6420"/>
            <w:shd w:fill="FFFFFF" w:val="clear"/>
            <w:tcMar>
              <w:top w:type="dxa" w:w="60"/>
              <w:left w:type="dxa" w:w="110"/>
              <w:bottom w:type="dxa" w:w="60"/>
              <w:right w:type="dxa" w:w="110"/>
            </w:tcMar>
          </w:tcPr>
          <w:p>
            <w:pPr>
              <w:spacing w:after="0" w:line="252"/>
            </w:pPr>
            <w:r>
              <w:rPr>
                <w:sz w:val="20"/>
                <w:szCs w:val="20"/>
              </w:rPr>
              <w:t xml:space="preserve">Operational access scoped to their assigned Business Unit(s); manages suppliers only within those BUs.</w:t>
            </w:r>
          </w:p>
        </w:tc>
      </w:tr>
      <w:tr>
        <w:tc>
          <w:tcPr>
            <w:tcW w:type="dxa" w:w="2600"/>
            <w:shd w:fill="EEF1F6" w:val="clear"/>
            <w:tcMar>
              <w:top w:type="dxa" w:w="60"/>
              <w:left w:type="dxa" w:w="110"/>
              <w:bottom w:type="dxa" w:w="60"/>
              <w:right w:type="dxa" w:w="110"/>
            </w:tcMar>
          </w:tcPr>
          <w:p>
            <w:pPr>
              <w:spacing w:after="0" w:line="252"/>
            </w:pPr>
            <w:r>
              <w:rPr>
                <w:b/>
                <w:bCs/>
                <w:color w:val="1A2233"/>
                <w:sz w:val="20"/>
                <w:szCs w:val="20"/>
              </w:rPr>
              <w:t xml:space="preserve">Supplier (external)</w:t>
            </w:r>
          </w:p>
        </w:tc>
        <w:tc>
          <w:tcPr>
            <w:tcW w:type="dxa" w:w="6420"/>
            <w:shd w:fill="EEF1F6" w:val="clear"/>
            <w:tcMar>
              <w:top w:type="dxa" w:w="60"/>
              <w:left w:type="dxa" w:w="110"/>
              <w:bottom w:type="dxa" w:w="60"/>
              <w:right w:type="dxa" w:w="110"/>
            </w:tcMar>
          </w:tcPr>
          <w:p>
            <w:pPr>
              <w:spacing w:after="0" w:line="252"/>
            </w:pPr>
            <w:r>
              <w:rPr>
                <w:sz w:val="20"/>
                <w:szCs w:val="20"/>
              </w:rPr>
              <w:t xml:space="preserve">No login. Accesses only their own record via a tokenized link plus OTP through the DMZ self-service portal.</w:t>
            </w:r>
          </w:p>
        </w:tc>
      </w:tr>
    </w:tbl>
    <w:p>
      <w:pPr>
        <w:pStyle w:val="Heading2"/>
        <w:spacing w:after="100" w:before="240"/>
      </w:pPr>
      <w:r>
        <w:rPr>
          <w:b/>
          <w:bCs/>
          <w:color w:val="1A2233"/>
          <w:sz w:val="25"/>
          <w:szCs w:val="25"/>
        </w:rPr>
        <w:t xml:space="preserve">2.4 Assumptions &amp; Constraints</w:t>
      </w:r>
    </w:p>
    <w:p>
      <w:pPr>
        <w:pStyle w:val="ListParagraph"/>
        <w:numPr>
          <w:ilvl w:val="0"/>
          <w:numId w:val="2"/>
        </w:numPr>
        <w:spacing w:after="60" w:line="264"/>
      </w:pPr>
      <w:r>
        <w:rPr>
          <w:sz w:val="21"/>
          <w:szCs w:val="21"/>
        </w:rPr>
        <w:t xml:space="preserve">Staff authentication integrates with the corporate Active Directory over LDAP/LDAPS; a bootstrap local administrator exists for initial provisioning.</w:t>
      </w:r>
    </w:p>
    <w:p>
      <w:pPr>
        <w:pStyle w:val="ListParagraph"/>
        <w:numPr>
          <w:ilvl w:val="0"/>
          <w:numId w:val="2"/>
        </w:numPr>
        <w:spacing w:after="60" w:line="264"/>
      </w:pPr>
      <w:r>
        <w:rPr>
          <w:sz w:val="21"/>
          <w:szCs w:val="21"/>
        </w:rPr>
        <w:t xml:space="preserve">Email delivery (invitations, OTP, notifications) is provided by SQL Server Database Mail using a configured profile.</w:t>
      </w:r>
    </w:p>
    <w:p>
      <w:pPr>
        <w:pStyle w:val="ListParagraph"/>
        <w:numPr>
          <w:ilvl w:val="0"/>
          <w:numId w:val="2"/>
        </w:numPr>
        <w:spacing w:after="60" w:line="264"/>
      </w:pPr>
      <w:r>
        <w:rPr>
          <w:sz w:val="21"/>
          <w:szCs w:val="21"/>
        </w:rPr>
        <w:t xml:space="preserve">The application targets Microsoft .NET 8 and SQL Server, hosted on IIS.</w:t>
      </w:r>
    </w:p>
    <w:p>
      <w:pPr>
        <w:pStyle w:val="ListParagraph"/>
        <w:numPr>
          <w:ilvl w:val="0"/>
          <w:numId w:val="2"/>
        </w:numPr>
        <w:spacing w:after="60" w:line="264"/>
      </w:pPr>
      <w:r>
        <w:rPr>
          <w:sz w:val="21"/>
          <w:szCs w:val="21"/>
        </w:rPr>
        <w:t xml:space="preserve">Supplier documents are stored on the server file system with metadata in the database; the API tier is the document store of record in the split deployment.</w:t>
      </w:r>
    </w:p>
    <w:p>
      <w:pPr>
        <w:pStyle w:val="Heading2"/>
        <w:spacing w:after="100" w:before="240"/>
      </w:pPr>
      <w:r>
        <w:rPr>
          <w:b/>
          <w:bCs/>
          <w:color w:val="1A2233"/>
          <w:sz w:val="25"/>
          <w:szCs w:val="25"/>
        </w:rPr>
        <w:t xml:space="preserve">2.5 Out of Scope</w:t>
      </w:r>
    </w:p>
    <w:p>
      <w:pPr>
        <w:pStyle w:val="ListParagraph"/>
        <w:numPr>
          <w:ilvl w:val="0"/>
          <w:numId w:val="2"/>
        </w:numPr>
        <w:spacing w:after="60" w:line="264"/>
      </w:pPr>
      <w:r>
        <w:rPr>
          <w:sz w:val="21"/>
          <w:szCs w:val="21"/>
        </w:rPr>
        <w:t xml:space="preserve">Downstream ERP integration/posting of approved supplier records.</w:t>
      </w:r>
    </w:p>
    <w:p>
      <w:pPr>
        <w:pStyle w:val="ListParagraph"/>
        <w:numPr>
          <w:ilvl w:val="0"/>
          <w:numId w:val="2"/>
        </w:numPr>
        <w:spacing w:after="60" w:line="264"/>
      </w:pPr>
      <w:r>
        <w:rPr>
          <w:sz w:val="21"/>
          <w:szCs w:val="21"/>
        </w:rPr>
        <w:t xml:space="preserve">Payment processing and procurement transactions.</w:t>
      </w:r>
    </w:p>
    <w:p>
      <w:pPr>
        <w:pStyle w:val="ListParagraph"/>
        <w:numPr>
          <w:ilvl w:val="0"/>
          <w:numId w:val="2"/>
        </w:numPr>
        <w:spacing w:after="60" w:line="264"/>
      </w:pPr>
      <w:r>
        <w:rPr>
          <w:sz w:val="21"/>
          <w:szCs w:val="21"/>
        </w:rPr>
        <w:t xml:space="preserve">Multi-language / RTL content localization (corporate branding only).</w:t>
      </w:r>
    </w:p>
    <w:p>
      <w:r>
        <w:br w:type="page"/>
      </w:r>
    </w:p>
    <w:p>
      <w:pPr>
        <w:pStyle w:val="Heading1"/>
        <w:spacing w:after="140" w:before="320"/>
      </w:pPr>
      <w:r>
        <w:rPr>
          <w:b/>
          <w:bCs/>
          <w:color w:val="1A2233"/>
          <w:sz w:val="30"/>
          <w:szCs w:val="30"/>
        </w:rPr>
        <w:t xml:space="preserve">3. Functional Requirements</w:t>
      </w:r>
    </w:p>
    <w:p>
      <w:pPr>
        <w:spacing w:after="120" w:before="0" w:line="276"/>
      </w:pPr>
      <w:r>
        <w:rPr>
          <w:i/>
          <w:iCs/>
          <w:color w:val="6B7280"/>
          <w:sz w:val="21"/>
          <w:szCs w:val="21"/>
        </w:rPr>
        <w:t xml:space="preserve">Priority key: Mandatory (must-have for go-live), High, Medium, Low.</w:t>
      </w:r>
    </w:p>
    <w:p>
      <w:pPr>
        <w:pStyle w:val="Heading2"/>
        <w:spacing w:after="100" w:before="240"/>
      </w:pPr>
      <w:r>
        <w:rPr>
          <w:b/>
          <w:bCs/>
          <w:color w:val="1A2233"/>
          <w:sz w:val="25"/>
          <w:szCs w:val="25"/>
        </w:rPr>
        <w:t xml:space="preserve">3.1 Authentication &amp; Access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FR-AUTH-01</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provide a login page authenticating users by email and password.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FR-AUTH-02</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support two authentication sources per user: Local (password held as a salted hash) and Active Directory (validated by LDAP bind); no AD password is stored.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FR-AUTH-03</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connect to the configured domain controller over LDAP/LDAPS to validate AD credentials.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FR-AUTH-04</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maintain an authenticated session via a secure, HttpOnly cookie with an 8-hour sliding expiry.</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FR-AUTH-05</w:t>
            </w:r>
          </w:p>
        </w:tc>
        <w:tc>
          <w:tcPr>
            <w:tcW w:type="dxa" w:w="6270"/>
            <w:shd w:fill="EEF1F6" w:val="clear"/>
            <w:tcMar>
              <w:top w:type="dxa" w:w="60"/>
              <w:left w:type="dxa" w:w="110"/>
              <w:bottom w:type="dxa" w:w="60"/>
              <w:right w:type="dxa" w:w="110"/>
            </w:tcMar>
          </w:tcPr>
          <w:p>
            <w:pPr>
              <w:spacing w:after="0" w:line="252"/>
            </w:pPr>
            <w:r>
              <w:rPr>
                <w:sz w:val="20"/>
                <w:szCs w:val="20"/>
              </w:rPr>
              <w:t xml:space="preserve">Provisioning: a bootstrap local administrator signs in first and creates further administrators (optionally linked to AD), after which AD administrators manage the application.</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FR-AUTH-06</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restrict administrative functions to the Administrator role, redirect unauthenticated users to the login page, and unauthorized users to an access-denied page.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FR-AUTH-07</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allow a user to log out, terminating the session.</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3.2 User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FR-USR-01</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shall create, view, edit and activate/deactivate user accounts.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FR-USR-02</w:t>
            </w:r>
          </w:p>
        </w:tc>
        <w:tc>
          <w:tcPr>
            <w:tcW w:type="dxa" w:w="6270"/>
            <w:shd w:fill="FFFFFF" w:val="clear"/>
            <w:tcMar>
              <w:top w:type="dxa" w:w="60"/>
              <w:left w:type="dxa" w:w="110"/>
              <w:bottom w:type="dxa" w:w="60"/>
              <w:right w:type="dxa" w:w="110"/>
            </w:tcMar>
          </w:tcPr>
          <w:p>
            <w:pPr>
              <w:spacing w:after="0" w:line="252"/>
            </w:pPr>
            <w:r>
              <w:rPr>
                <w:sz w:val="20"/>
                <w:szCs w:val="20"/>
              </w:rPr>
              <w:t xml:space="preserve">A user record shall capture: username, full name, designation, email (unique, valid format), user type (Administrator / Normal User), authentication source, AD login (when AD), active flag and an optional photo.</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FR-USR-03</w:t>
            </w:r>
          </w:p>
        </w:tc>
        <w:tc>
          <w:tcPr>
            <w:tcW w:type="dxa" w:w="6270"/>
            <w:shd w:fill="EEF1F6" w:val="clear"/>
            <w:tcMar>
              <w:top w:type="dxa" w:w="60"/>
              <w:left w:type="dxa" w:w="110"/>
              <w:bottom w:type="dxa" w:w="60"/>
              <w:right w:type="dxa" w:w="110"/>
            </w:tcMar>
          </w:tcPr>
          <w:p>
            <w:pPr>
              <w:spacing w:after="0" w:line="252"/>
            </w:pPr>
            <w:r>
              <w:rPr>
                <w:sz w:val="20"/>
                <w:szCs w:val="20"/>
              </w:rPr>
              <w:t xml:space="preserve">A user shall be assignable to one or more Business Units; a Normal User shall only access data for their assigned Business Units.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FR-USR-04</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reject a duplicate or malformed email on user create/edit.</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FR-USR-05</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may upload or replace a user photo (image, up to 2 MB).</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FR-USR-06</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record the creator/modifier and timestamps for each user.</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3.3 Business Unit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FR-BU-01</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shall create, view and edit Business Units.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FR-BU-02</w:t>
            </w:r>
          </w:p>
        </w:tc>
        <w:tc>
          <w:tcPr>
            <w:tcW w:type="dxa" w:w="6270"/>
            <w:shd w:fill="FFFFFF" w:val="clear"/>
            <w:tcMar>
              <w:top w:type="dxa" w:w="60"/>
              <w:left w:type="dxa" w:w="110"/>
              <w:bottom w:type="dxa" w:w="60"/>
              <w:right w:type="dxa" w:w="110"/>
            </w:tcMar>
          </w:tcPr>
          <w:p>
            <w:pPr>
              <w:spacing w:after="0" w:line="252"/>
            </w:pPr>
            <w:r>
              <w:rPr>
                <w:sz w:val="20"/>
                <w:szCs w:val="20"/>
              </w:rPr>
              <w:t xml:space="preserve">A Business Unit shall have a unique name and a code; if the code is left blank it shall be auto-generated from the name initials and made unique.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FR-BU-03</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may upload or replace a Business Unit logo (image, up to 2 MB).</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FR-BU-04</w:t>
            </w:r>
          </w:p>
        </w:tc>
        <w:tc>
          <w:tcPr>
            <w:tcW w:type="dxa" w:w="6270"/>
            <w:shd w:fill="FFFFFF" w:val="clear"/>
            <w:tcMar>
              <w:top w:type="dxa" w:w="60"/>
              <w:left w:type="dxa" w:w="110"/>
              <w:bottom w:type="dxa" w:w="60"/>
              <w:right w:type="dxa" w:w="110"/>
            </w:tcMar>
          </w:tcPr>
          <w:p>
            <w:pPr>
              <w:spacing w:after="0" w:line="252"/>
            </w:pPr>
            <w:r>
              <w:rPr>
                <w:sz w:val="20"/>
                <w:szCs w:val="20"/>
              </w:rPr>
              <w:t xml:space="preserve">Business Unit logos shall be displayed with the unit name wherever units are listed.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Low</w:t>
            </w:r>
          </w:p>
        </w:tc>
      </w:tr>
    </w:tbl>
    <w:p>
      <w:pPr>
        <w:spacing w:after="80"/>
      </w:pPr>
    </w:p>
    <w:p>
      <w:pPr>
        <w:pStyle w:val="Heading2"/>
        <w:spacing w:after="100" w:before="240"/>
      </w:pPr>
      <w:r>
        <w:rPr>
          <w:b/>
          <w:bCs/>
          <w:color w:val="1A2233"/>
          <w:sz w:val="25"/>
          <w:szCs w:val="25"/>
        </w:rPr>
        <w:t xml:space="preserve">3.4 Supplier Master Data &amp; Registration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FR-SUP-01</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capture supplier master data through a four-step wizard: (1) Business/Organization, (2) Contact, (3) Payment/Banking, (4) Site/Business Unit (field layout in Appendix 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FR-SUP-02</w:t>
            </w:r>
          </w:p>
        </w:tc>
        <w:tc>
          <w:tcPr>
            <w:tcW w:type="dxa" w:w="6270"/>
            <w:shd w:fill="FFFFFF" w:val="clear"/>
            <w:tcMar>
              <w:top w:type="dxa" w:w="60"/>
              <w:left w:type="dxa" w:w="110"/>
              <w:bottom w:type="dxa" w:w="60"/>
              <w:right w:type="dxa" w:w="110"/>
            </w:tcMar>
          </w:tcPr>
          <w:p>
            <w:pPr>
              <w:spacing w:after="0" w:line="252"/>
            </w:pPr>
            <w:r>
              <w:rPr>
                <w:sz w:val="20"/>
                <w:szCs w:val="20"/>
              </w:rPr>
              <w:t xml:space="preserve">Each supplier shall belong to a Business Unit, with a supplier number auto-generated from that unit on first save.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FR-SUP-03</w:t>
            </w:r>
          </w:p>
        </w:tc>
        <w:tc>
          <w:tcPr>
            <w:tcW w:type="dxa" w:w="6270"/>
            <w:shd w:fill="EEF1F6" w:val="clear"/>
            <w:tcMar>
              <w:top w:type="dxa" w:w="60"/>
              <w:left w:type="dxa" w:w="110"/>
              <w:bottom w:type="dxa" w:w="60"/>
              <w:right w:type="dxa" w:w="110"/>
            </w:tcMar>
          </w:tcPr>
          <w:p>
            <w:pPr>
              <w:spacing w:after="0" w:line="252"/>
            </w:pPr>
            <w:r>
              <w:rPr>
                <w:sz w:val="20"/>
                <w:szCs w:val="20"/>
              </w:rPr>
              <w:t xml:space="preserve">A supplier may be saved as a draft and completed later; advancing each step persists progress.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FR-SUP-04</w:t>
            </w:r>
          </w:p>
        </w:tc>
        <w:tc>
          <w:tcPr>
            <w:tcW w:type="dxa" w:w="6270"/>
            <w:shd w:fill="FFFFFF" w:val="clear"/>
            <w:tcMar>
              <w:top w:type="dxa" w:w="60"/>
              <w:left w:type="dxa" w:w="110"/>
              <w:bottom w:type="dxa" w:w="60"/>
              <w:right w:type="dxa" w:w="110"/>
            </w:tcMar>
          </w:tcPr>
          <w:p>
            <w:pPr>
              <w:spacing w:after="0" w:line="252"/>
            </w:pPr>
            <w:r>
              <w:rPr>
                <w:sz w:val="20"/>
                <w:szCs w:val="20"/>
              </w:rPr>
              <w:t xml:space="preserve">Coded fields shall use configurable Lists of Values (Appendix A): organization type, supplier type, country, province, VAT code, payment method, payment terms, prefix, currency, business relationship and communication method.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FR-SUP-05</w:t>
            </w:r>
          </w:p>
        </w:tc>
        <w:tc>
          <w:tcPr>
            <w:tcW w:type="dxa" w:w="6270"/>
            <w:shd w:fill="EEF1F6" w:val="clear"/>
            <w:tcMar>
              <w:top w:type="dxa" w:w="60"/>
              <w:left w:type="dxa" w:w="110"/>
              <w:bottom w:type="dxa" w:w="60"/>
              <w:right w:type="dxa" w:w="110"/>
            </w:tcMar>
          </w:tcPr>
          <w:p>
            <w:pPr>
              <w:spacing w:after="0" w:line="252"/>
            </w:pPr>
            <w:r>
              <w:rPr>
                <w:sz w:val="20"/>
                <w:szCs w:val="20"/>
              </w:rPr>
              <w:t xml:space="preserve">Banking capture shall include bank and a dependent (cascading) branch, account name/number, account currency, SWIFT/BIC and IBAN.</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FR-SUP-06</w:t>
            </w:r>
          </w:p>
        </w:tc>
        <w:tc>
          <w:tcPr>
            <w:tcW w:type="dxa" w:w="6270"/>
            <w:shd w:fill="FFFFFF" w:val="clear"/>
            <w:tcMar>
              <w:top w:type="dxa" w:w="60"/>
              <w:left w:type="dxa" w:w="110"/>
              <w:bottom w:type="dxa" w:w="60"/>
              <w:right w:type="dxa" w:w="110"/>
            </w:tcMar>
          </w:tcPr>
          <w:p>
            <w:pPr>
              <w:spacing w:after="0" w:line="252"/>
            </w:pPr>
            <w:r>
              <w:rPr>
                <w:sz w:val="20"/>
                <w:szCs w:val="20"/>
              </w:rPr>
              <w:t xml:space="preserve">For a new supplier the wizard shall pre-default UAE-centric values (country and +971 phone code).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Low</w:t>
            </w:r>
          </w:p>
        </w:tc>
      </w:tr>
    </w:tbl>
    <w:p>
      <w:pPr>
        <w:spacing w:after="80"/>
      </w:pPr>
    </w:p>
    <w:p>
      <w:pPr>
        <w:pStyle w:val="Heading2"/>
        <w:spacing w:after="100" w:before="240"/>
      </w:pPr>
      <w:r>
        <w:rPr>
          <w:b/>
          <w:bCs/>
          <w:color w:val="1A2233"/>
          <w:sz w:val="25"/>
          <w:szCs w:val="25"/>
        </w:rPr>
        <w:t xml:space="preserve">3.5 Supplier Field Settings (Configurable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FR-CFG-01</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shall configure, per supplier field, whether it is mandatory and whether it is visible to the supplier in self-service.</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FR-CFG-02</w:t>
            </w:r>
          </w:p>
        </w:tc>
        <w:tc>
          <w:tcPr>
            <w:tcW w:type="dxa" w:w="6270"/>
            <w:shd w:fill="FFFFFF" w:val="clear"/>
            <w:tcMar>
              <w:top w:type="dxa" w:w="60"/>
              <w:left w:type="dxa" w:w="110"/>
              <w:bottom w:type="dxa" w:w="60"/>
              <w:right w:type="dxa" w:w="110"/>
            </w:tcMar>
          </w:tcPr>
          <w:p>
            <w:pPr>
              <w:spacing w:after="0" w:line="252"/>
            </w:pPr>
            <w:r>
              <w:rPr>
                <w:sz w:val="20"/>
                <w:szCs w:val="20"/>
              </w:rPr>
              <w:t xml:space="preserve">A field marked not visible to the supplier shall automatically be treated as optional.</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FR-CFG-03</w:t>
            </w:r>
          </w:p>
        </w:tc>
        <w:tc>
          <w:tcPr>
            <w:tcW w:type="dxa" w:w="6270"/>
            <w:shd w:fill="EEF1F6" w:val="clear"/>
            <w:tcMar>
              <w:top w:type="dxa" w:w="60"/>
              <w:left w:type="dxa" w:w="110"/>
              <w:bottom w:type="dxa" w:w="60"/>
              <w:right w:type="dxa" w:w="110"/>
            </w:tcMar>
          </w:tcPr>
          <w:p>
            <w:pPr>
              <w:spacing w:after="0" w:line="252"/>
            </w:pPr>
            <w:r>
              <w:rPr>
                <w:sz w:val="20"/>
                <w:szCs w:val="20"/>
              </w:rPr>
              <w:t xml:space="preserve">Mandatory and visibility settings shall drive field validation and rendering consistently in both the internal form and the self-service portal.</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FR-CFG-04</w:t>
            </w:r>
          </w:p>
        </w:tc>
        <w:tc>
          <w:tcPr>
            <w:tcW w:type="dxa" w:w="6270"/>
            <w:shd w:fill="FFFFFF" w:val="clear"/>
            <w:tcMar>
              <w:top w:type="dxa" w:w="60"/>
              <w:left w:type="dxa" w:w="110"/>
              <w:bottom w:type="dxa" w:w="60"/>
              <w:right w:type="dxa" w:w="110"/>
            </w:tcMar>
          </w:tcPr>
          <w:p>
            <w:pPr>
              <w:spacing w:after="0" w:line="252"/>
            </w:pPr>
            <w:r>
              <w:rPr>
                <w:sz w:val="20"/>
                <w:szCs w:val="20"/>
              </w:rPr>
              <w:t xml:space="preserve">An administrator shall configure the number of supplier records shown per page on the dashboard.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bl>
    <w:p>
      <w:pPr>
        <w:spacing w:after="80"/>
      </w:pPr>
    </w:p>
    <w:p>
      <w:pPr>
        <w:pStyle w:val="Heading2"/>
        <w:spacing w:after="100" w:before="240"/>
      </w:pPr>
      <w:r>
        <w:rPr>
          <w:b/>
          <w:bCs/>
          <w:color w:val="1A2233"/>
          <w:sz w:val="25"/>
          <w:szCs w:val="25"/>
        </w:rPr>
        <w:t xml:space="preserve">3.6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FR-DOC-01</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allow uploading supplier documents of type Trade License, VAT Certificate, Bank Confirmation Letter and Other.</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FR-DOC-02</w:t>
            </w:r>
          </w:p>
        </w:tc>
        <w:tc>
          <w:tcPr>
            <w:tcW w:type="dxa" w:w="6270"/>
            <w:shd w:fill="FFFFFF" w:val="clear"/>
            <w:tcMar>
              <w:top w:type="dxa" w:w="60"/>
              <w:left w:type="dxa" w:w="110"/>
              <w:bottom w:type="dxa" w:w="60"/>
              <w:right w:type="dxa" w:w="110"/>
            </w:tcMar>
          </w:tcPr>
          <w:p>
            <w:pPr>
              <w:spacing w:after="0" w:line="252"/>
            </w:pPr>
            <w:r>
              <w:rPr>
                <w:sz w:val="20"/>
                <w:szCs w:val="20"/>
              </w:rPr>
              <w:t xml:space="preserve">Trade License and VAT Certificate shall be single-slot (a new upload replaces the previous one); Other documents shall accumulate.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FR-DOC-03</w:t>
            </w:r>
          </w:p>
        </w:tc>
        <w:tc>
          <w:tcPr>
            <w:tcW w:type="dxa" w:w="6270"/>
            <w:shd w:fill="EEF1F6" w:val="clear"/>
            <w:tcMar>
              <w:top w:type="dxa" w:w="60"/>
              <w:left w:type="dxa" w:w="110"/>
              <w:bottom w:type="dxa" w:w="60"/>
              <w:right w:type="dxa" w:w="110"/>
            </w:tcMar>
          </w:tcPr>
          <w:p>
            <w:pPr>
              <w:spacing w:after="0" w:line="252"/>
            </w:pPr>
            <w:r>
              <w:rPr>
                <w:sz w:val="20"/>
                <w:szCs w:val="20"/>
              </w:rPr>
              <w:t xml:space="preserve">On uploading a VAT Certificate or Trade License PDF, the system shall attempt to extract the TRN (15-digit) / trade-license number and pre-fill the corresponding field.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FR-DOC-04</w:t>
            </w:r>
          </w:p>
        </w:tc>
        <w:tc>
          <w:tcPr>
            <w:tcW w:type="dxa" w:w="6270"/>
            <w:shd w:fill="FFFFFF" w:val="clear"/>
            <w:tcMar>
              <w:top w:type="dxa" w:w="60"/>
              <w:left w:type="dxa" w:w="110"/>
              <w:bottom w:type="dxa" w:w="60"/>
              <w:right w:type="dxa" w:w="110"/>
            </w:tcMar>
          </w:tcPr>
          <w:p>
            <w:pPr>
              <w:spacing w:after="0" w:line="252"/>
            </w:pPr>
            <w:r>
              <w:rPr>
                <w:sz w:val="20"/>
                <w:szCs w:val="20"/>
              </w:rPr>
              <w:t xml:space="preserve">Uploaded files shall be limited to 10 MB and stored on the server file system (never directly web-served); only document metadata is held in the database.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FR-DOC-05</w:t>
            </w:r>
          </w:p>
        </w:tc>
        <w:tc>
          <w:tcPr>
            <w:tcW w:type="dxa" w:w="6270"/>
            <w:shd w:fill="EEF1F6" w:val="clear"/>
            <w:tcMar>
              <w:top w:type="dxa" w:w="60"/>
              <w:left w:type="dxa" w:w="110"/>
              <w:bottom w:type="dxa" w:w="60"/>
              <w:right w:type="dxa" w:w="110"/>
            </w:tcMar>
          </w:tcPr>
          <w:p>
            <w:pPr>
              <w:spacing w:after="0" w:line="252"/>
            </w:pPr>
            <w:r>
              <w:rPr>
                <w:sz w:val="20"/>
                <w:szCs w:val="20"/>
              </w:rPr>
              <w:t xml:space="preserve">Supplier image attachments shall be combinable into a single PDF or Excel export.</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Low</w:t>
            </w:r>
          </w:p>
        </w:tc>
      </w:tr>
    </w:tbl>
    <w:p>
      <w:pPr>
        <w:spacing w:after="80"/>
      </w:pPr>
    </w:p>
    <w:p>
      <w:pPr>
        <w:pStyle w:val="Heading2"/>
        <w:spacing w:after="100" w:before="240"/>
      </w:pPr>
      <w:r>
        <w:rPr>
          <w:b/>
          <w:bCs/>
          <w:color w:val="1A2233"/>
          <w:sz w:val="25"/>
          <w:szCs w:val="25"/>
        </w:rPr>
        <w:t xml:space="preserve">3.7 Data Validation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FR-VAL-01</w:t>
            </w:r>
          </w:p>
        </w:tc>
        <w:tc>
          <w:tcPr>
            <w:tcW w:type="dxa" w:w="6270"/>
            <w:shd w:fill="EEF1F6" w:val="clear"/>
            <w:tcMar>
              <w:top w:type="dxa" w:w="60"/>
              <w:left w:type="dxa" w:w="110"/>
              <w:bottom w:type="dxa" w:w="60"/>
              <w:right w:type="dxa" w:w="110"/>
            </w:tcMar>
          </w:tcPr>
          <w:p>
            <w:pPr>
              <w:spacing w:after="0" w:line="252"/>
            </w:pPr>
            <w:r>
              <w:rPr>
                <w:sz w:val="20"/>
                <w:szCs w:val="20"/>
              </w:rPr>
              <w:t xml:space="preserve">All mandatory and supplier-visible fields must be completed before a wizard step is advanced or a supplier is submitted.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FR-VAL-02</w:t>
            </w:r>
          </w:p>
        </w:tc>
        <w:tc>
          <w:tcPr>
            <w:tcW w:type="dxa" w:w="6270"/>
            <w:shd w:fill="FFFFFF" w:val="clear"/>
            <w:tcMar>
              <w:top w:type="dxa" w:w="60"/>
              <w:left w:type="dxa" w:w="110"/>
              <w:bottom w:type="dxa" w:w="60"/>
              <w:right w:type="dxa" w:w="110"/>
            </w:tcMar>
          </w:tcPr>
          <w:p>
            <w:pPr>
              <w:spacing w:after="0" w:line="252"/>
            </w:pPr>
            <w:r>
              <w:rPr>
                <w:sz w:val="20"/>
                <w:szCs w:val="20"/>
              </w:rPr>
              <w:t xml:space="preserve">Every email field (Business, Contact, Remit Advice, Communication, Remittance) shall be validated for correct email format wherever it is entered.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FR-VAL-03</w:t>
            </w:r>
          </w:p>
        </w:tc>
        <w:tc>
          <w:tcPr>
            <w:tcW w:type="dxa" w:w="6270"/>
            <w:shd w:fill="EEF1F6" w:val="clear"/>
            <w:tcMar>
              <w:top w:type="dxa" w:w="60"/>
              <w:left w:type="dxa" w:w="110"/>
              <w:bottom w:type="dxa" w:w="60"/>
              <w:right w:type="dxa" w:w="110"/>
            </w:tcMar>
          </w:tcPr>
          <w:p>
            <w:pPr>
              <w:spacing w:after="0" w:line="252"/>
            </w:pPr>
            <w:r>
              <w:rPr>
                <w:sz w:val="20"/>
                <w:szCs w:val="20"/>
              </w:rPr>
              <w:t xml:space="preserve">A Trade License document must be attached before a supplier can be submitted.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FR-VAL-04</w:t>
            </w:r>
          </w:p>
        </w:tc>
        <w:tc>
          <w:tcPr>
            <w:tcW w:type="dxa" w:w="6270"/>
            <w:shd w:fill="FFFFFF" w:val="clear"/>
            <w:tcMar>
              <w:top w:type="dxa" w:w="60"/>
              <w:left w:type="dxa" w:w="110"/>
              <w:bottom w:type="dxa" w:w="60"/>
              <w:right w:type="dxa" w:w="110"/>
            </w:tcMar>
          </w:tcPr>
          <w:p>
            <w:pPr>
              <w:spacing w:after="0" w:line="252"/>
            </w:pPr>
            <w:r>
              <w:rPr>
                <w:sz w:val="20"/>
                <w:szCs w:val="20"/>
              </w:rPr>
              <w:t xml:space="preserve">When an existing (non-draft) supplier changes or adds a bank account, a Bank Confirmation Letter must be attached before saving/submitting.</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FR-VAL-05</w:t>
            </w:r>
          </w:p>
        </w:tc>
        <w:tc>
          <w:tcPr>
            <w:tcW w:type="dxa" w:w="6270"/>
            <w:shd w:fill="EEF1F6" w:val="clear"/>
            <w:tcMar>
              <w:top w:type="dxa" w:w="60"/>
              <w:left w:type="dxa" w:w="110"/>
              <w:bottom w:type="dxa" w:w="60"/>
              <w:right w:type="dxa" w:w="110"/>
            </w:tcMar>
          </w:tcPr>
          <w:p>
            <w:pPr>
              <w:spacing w:after="0" w:line="252"/>
            </w:pPr>
            <w:r>
              <w:rPr>
                <w:sz w:val="20"/>
                <w:szCs w:val="20"/>
              </w:rPr>
              <w:t xml:space="preserve">The REST API shall enforce validation server-side, independently of any client-side checks.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3.8 Workflow &amp; Status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FR-WF-01</w:t>
            </w:r>
          </w:p>
        </w:tc>
        <w:tc>
          <w:tcPr>
            <w:tcW w:type="dxa" w:w="6270"/>
            <w:shd w:fill="EEF1F6" w:val="clear"/>
            <w:tcMar>
              <w:top w:type="dxa" w:w="60"/>
              <w:left w:type="dxa" w:w="110"/>
              <w:bottom w:type="dxa" w:w="60"/>
              <w:right w:type="dxa" w:w="110"/>
            </w:tcMar>
          </w:tcPr>
          <w:p>
            <w:pPr>
              <w:spacing w:after="0" w:line="252"/>
            </w:pPr>
            <w:r>
              <w:rPr>
                <w:sz w:val="20"/>
                <w:szCs w:val="20"/>
              </w:rPr>
              <w:t xml:space="preserve">A supplier shall carry a workflow status of: Not Submitted, Awaiting Supplier Response, For Review, or Completes.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FR-WF-02</w:t>
            </w:r>
          </w:p>
        </w:tc>
        <w:tc>
          <w:tcPr>
            <w:tcW w:type="dxa" w:w="6270"/>
            <w:shd w:fill="FFFFFF" w:val="clear"/>
            <w:tcMar>
              <w:top w:type="dxa" w:w="60"/>
              <w:left w:type="dxa" w:w="110"/>
              <w:bottom w:type="dxa" w:w="60"/>
              <w:right w:type="dxa" w:w="110"/>
            </w:tcMar>
          </w:tcPr>
          <w:p>
            <w:pPr>
              <w:spacing w:after="0" w:line="252"/>
            </w:pPr>
            <w:r>
              <w:rPr>
                <w:sz w:val="20"/>
                <w:szCs w:val="20"/>
              </w:rPr>
              <w:t xml:space="preserve">Sending a self-service invitation to a supplier shall set the status to Awaiting Supplier Response.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FR-WF-03</w:t>
            </w:r>
          </w:p>
        </w:tc>
        <w:tc>
          <w:tcPr>
            <w:tcW w:type="dxa" w:w="6270"/>
            <w:shd w:fill="EEF1F6" w:val="clear"/>
            <w:tcMar>
              <w:top w:type="dxa" w:w="60"/>
              <w:left w:type="dxa" w:w="110"/>
              <w:bottom w:type="dxa" w:w="60"/>
              <w:right w:type="dxa" w:w="110"/>
            </w:tcMar>
          </w:tcPr>
          <w:p>
            <w:pPr>
              <w:spacing w:after="0" w:line="252"/>
            </w:pPr>
            <w:r>
              <w:rPr>
                <w:sz w:val="20"/>
                <w:szCs w:val="20"/>
              </w:rPr>
              <w:t xml:space="preserve">A supplier self-service submission shall set the status to For Review and record which fields the supplier changed.</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FR-WF-04</w:t>
            </w:r>
          </w:p>
        </w:tc>
        <w:tc>
          <w:tcPr>
            <w:tcW w:type="dxa" w:w="6270"/>
            <w:shd w:fill="FFFFFF" w:val="clear"/>
            <w:tcMar>
              <w:top w:type="dxa" w:w="60"/>
              <w:left w:type="dxa" w:w="110"/>
              <w:bottom w:type="dxa" w:w="60"/>
              <w:right w:type="dxa" w:w="110"/>
            </w:tcMar>
          </w:tcPr>
          <w:p>
            <w:pPr>
              <w:spacing w:after="0" w:line="252"/>
            </w:pPr>
            <w:r>
              <w:rPr>
                <w:sz w:val="20"/>
                <w:szCs w:val="20"/>
              </w:rPr>
              <w:t xml:space="preserve">An administrator shall be able to mark a supplier Complete; doing so shall immediately expire all active self-service links and sessions for that supplier.</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FR-WF-05</w:t>
            </w:r>
          </w:p>
        </w:tc>
        <w:tc>
          <w:tcPr>
            <w:tcW w:type="dxa" w:w="6270"/>
            <w:shd w:fill="EEF1F6" w:val="clear"/>
            <w:tcMar>
              <w:top w:type="dxa" w:w="60"/>
              <w:left w:type="dxa" w:w="110"/>
              <w:bottom w:type="dxa" w:w="60"/>
              <w:right w:type="dxa" w:w="110"/>
            </w:tcMar>
          </w:tcPr>
          <w:p>
            <w:pPr>
              <w:spacing w:after="0" w:line="252"/>
            </w:pPr>
            <w:r>
              <w:rPr>
                <w:sz w:val="20"/>
                <w:szCs w:val="20"/>
              </w:rPr>
              <w:t xml:space="preserve">After completion the supplier link shall remain expired until the business sends a new invitation, which returns the status to Awaiting Supplier Response.</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3.9 Manage Supplier Dashboard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FR-DSH-01</w:t>
            </w:r>
          </w:p>
        </w:tc>
        <w:tc>
          <w:tcPr>
            <w:tcW w:type="dxa" w:w="6270"/>
            <w:shd w:fill="EEF1F6" w:val="clear"/>
            <w:tcMar>
              <w:top w:type="dxa" w:w="60"/>
              <w:left w:type="dxa" w:w="110"/>
              <w:bottom w:type="dxa" w:w="60"/>
              <w:right w:type="dxa" w:w="110"/>
            </w:tcMar>
          </w:tcPr>
          <w:p>
            <w:pPr>
              <w:spacing w:after="0" w:line="252"/>
            </w:pPr>
            <w:r>
              <w:rPr>
                <w:sz w:val="20"/>
                <w:szCs w:val="20"/>
              </w:rPr>
              <w:t xml:space="preserve">The dashboard shall list suppliers showing Supplier Number, Supplier Name, First Name, Contact Email, Status and row Actions.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FR-DSH-02</w:t>
            </w:r>
          </w:p>
        </w:tc>
        <w:tc>
          <w:tcPr>
            <w:tcW w:type="dxa" w:w="6270"/>
            <w:shd w:fill="FFFFFF" w:val="clear"/>
            <w:tcMar>
              <w:top w:type="dxa" w:w="60"/>
              <w:left w:type="dxa" w:w="110"/>
              <w:bottom w:type="dxa" w:w="60"/>
              <w:right w:type="dxa" w:w="110"/>
            </w:tcMar>
          </w:tcPr>
          <w:p>
            <w:pPr>
              <w:spacing w:after="0" w:line="252"/>
            </w:pPr>
            <w:r>
              <w:rPr>
                <w:sz w:val="20"/>
                <w:szCs w:val="20"/>
              </w:rPr>
              <w:t xml:space="preserve">Summary tiles shall display counts for Total, Not Submitted, Awaiting Supplier Response, For Review and Completes.</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FR-DSH-03</w:t>
            </w:r>
          </w:p>
        </w:tc>
        <w:tc>
          <w:tcPr>
            <w:tcW w:type="dxa" w:w="6270"/>
            <w:shd w:fill="EEF1F6" w:val="clear"/>
            <w:tcMar>
              <w:top w:type="dxa" w:w="60"/>
              <w:left w:type="dxa" w:w="110"/>
              <w:bottom w:type="dxa" w:w="60"/>
              <w:right w:type="dxa" w:w="110"/>
            </w:tcMar>
          </w:tcPr>
          <w:p>
            <w:pPr>
              <w:spacing w:after="0" w:line="252"/>
            </w:pPr>
            <w:r>
              <w:rPr>
                <w:sz w:val="20"/>
                <w:szCs w:val="20"/>
              </w:rPr>
              <w:t xml:space="preserve">The list shall support a status filter (defaulting to "Not Submitted"), a supplier-name search, and — for administrators — a Business Unit filter.</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FR-DSH-04</w:t>
            </w:r>
          </w:p>
        </w:tc>
        <w:tc>
          <w:tcPr>
            <w:tcW w:type="dxa" w:w="6270"/>
            <w:shd w:fill="FFFFFF" w:val="clear"/>
            <w:tcMar>
              <w:top w:type="dxa" w:w="60"/>
              <w:left w:type="dxa" w:w="110"/>
              <w:bottom w:type="dxa" w:w="60"/>
              <w:right w:type="dxa" w:w="110"/>
            </w:tcMar>
          </w:tcPr>
          <w:p>
            <w:pPr>
              <w:spacing w:after="0" w:line="252"/>
            </w:pPr>
            <w:r>
              <w:rPr>
                <w:sz w:val="20"/>
                <w:szCs w:val="20"/>
              </w:rPr>
              <w:t xml:space="preserve">The list shall be paginated with an administrator-configurable page size and provide activity tabs (Recently Updated / Updated Last Week / Everything Else).</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FR-DSH-05</w:t>
            </w:r>
          </w:p>
        </w:tc>
        <w:tc>
          <w:tcPr>
            <w:tcW w:type="dxa" w:w="6270"/>
            <w:shd w:fill="EEF1F6" w:val="clear"/>
            <w:tcMar>
              <w:top w:type="dxa" w:w="60"/>
              <w:left w:type="dxa" w:w="110"/>
              <w:bottom w:type="dxa" w:w="60"/>
              <w:right w:type="dxa" w:w="110"/>
            </w:tcMar>
          </w:tcPr>
          <w:p>
            <w:pPr>
              <w:spacing w:after="0" w:line="252"/>
            </w:pPr>
            <w:r>
              <w:rPr>
                <w:sz w:val="20"/>
                <w:szCs w:val="20"/>
              </w:rPr>
              <w:t xml:space="preserve">Each row shall provide Edit and Notify actions.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FR-DSH-06</w:t>
            </w:r>
          </w:p>
        </w:tc>
        <w:tc>
          <w:tcPr>
            <w:tcW w:type="dxa" w:w="6270"/>
            <w:shd w:fill="FFFFFF" w:val="clear"/>
            <w:tcMar>
              <w:top w:type="dxa" w:w="60"/>
              <w:left w:type="dxa" w:w="110"/>
              <w:bottom w:type="dxa" w:w="60"/>
              <w:right w:type="dxa" w:w="110"/>
            </w:tcMar>
          </w:tcPr>
          <w:p>
            <w:pPr>
              <w:spacing w:after="0" w:line="252"/>
            </w:pPr>
            <w:r>
              <w:rPr>
                <w:sz w:val="20"/>
                <w:szCs w:val="20"/>
              </w:rPr>
              <w:t xml:space="preserve">Users shall be able to select multiple suppliers for bulk notification.</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FR-DSH-07</w:t>
            </w:r>
          </w:p>
        </w:tc>
        <w:tc>
          <w:tcPr>
            <w:tcW w:type="dxa" w:w="6270"/>
            <w:shd w:fill="EEF1F6" w:val="clear"/>
            <w:tcMar>
              <w:top w:type="dxa" w:w="60"/>
              <w:left w:type="dxa" w:w="110"/>
              <w:bottom w:type="dxa" w:w="60"/>
              <w:right w:type="dxa" w:w="110"/>
            </w:tcMar>
          </w:tcPr>
          <w:p>
            <w:pPr>
              <w:spacing w:after="0" w:line="252"/>
            </w:pPr>
            <w:r>
              <w:rPr>
                <w:sz w:val="20"/>
                <w:szCs w:val="20"/>
              </w:rPr>
              <w:t xml:space="preserve">A Normal User shall only see suppliers within their assigned Business Units.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bl>
    <w:p>
      <w:pPr>
        <w:spacing w:after="80"/>
      </w:pPr>
    </w:p>
    <w:p>
      <w:pPr>
        <w:pStyle w:val="Heading2"/>
        <w:spacing w:after="100" w:before="240"/>
      </w:pPr>
      <w:r>
        <w:rPr>
          <w:b/>
          <w:bCs/>
          <w:color w:val="1A2233"/>
          <w:sz w:val="25"/>
          <w:szCs w:val="25"/>
        </w:rPr>
        <w:t xml:space="preserve">3.10 Notifications &amp; Email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FR-NTF-01</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email a supplier a self-service invitation containing a unique, single-use tokenized link.</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FR-NTF-02</w:t>
            </w:r>
          </w:p>
        </w:tc>
        <w:tc>
          <w:tcPr>
            <w:tcW w:type="dxa" w:w="6270"/>
            <w:shd w:fill="FFFFFF" w:val="clear"/>
            <w:tcMar>
              <w:top w:type="dxa" w:w="60"/>
              <w:left w:type="dxa" w:w="110"/>
              <w:bottom w:type="dxa" w:w="60"/>
              <w:right w:type="dxa" w:w="110"/>
            </w:tcMar>
          </w:tcPr>
          <w:p>
            <w:pPr>
              <w:spacing w:after="0" w:line="252"/>
            </w:pPr>
            <w:r>
              <w:rPr>
                <w:sz w:val="20"/>
                <w:szCs w:val="20"/>
              </w:rPr>
              <w:t xml:space="preserve">The system shall support single-supplier notification, bulk notification of selected suppliers, and Notify All.</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FR-NTF-03</w:t>
            </w:r>
          </w:p>
        </w:tc>
        <w:tc>
          <w:tcPr>
            <w:tcW w:type="dxa" w:w="6270"/>
            <w:shd w:fill="EEF1F6" w:val="clear"/>
            <w:tcMar>
              <w:top w:type="dxa" w:w="60"/>
              <w:left w:type="dxa" w:w="110"/>
              <w:bottom w:type="dxa" w:w="60"/>
              <w:right w:type="dxa" w:w="110"/>
            </w:tcMar>
          </w:tcPr>
          <w:p>
            <w:pPr>
              <w:spacing w:after="0" w:line="252"/>
            </w:pPr>
            <w:r>
              <w:rPr>
                <w:sz w:val="20"/>
                <w:szCs w:val="20"/>
              </w:rPr>
              <w:t xml:space="preserve">Suppliers without a valid Contact Email shall be skipped (not treated as failures), with the skipped count reported to the user.</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FR-NTF-04</w:t>
            </w:r>
          </w:p>
        </w:tc>
        <w:tc>
          <w:tcPr>
            <w:tcW w:type="dxa" w:w="6270"/>
            <w:shd w:fill="FFFFFF" w:val="clear"/>
            <w:tcMar>
              <w:top w:type="dxa" w:w="60"/>
              <w:left w:type="dxa" w:w="110"/>
              <w:bottom w:type="dxa" w:w="60"/>
              <w:right w:type="dxa" w:w="110"/>
            </w:tcMar>
          </w:tcPr>
          <w:p>
            <w:pPr>
              <w:spacing w:after="0" w:line="252"/>
            </w:pPr>
            <w:r>
              <w:rPr>
                <w:sz w:val="20"/>
                <w:szCs w:val="20"/>
              </w:rPr>
              <w:t xml:space="preserve">After a send the system shall display a summary of emails sent, skipped and failed.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FR-NTF-05</w:t>
            </w:r>
          </w:p>
        </w:tc>
        <w:tc>
          <w:tcPr>
            <w:tcW w:type="dxa" w:w="6270"/>
            <w:shd w:fill="EEF1F6" w:val="clear"/>
            <w:tcMar>
              <w:top w:type="dxa" w:w="60"/>
              <w:left w:type="dxa" w:w="110"/>
              <w:bottom w:type="dxa" w:w="60"/>
              <w:right w:type="dxa" w:w="110"/>
            </w:tcMar>
          </w:tcPr>
          <w:p>
            <w:pPr>
              <w:spacing w:after="0" w:line="252"/>
            </w:pPr>
            <w:r>
              <w:rPr>
                <w:sz w:val="20"/>
                <w:szCs w:val="20"/>
              </w:rPr>
              <w:t xml:space="preserve">Each supplier record shall present a history of notifications sent (email history).</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FR-NTF-06</w:t>
            </w:r>
          </w:p>
        </w:tc>
        <w:tc>
          <w:tcPr>
            <w:tcW w:type="dxa" w:w="6270"/>
            <w:shd w:fill="FFFFFF" w:val="clear"/>
            <w:tcMar>
              <w:top w:type="dxa" w:w="60"/>
              <w:left w:type="dxa" w:w="110"/>
              <w:bottom w:type="dxa" w:w="60"/>
              <w:right w:type="dxa" w:w="110"/>
            </w:tcMar>
          </w:tcPr>
          <w:p>
            <w:pPr>
              <w:spacing w:after="0" w:line="252"/>
            </w:pPr>
            <w:r>
              <w:rPr>
                <w:sz w:val="20"/>
                <w:szCs w:val="20"/>
              </w:rPr>
              <w:t xml:space="preserve">Emails shall be delivered via SQL Server Database Mail using the configured profile and HTML templates.</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3.11 Supplier Self-Service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FR-SS-01</w:t>
            </w:r>
          </w:p>
        </w:tc>
        <w:tc>
          <w:tcPr>
            <w:tcW w:type="dxa" w:w="6270"/>
            <w:shd w:fill="EEF1F6" w:val="clear"/>
            <w:tcMar>
              <w:top w:type="dxa" w:w="60"/>
              <w:left w:type="dxa" w:w="110"/>
              <w:bottom w:type="dxa" w:w="60"/>
              <w:right w:type="dxa" w:w="110"/>
            </w:tcMar>
          </w:tcPr>
          <w:p>
            <w:pPr>
              <w:spacing w:after="0" w:line="252"/>
            </w:pPr>
            <w:r>
              <w:rPr>
                <w:sz w:val="20"/>
                <w:szCs w:val="20"/>
              </w:rPr>
              <w:t xml:space="preserve">A supplier shall access their record only via a valid, unexpired tokenized link (14-day validity).</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FR-SS-02</w:t>
            </w:r>
          </w:p>
        </w:tc>
        <w:tc>
          <w:tcPr>
            <w:tcW w:type="dxa" w:w="6270"/>
            <w:shd w:fill="FFFFFF" w:val="clear"/>
            <w:tcMar>
              <w:top w:type="dxa" w:w="60"/>
              <w:left w:type="dxa" w:w="110"/>
              <w:bottom w:type="dxa" w:w="60"/>
              <w:right w:type="dxa" w:w="110"/>
            </w:tcMar>
          </w:tcPr>
          <w:p>
            <w:pPr>
              <w:spacing w:after="0" w:line="252"/>
            </w:pPr>
            <w:r>
              <w:rPr>
                <w:sz w:val="20"/>
                <w:szCs w:val="20"/>
              </w:rPr>
              <w:t xml:space="preserve">On opening the link the supplier shall verify identity with a One-Time Password sent to their Contact Email.</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FR-SS-03</w:t>
            </w:r>
          </w:p>
        </w:tc>
        <w:tc>
          <w:tcPr>
            <w:tcW w:type="dxa" w:w="6270"/>
            <w:shd w:fill="EEF1F6" w:val="clear"/>
            <w:tcMar>
              <w:top w:type="dxa" w:w="60"/>
              <w:left w:type="dxa" w:w="110"/>
              <w:bottom w:type="dxa" w:w="60"/>
              <w:right w:type="dxa" w:w="110"/>
            </w:tcMar>
          </w:tcPr>
          <w:p>
            <w:pPr>
              <w:spacing w:after="0" w:line="252"/>
            </w:pPr>
            <w:r>
              <w:rPr>
                <w:sz w:val="20"/>
                <w:szCs w:val="20"/>
              </w:rPr>
              <w:t xml:space="preserve">The OTP shall be 4 digits, valid for 10 minutes, with at most 5 verification attempts and 5 resends per link.</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FR-SS-04</w:t>
            </w:r>
          </w:p>
        </w:tc>
        <w:tc>
          <w:tcPr>
            <w:tcW w:type="dxa" w:w="6270"/>
            <w:shd w:fill="FFFFFF" w:val="clear"/>
            <w:tcMar>
              <w:top w:type="dxa" w:w="60"/>
              <w:left w:type="dxa" w:w="110"/>
              <w:bottom w:type="dxa" w:w="60"/>
              <w:right w:type="dxa" w:w="110"/>
            </w:tcMar>
          </w:tcPr>
          <w:p>
            <w:pPr>
              <w:spacing w:after="0" w:line="252"/>
            </w:pPr>
            <w:r>
              <w:rPr>
                <w:sz w:val="20"/>
                <w:szCs w:val="20"/>
              </w:rPr>
              <w:t xml:space="preserve">A successful OTP shall grant a time-limited session that authorizes access to that supplier’s own record only.</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FR-SS-05</w:t>
            </w:r>
          </w:p>
        </w:tc>
        <w:tc>
          <w:tcPr>
            <w:tcW w:type="dxa" w:w="6270"/>
            <w:shd w:fill="EEF1F6" w:val="clear"/>
            <w:tcMar>
              <w:top w:type="dxa" w:w="60"/>
              <w:left w:type="dxa" w:w="110"/>
              <w:bottom w:type="dxa" w:w="60"/>
              <w:right w:type="dxa" w:w="110"/>
            </w:tcMar>
          </w:tcPr>
          <w:p>
            <w:pPr>
              <w:spacing w:after="0" w:line="252"/>
            </w:pPr>
            <w:r>
              <w:rPr>
                <w:sz w:val="20"/>
                <w:szCs w:val="20"/>
              </w:rPr>
              <w:t xml:space="preserve">The supplier shall review and update their data through the same 4-step wizard, seeing only fields marked visible to suppliers.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FR-SS-06</w:t>
            </w:r>
          </w:p>
        </w:tc>
        <w:tc>
          <w:tcPr>
            <w:tcW w:type="dxa" w:w="6270"/>
            <w:shd w:fill="FFFFFF" w:val="clear"/>
            <w:tcMar>
              <w:top w:type="dxa" w:w="60"/>
              <w:left w:type="dxa" w:w="110"/>
              <w:bottom w:type="dxa" w:w="60"/>
              <w:right w:type="dxa" w:w="110"/>
            </w:tcMar>
          </w:tcPr>
          <w:p>
            <w:pPr>
              <w:spacing w:after="0" w:line="252"/>
            </w:pPr>
            <w:r>
              <w:rPr>
                <w:sz w:val="20"/>
                <w:szCs w:val="20"/>
              </w:rPr>
              <w:t xml:space="preserve">Fields edited by the supplier shall be highlighted for administrators and recorded; submission sets the status to For Review.</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FR-SS-07</w:t>
            </w:r>
          </w:p>
        </w:tc>
        <w:tc>
          <w:tcPr>
            <w:tcW w:type="dxa" w:w="6270"/>
            <w:shd w:fill="EEF1F6" w:val="clear"/>
            <w:tcMar>
              <w:top w:type="dxa" w:w="60"/>
              <w:left w:type="dxa" w:w="110"/>
              <w:bottom w:type="dxa" w:w="60"/>
              <w:right w:type="dxa" w:w="110"/>
            </w:tcMar>
          </w:tcPr>
          <w:p>
            <w:pPr>
              <w:spacing w:after="0" w:line="252"/>
            </w:pPr>
            <w:r>
              <w:rPr>
                <w:sz w:val="20"/>
                <w:szCs w:val="20"/>
              </w:rPr>
              <w:t xml:space="preserve">On submission the original requester shall be notified by email.</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pPr>
        <w:pStyle w:val="Heading2"/>
        <w:spacing w:after="100" w:before="240"/>
      </w:pPr>
      <w:r>
        <w:rPr>
          <w:b/>
          <w:bCs/>
          <w:color w:val="1A2233"/>
          <w:sz w:val="25"/>
          <w:szCs w:val="25"/>
        </w:rPr>
        <w:t xml:space="preserve">3.12 DMZ Self-Service Portal &amp; REST API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FR-ARCH-01</w:t>
            </w:r>
          </w:p>
        </w:tc>
        <w:tc>
          <w:tcPr>
            <w:tcW w:type="dxa" w:w="6270"/>
            <w:shd w:fill="EEF1F6" w:val="clear"/>
            <w:tcMar>
              <w:top w:type="dxa" w:w="60"/>
              <w:left w:type="dxa" w:w="110"/>
              <w:bottom w:type="dxa" w:w="60"/>
              <w:right w:type="dxa" w:w="110"/>
            </w:tcMar>
          </w:tcPr>
          <w:p>
            <w:pPr>
              <w:spacing w:after="0" w:line="252"/>
            </w:pPr>
            <w:r>
              <w:rPr>
                <w:sz w:val="20"/>
                <w:szCs w:val="20"/>
              </w:rPr>
              <w:t xml:space="preserve">The supplier self-service portal shall be deployable as a separate, public-facing (DMZ) application with no direct database access and no database connection string.</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FR-ARCH-02</w:t>
            </w:r>
          </w:p>
        </w:tc>
        <w:tc>
          <w:tcPr>
            <w:tcW w:type="dxa" w:w="6270"/>
            <w:shd w:fill="FFFFFF" w:val="clear"/>
            <w:tcMar>
              <w:top w:type="dxa" w:w="60"/>
              <w:left w:type="dxa" w:w="110"/>
              <w:bottom w:type="dxa" w:w="60"/>
              <w:right w:type="dxa" w:w="110"/>
            </w:tcMar>
          </w:tcPr>
          <w:p>
            <w:pPr>
              <w:spacing w:after="0" w:line="252"/>
            </w:pPr>
            <w:r>
              <w:rPr>
                <w:sz w:val="20"/>
                <w:szCs w:val="20"/>
              </w:rPr>
              <w:t xml:space="preserve">All data exchange between the DMZ portal and the internal system shall occur exclusively through a secured REST API hosted on the internal network.</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FR-ARCH-03</w:t>
            </w:r>
          </w:p>
        </w:tc>
        <w:tc>
          <w:tcPr>
            <w:tcW w:type="dxa" w:w="6270"/>
            <w:shd w:fill="EEF1F6" w:val="clear"/>
            <w:tcMar>
              <w:top w:type="dxa" w:w="60"/>
              <w:left w:type="dxa" w:w="110"/>
              <w:bottom w:type="dxa" w:w="60"/>
              <w:right w:type="dxa" w:w="110"/>
            </w:tcMar>
          </w:tcPr>
          <w:p>
            <w:pPr>
              <w:spacing w:after="0" w:line="252"/>
            </w:pPr>
            <w:r>
              <w:rPr>
                <w:sz w:val="20"/>
                <w:szCs w:val="20"/>
              </w:rPr>
              <w:t xml:space="preserve">The portal shall authenticate to the API using OAuth2 client-credentials; every data request shall additionally carry a per-supplier session token issued after OTP verification.</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FR-ARCH-04</w:t>
            </w:r>
          </w:p>
        </w:tc>
        <w:tc>
          <w:tcPr>
            <w:tcW w:type="dxa" w:w="6270"/>
            <w:shd w:fill="FFFFFF" w:val="clear"/>
            <w:tcMar>
              <w:top w:type="dxa" w:w="60"/>
              <w:left w:type="dxa" w:w="110"/>
              <w:bottom w:type="dxa" w:w="60"/>
              <w:right w:type="dxa" w:w="110"/>
            </w:tcMar>
          </w:tcPr>
          <w:p>
            <w:pPr>
              <w:spacing w:after="0" w:line="252"/>
            </w:pPr>
            <w:r>
              <w:rPr>
                <w:sz w:val="20"/>
                <w:szCs w:val="20"/>
              </w:rPr>
              <w:t xml:space="preserve">The API shall re-validate the supplier session against live database state on every request so that link/session expiry or completion revokes access immediately.</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FR-ARCH-05</w:t>
            </w:r>
          </w:p>
        </w:tc>
        <w:tc>
          <w:tcPr>
            <w:tcW w:type="dxa" w:w="6270"/>
            <w:shd w:fill="EEF1F6" w:val="clear"/>
            <w:tcMar>
              <w:top w:type="dxa" w:w="60"/>
              <w:left w:type="dxa" w:w="110"/>
              <w:bottom w:type="dxa" w:w="60"/>
              <w:right w:type="dxa" w:w="110"/>
            </w:tcMar>
          </w:tcPr>
          <w:p>
            <w:pPr>
              <w:spacing w:after="0" w:line="252"/>
            </w:pPr>
            <w:r>
              <w:rPr>
                <w:sz w:val="20"/>
                <w:szCs w:val="20"/>
              </w:rPr>
              <w:t xml:space="preserve">The API shall apply rate limiting, enforce HTTPS, set security headers, cap request size and validate all input server-side.</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FR-ARCH-06</w:t>
            </w:r>
          </w:p>
        </w:tc>
        <w:tc>
          <w:tcPr>
            <w:tcW w:type="dxa" w:w="6270"/>
            <w:shd w:fill="FFFFFF" w:val="clear"/>
            <w:tcMar>
              <w:top w:type="dxa" w:w="60"/>
              <w:left w:type="dxa" w:w="110"/>
              <w:bottom w:type="dxa" w:w="60"/>
              <w:right w:type="dxa" w:w="110"/>
            </w:tcMar>
          </w:tcPr>
          <w:p>
            <w:pPr>
              <w:spacing w:after="0" w:line="252"/>
            </w:pPr>
            <w:r>
              <w:rPr>
                <w:sz w:val="20"/>
                <w:szCs w:val="20"/>
              </w:rPr>
              <w:t xml:space="preserve">The internal administrative application shall remain intranet-hosted with direct database access, unchanged by the split.</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Mandatory</w:t>
            </w:r>
          </w:p>
        </w:tc>
      </w:tr>
    </w:tbl>
    <w:p>
      <w:pPr>
        <w:spacing w:after="80"/>
      </w:pPr>
    </w:p>
    <w:p>
      <w:pPr>
        <w:pStyle w:val="Heading2"/>
        <w:spacing w:after="100" w:before="240"/>
      </w:pPr>
      <w:r>
        <w:rPr>
          <w:b/>
          <w:bCs/>
          <w:color w:val="1A2233"/>
          <w:sz w:val="25"/>
          <w:szCs w:val="25"/>
        </w:rPr>
        <w:t xml:space="preserve">3.13 Bulk Data Import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FR-IMP-01</w:t>
            </w:r>
          </w:p>
        </w:tc>
        <w:tc>
          <w:tcPr>
            <w:tcW w:type="dxa" w:w="6270"/>
            <w:shd w:fill="EEF1F6" w:val="clear"/>
            <w:tcMar>
              <w:top w:type="dxa" w:w="60"/>
              <w:left w:type="dxa" w:w="110"/>
              <w:bottom w:type="dxa" w:w="60"/>
              <w:right w:type="dxa" w:w="110"/>
            </w:tcMar>
          </w:tcPr>
          <w:p>
            <w:pPr>
              <w:spacing w:after="0" w:line="252"/>
            </w:pPr>
            <w:r>
              <w:rPr>
                <w:sz w:val="20"/>
                <w:szCs w:val="20"/>
              </w:rPr>
              <w:t xml:space="preserve">An administrator shall import suppliers in bulk from an Excel workbook, scoped to a selected Business Unit.</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Mandatory</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FR-IMP-02</w:t>
            </w:r>
          </w:p>
        </w:tc>
        <w:tc>
          <w:tcPr>
            <w:tcW w:type="dxa" w:w="6270"/>
            <w:shd w:fill="FFFFFF" w:val="clear"/>
            <w:tcMar>
              <w:top w:type="dxa" w:w="60"/>
              <w:left w:type="dxa" w:w="110"/>
              <w:bottom w:type="dxa" w:w="60"/>
              <w:right w:type="dxa" w:w="110"/>
            </w:tcMar>
          </w:tcPr>
          <w:p>
            <w:pPr>
              <w:spacing w:after="0" w:line="252"/>
            </w:pPr>
            <w:r>
              <w:rPr>
                <w:sz w:val="20"/>
                <w:szCs w:val="20"/>
              </w:rPr>
              <w:t xml:space="preserve">Import shall require only Supplier Number and Supplier Name; all other fields and lookups shall be optional, with missing or unmatched values producing warnings rather than row rejections.</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FR-IMP-03</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report import results including the number of rows imported and any warnings.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FR-IMP-04</w:t>
            </w:r>
          </w:p>
        </w:tc>
        <w:tc>
          <w:tcPr>
            <w:tcW w:type="dxa" w:w="6270"/>
            <w:shd w:fill="FFFFFF" w:val="clear"/>
            <w:tcMar>
              <w:top w:type="dxa" w:w="60"/>
              <w:left w:type="dxa" w:w="110"/>
              <w:bottom w:type="dxa" w:w="60"/>
              <w:right w:type="dxa" w:w="110"/>
            </w:tcMar>
          </w:tcPr>
          <w:p>
            <w:pPr>
              <w:spacing w:after="0" w:line="252"/>
            </w:pPr>
            <w:r>
              <w:rPr>
                <w:sz w:val="20"/>
                <w:szCs w:val="20"/>
              </w:rPr>
              <w:t xml:space="preserve">The upload shall accept only Excel (.xlsx) files.</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bl>
    <w:p>
      <w:pPr>
        <w:spacing w:after="80"/>
      </w:pPr>
    </w:p>
    <w:p>
      <w:pPr>
        <w:pStyle w:val="Heading2"/>
        <w:spacing w:after="100" w:before="240"/>
      </w:pPr>
      <w:r>
        <w:rPr>
          <w:b/>
          <w:bCs/>
          <w:color w:val="1A2233"/>
          <w:sz w:val="25"/>
          <w:szCs w:val="25"/>
        </w:rPr>
        <w:t xml:space="preserve">3.14 Export &amp; Print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FR-EXP-01</w:t>
            </w:r>
          </w:p>
        </w:tc>
        <w:tc>
          <w:tcPr>
            <w:tcW w:type="dxa" w:w="6270"/>
            <w:shd w:fill="EEF1F6" w:val="clear"/>
            <w:tcMar>
              <w:top w:type="dxa" w:w="60"/>
              <w:left w:type="dxa" w:w="110"/>
              <w:bottom w:type="dxa" w:w="60"/>
              <w:right w:type="dxa" w:w="110"/>
            </w:tcMar>
          </w:tcPr>
          <w:p>
            <w:pPr>
              <w:spacing w:after="0" w:line="252"/>
            </w:pPr>
            <w:r>
              <w:rPr>
                <w:sz w:val="20"/>
                <w:szCs w:val="20"/>
              </w:rPr>
              <w:t xml:space="preserve">The dashboard shall export the supplier list to CSV and to PDF, honoring the current Business Unit filter.</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FR-EXP-02</w:t>
            </w:r>
          </w:p>
        </w:tc>
        <w:tc>
          <w:tcPr>
            <w:tcW w:type="dxa" w:w="6270"/>
            <w:shd w:fill="FFFFFF" w:val="clear"/>
            <w:tcMar>
              <w:top w:type="dxa" w:w="60"/>
              <w:left w:type="dxa" w:w="110"/>
              <w:bottom w:type="dxa" w:w="60"/>
              <w:right w:type="dxa" w:w="110"/>
            </w:tcMar>
          </w:tcPr>
          <w:p>
            <w:pPr>
              <w:spacing w:after="0" w:line="252"/>
            </w:pPr>
            <w:r>
              <w:rPr>
                <w:sz w:val="20"/>
                <w:szCs w:val="20"/>
              </w:rPr>
              <w:t xml:space="preserve">The user shall be able to print the supplier list.</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Medium</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FR-EXP-03</w:t>
            </w:r>
          </w:p>
        </w:tc>
        <w:tc>
          <w:tcPr>
            <w:tcW w:type="dxa" w:w="6270"/>
            <w:shd w:fill="EEF1F6" w:val="clear"/>
            <w:tcMar>
              <w:top w:type="dxa" w:w="60"/>
              <w:left w:type="dxa" w:w="110"/>
              <w:bottom w:type="dxa" w:w="60"/>
              <w:right w:type="dxa" w:w="110"/>
            </w:tcMar>
          </w:tcPr>
          <w:p>
            <w:pPr>
              <w:spacing w:after="0" w:line="252"/>
            </w:pPr>
            <w:r>
              <w:rPr>
                <w:sz w:val="20"/>
                <w:szCs w:val="20"/>
              </w:rPr>
              <w:t xml:space="preserve">Supplier image attachments shall be exportable as a combined PDF or Excel workbook.</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Low</w:t>
            </w:r>
          </w:p>
        </w:tc>
      </w:tr>
    </w:tbl>
    <w:p>
      <w:pPr>
        <w:spacing w:after="80"/>
      </w:pPr>
    </w:p>
    <w:p>
      <w:pPr>
        <w:pStyle w:val="Heading2"/>
        <w:spacing w:after="100" w:before="240"/>
      </w:pPr>
      <w:r>
        <w:rPr>
          <w:b/>
          <w:bCs/>
          <w:color w:val="1A2233"/>
          <w:sz w:val="25"/>
          <w:szCs w:val="25"/>
        </w:rPr>
        <w:t xml:space="preserve">3.15 Audit Trail &amp; Change Tracking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50"/>
        <w:gridCol w:w="6270"/>
        <w:gridCol w:w="1600"/>
      </w:tblGrid>
      <w:tr>
        <w:trPr>
          <w:tblHeader/>
        </w:trPr>
        <w:tc>
          <w:tcPr>
            <w:tcW w:type="dxa" w:w="1150"/>
            <w:shd w:fill="1A2233" w:val="clear"/>
            <w:tcMar>
              <w:top w:type="dxa" w:w="60"/>
              <w:left w:type="dxa" w:w="110"/>
              <w:bottom w:type="dxa" w:w="60"/>
              <w:right w:type="dxa" w:w="110"/>
            </w:tcMar>
          </w:tcPr>
          <w:p>
            <w:pPr>
              <w:spacing w:after="0" w:line="252"/>
            </w:pPr>
            <w:r>
              <w:rPr>
                <w:b/>
                <w:bCs/>
                <w:color w:val="FFFFFF"/>
                <w:sz w:val="20"/>
                <w:szCs w:val="20"/>
              </w:rPr>
              <w:t xml:space="preserve">ID</w:t>
            </w:r>
          </w:p>
        </w:tc>
        <w:tc>
          <w:tcPr>
            <w:tcW w:type="dxa" w:w="6270"/>
            <w:shd w:fill="1A2233" w:val="clear"/>
            <w:tcMar>
              <w:top w:type="dxa" w:w="60"/>
              <w:left w:type="dxa" w:w="110"/>
              <w:bottom w:type="dxa" w:w="60"/>
              <w:right w:type="dxa" w:w="110"/>
            </w:tcMar>
          </w:tcPr>
          <w:p>
            <w:pPr>
              <w:spacing w:after="0" w:line="252"/>
            </w:pPr>
            <w:r>
              <w:rPr>
                <w:b/>
                <w:bCs/>
                <w:color w:val="FFFFFF"/>
                <w:sz w:val="20"/>
                <w:szCs w:val="20"/>
              </w:rPr>
              <w:t xml:space="preserve">Requirement</w:t>
            </w:r>
          </w:p>
        </w:tc>
        <w:tc>
          <w:tcPr>
            <w:tcW w:type="dxa" w:w="1600"/>
            <w:shd w:fill="1A2233" w:val="clear"/>
            <w:tcMar>
              <w:top w:type="dxa" w:w="60"/>
              <w:left w:type="dxa" w:w="110"/>
              <w:bottom w:type="dxa" w:w="60"/>
              <w:right w:type="dxa" w:w="110"/>
            </w:tcMar>
          </w:tcPr>
          <w:p>
            <w:pPr>
              <w:spacing w:after="0" w:line="252"/>
            </w:pPr>
            <w:r>
              <w:rPr>
                <w:b/>
                <w:bCs/>
                <w:color w:val="FFFFFF"/>
                <w:sz w:val="20"/>
                <w:szCs w:val="20"/>
              </w:rPr>
              <w:t xml:space="preserve">Priority</w:t>
            </w:r>
          </w:p>
        </w:tc>
      </w:tr>
      <w:tr>
        <w:tc>
          <w:tcPr>
            <w:tcW w:type="dxa" w:w="1150"/>
            <w:shd w:fill="EEF1F6" w:val="clear"/>
            <w:tcMar>
              <w:top w:type="dxa" w:w="60"/>
              <w:left w:type="dxa" w:w="110"/>
              <w:bottom w:type="dxa" w:w="60"/>
              <w:right w:type="dxa" w:w="110"/>
            </w:tcMar>
          </w:tcPr>
          <w:p>
            <w:pPr>
              <w:spacing w:after="0" w:line="252"/>
            </w:pPr>
            <w:r>
              <w:rPr>
                <w:b/>
                <w:bCs/>
                <w:color w:val="1A2233"/>
                <w:sz w:val="20"/>
                <w:szCs w:val="20"/>
              </w:rPr>
              <w:t xml:space="preserve">FR-AUD-01</w:t>
            </w:r>
          </w:p>
        </w:tc>
        <w:tc>
          <w:tcPr>
            <w:tcW w:type="dxa" w:w="6270"/>
            <w:shd w:fill="EEF1F6" w:val="clear"/>
            <w:tcMar>
              <w:top w:type="dxa" w:w="60"/>
              <w:left w:type="dxa" w:w="110"/>
              <w:bottom w:type="dxa" w:w="60"/>
              <w:right w:type="dxa" w:w="110"/>
            </w:tcMar>
          </w:tcPr>
          <w:p>
            <w:pPr>
              <w:spacing w:after="0" w:line="252"/>
            </w:pPr>
            <w:r>
              <w:rPr>
                <w:sz w:val="20"/>
                <w:szCs w:val="20"/>
              </w:rPr>
              <w:t xml:space="preserve">The system shall maintain an audit log of key actions (create, update, delete, login, logout) capturing actor, entity, timestamp and details.</w:t>
            </w:r>
          </w:p>
        </w:tc>
        <w:tc>
          <w:tcPr>
            <w:tcW w:type="dxa" w:w="1600"/>
            <w:shd w:fill="EEF1F6" w:val="clear"/>
            <w:tcMar>
              <w:top w:type="dxa" w:w="60"/>
              <w:left w:type="dxa" w:w="110"/>
              <w:bottom w:type="dxa" w:w="60"/>
              <w:right w:type="dxa" w:w="110"/>
            </w:tcMar>
          </w:tcPr>
          <w:p>
            <w:pPr>
              <w:spacing w:after="0" w:line="252"/>
              <w:jc w:val="center"/>
            </w:pPr>
            <w:r>
              <w:rPr>
                <w:sz w:val="20"/>
                <w:szCs w:val="20"/>
              </w:rPr>
              <w:t xml:space="preserve">High</w:t>
            </w:r>
          </w:p>
        </w:tc>
      </w:tr>
      <w:tr>
        <w:tc>
          <w:tcPr>
            <w:tcW w:type="dxa" w:w="1150"/>
            <w:shd w:fill="FFFFFF" w:val="clear"/>
            <w:tcMar>
              <w:top w:type="dxa" w:w="60"/>
              <w:left w:type="dxa" w:w="110"/>
              <w:bottom w:type="dxa" w:w="60"/>
              <w:right w:type="dxa" w:w="110"/>
            </w:tcMar>
          </w:tcPr>
          <w:p>
            <w:pPr>
              <w:spacing w:after="0" w:line="252"/>
            </w:pPr>
            <w:r>
              <w:rPr>
                <w:b/>
                <w:bCs/>
                <w:color w:val="1A2233"/>
                <w:sz w:val="20"/>
                <w:szCs w:val="20"/>
              </w:rPr>
              <w:t xml:space="preserve">FR-AUD-02</w:t>
            </w:r>
          </w:p>
        </w:tc>
        <w:tc>
          <w:tcPr>
            <w:tcW w:type="dxa" w:w="6270"/>
            <w:shd w:fill="FFFFFF" w:val="clear"/>
            <w:tcMar>
              <w:top w:type="dxa" w:w="60"/>
              <w:left w:type="dxa" w:w="110"/>
              <w:bottom w:type="dxa" w:w="60"/>
              <w:right w:type="dxa" w:w="110"/>
            </w:tcMar>
          </w:tcPr>
          <w:p>
            <w:pPr>
              <w:spacing w:after="0" w:line="252"/>
            </w:pPr>
            <w:r>
              <w:rPr>
                <w:sz w:val="20"/>
                <w:szCs w:val="20"/>
              </w:rPr>
              <w:t xml:space="preserve">Supplier field changes originating from self-service shall be tracked (field, old value, new value, timestamp) and marked acknowledged when an administrator reviews and saves the record.</w:t>
            </w:r>
          </w:p>
        </w:tc>
        <w:tc>
          <w:tcPr>
            <w:tcW w:type="dxa" w:w="1600"/>
            <w:shd w:fill="FFFFFF" w:val="clear"/>
            <w:tcMar>
              <w:top w:type="dxa" w:w="60"/>
              <w:left w:type="dxa" w:w="110"/>
              <w:bottom w:type="dxa" w:w="60"/>
              <w:right w:type="dxa" w:w="110"/>
            </w:tcMar>
          </w:tcPr>
          <w:p>
            <w:pPr>
              <w:spacing w:after="0" w:line="252"/>
              <w:jc w:val="center"/>
            </w:pPr>
            <w:r>
              <w:rPr>
                <w:sz w:val="20"/>
                <w:szCs w:val="20"/>
              </w:rPr>
              <w:t xml:space="preserve">High</w:t>
            </w:r>
          </w:p>
        </w:tc>
      </w:tr>
    </w:tbl>
    <w:p>
      <w:pPr>
        <w:spacing w:after="80"/>
      </w:pPr>
    </w:p>
    <w:p>
      <w:r>
        <w:br w:type="page"/>
      </w:r>
    </w:p>
    <w:p>
      <w:pPr>
        <w:pStyle w:val="Heading1"/>
        <w:spacing w:after="140" w:before="320"/>
      </w:pPr>
      <w:r>
        <w:rPr>
          <w:b/>
          <w:bCs/>
          <w:color w:val="1A2233"/>
          <w:sz w:val="30"/>
          <w:szCs w:val="30"/>
        </w:rPr>
        <w:t xml:space="preserve">4. Non-Functional Requirements</w:t>
      </w:r>
    </w:p>
    <w:p>
      <w:pPr>
        <w:pStyle w:val="Heading2"/>
        <w:spacing w:after="100" w:before="240"/>
      </w:pPr>
      <w:r>
        <w:rPr>
          <w:b/>
          <w:bCs/>
          <w:color w:val="1A2233"/>
          <w:sz w:val="25"/>
          <w:szCs w:val="25"/>
        </w:rPr>
        <w:t xml:space="preserve">4.1 Security</w:t>
      </w:r>
    </w:p>
    <w:p>
      <w:pPr>
        <w:pStyle w:val="ListParagraph"/>
        <w:numPr>
          <w:ilvl w:val="0"/>
          <w:numId w:val="2"/>
        </w:numPr>
        <w:spacing w:after="60" w:line="264"/>
      </w:pPr>
      <w:r>
        <w:rPr>
          <w:sz w:val="21"/>
          <w:szCs w:val="21"/>
        </w:rPr>
        <w:t xml:space="preserve">Defense in depth: the public DMZ portal holds no database access; all data flows through the internal API which alone reaches the database.</w:t>
      </w:r>
    </w:p>
    <w:p>
      <w:pPr>
        <w:pStyle w:val="ListParagraph"/>
        <w:numPr>
          <w:ilvl w:val="0"/>
          <w:numId w:val="2"/>
        </w:numPr>
        <w:spacing w:after="60" w:line="264"/>
      </w:pPr>
      <w:r>
        <w:rPr>
          <w:sz w:val="21"/>
          <w:szCs w:val="21"/>
        </w:rPr>
        <w:t xml:space="preserve">Two-layer API authorization: OAuth2 client-credentials (portal identity) plus a per-supplier session token, re-validated against the database on each call.</w:t>
      </w:r>
    </w:p>
    <w:p>
      <w:pPr>
        <w:pStyle w:val="ListParagraph"/>
        <w:numPr>
          <w:ilvl w:val="0"/>
          <w:numId w:val="2"/>
        </w:numPr>
        <w:spacing w:after="60" w:line="264"/>
      </w:pPr>
      <w:r>
        <w:rPr>
          <w:sz w:val="21"/>
          <w:szCs w:val="21"/>
        </w:rPr>
        <w:t xml:space="preserve">All transport secured by HTTPS/TLS; HSTS enforced outside development; security headers and a Content-Security-Policy applied on the portal.</w:t>
      </w:r>
    </w:p>
    <w:p>
      <w:pPr>
        <w:pStyle w:val="ListParagraph"/>
        <w:numPr>
          <w:ilvl w:val="0"/>
          <w:numId w:val="2"/>
        </w:numPr>
        <w:spacing w:after="60" w:line="264"/>
      </w:pPr>
      <w:r>
        <w:rPr>
          <w:sz w:val="21"/>
          <w:szCs w:val="21"/>
        </w:rPr>
        <w:t xml:space="preserve">Passwords stored only as salted hashes; AD passwords never stored. OTP brute-force limited (attempts and resends capped).</w:t>
      </w:r>
    </w:p>
    <w:p>
      <w:pPr>
        <w:pStyle w:val="ListParagraph"/>
        <w:numPr>
          <w:ilvl w:val="0"/>
          <w:numId w:val="2"/>
        </w:numPr>
        <w:spacing w:after="60" w:line="264"/>
      </w:pPr>
      <w:r>
        <w:rPr>
          <w:sz w:val="21"/>
          <w:szCs w:val="21"/>
        </w:rPr>
        <w:t xml:space="preserve">Secrets (connection strings, signing keys, client secrets) are held outside source control in environment-specific configuration.</w:t>
      </w:r>
    </w:p>
    <w:p>
      <w:pPr>
        <w:pStyle w:val="ListParagraph"/>
        <w:numPr>
          <w:ilvl w:val="0"/>
          <w:numId w:val="2"/>
        </w:numPr>
        <w:spacing w:after="60" w:line="264"/>
      </w:pPr>
      <w:r>
        <w:rPr>
          <w:sz w:val="21"/>
          <w:szCs w:val="21"/>
        </w:rPr>
        <w:t xml:space="preserve">Rate limiting on token and OTP endpoints; request body size limits; server header suppressed.</w:t>
      </w:r>
    </w:p>
    <w:p>
      <w:pPr>
        <w:pStyle w:val="ListParagraph"/>
        <w:numPr>
          <w:ilvl w:val="0"/>
          <w:numId w:val="2"/>
        </w:numPr>
        <w:spacing w:after="60" w:line="264"/>
      </w:pPr>
      <w:r>
        <w:rPr>
          <w:sz w:val="21"/>
          <w:szCs w:val="21"/>
        </w:rPr>
        <w:t xml:space="preserve">Recommended deployment hardening: mutual TLS and firewall IP allow-listing between the DMZ portal and the API.</w:t>
      </w:r>
    </w:p>
    <w:p>
      <w:pPr>
        <w:pStyle w:val="Heading2"/>
        <w:spacing w:after="100" w:before="240"/>
      </w:pPr>
      <w:r>
        <w:rPr>
          <w:b/>
          <w:bCs/>
          <w:color w:val="1A2233"/>
          <w:sz w:val="25"/>
          <w:szCs w:val="25"/>
        </w:rPr>
        <w:t xml:space="preserve">4.2 Performance &amp; Scalability</w:t>
      </w:r>
    </w:p>
    <w:p>
      <w:pPr>
        <w:pStyle w:val="ListParagraph"/>
        <w:numPr>
          <w:ilvl w:val="0"/>
          <w:numId w:val="2"/>
        </w:numPr>
        <w:spacing w:after="60" w:line="264"/>
      </w:pPr>
      <w:r>
        <w:rPr>
          <w:sz w:val="21"/>
          <w:szCs w:val="21"/>
        </w:rPr>
        <w:t xml:space="preserve">The Manage Supplier dashboard shall remain responsive with several thousand supplier records via server-side pagination.</w:t>
      </w:r>
    </w:p>
    <w:p>
      <w:pPr>
        <w:pStyle w:val="ListParagraph"/>
        <w:numPr>
          <w:ilvl w:val="0"/>
          <w:numId w:val="2"/>
        </w:numPr>
        <w:spacing w:after="60" w:line="264"/>
      </w:pPr>
      <w:r>
        <w:rPr>
          <w:sz w:val="21"/>
          <w:szCs w:val="21"/>
        </w:rPr>
        <w:t xml:space="preserve">Bulk import shall process files of hundreds to low-thousands of rows in a single operation.</w:t>
      </w:r>
    </w:p>
    <w:p>
      <w:pPr>
        <w:pStyle w:val="ListParagraph"/>
        <w:numPr>
          <w:ilvl w:val="0"/>
          <w:numId w:val="2"/>
        </w:numPr>
        <w:spacing w:after="60" w:line="264"/>
      </w:pPr>
      <w:r>
        <w:rPr>
          <w:sz w:val="21"/>
          <w:szCs w:val="21"/>
        </w:rPr>
        <w:t xml:space="preserve">A progress indicator shall appear for any operation exceeding three seconds.</w:t>
      </w:r>
    </w:p>
    <w:p>
      <w:pPr>
        <w:pStyle w:val="Heading2"/>
        <w:spacing w:after="100" w:before="240"/>
      </w:pPr>
      <w:r>
        <w:rPr>
          <w:b/>
          <w:bCs/>
          <w:color w:val="1A2233"/>
          <w:sz w:val="25"/>
          <w:szCs w:val="25"/>
        </w:rPr>
        <w:t xml:space="preserve">4.3 Availability &amp; Deployment</w:t>
      </w:r>
    </w:p>
    <w:p>
      <w:pPr>
        <w:pStyle w:val="ListParagraph"/>
        <w:numPr>
          <w:ilvl w:val="0"/>
          <w:numId w:val="2"/>
        </w:numPr>
        <w:spacing w:after="60" w:line="264"/>
      </w:pPr>
      <w:r>
        <w:rPr>
          <w:sz w:val="21"/>
          <w:szCs w:val="21"/>
        </w:rPr>
        <w:t xml:space="preserve">Each tier is independently deployable on IIS (ASP.NET Core hosting); the DMZ portal and internal tiers are hosted separately.</w:t>
      </w:r>
    </w:p>
    <w:p>
      <w:pPr>
        <w:pStyle w:val="ListParagraph"/>
        <w:numPr>
          <w:ilvl w:val="0"/>
          <w:numId w:val="2"/>
        </w:numPr>
        <w:spacing w:after="60" w:line="264"/>
      </w:pPr>
      <w:r>
        <w:rPr>
          <w:sz w:val="21"/>
          <w:szCs w:val="21"/>
        </w:rPr>
        <w:t xml:space="preserve">Data Protection keys are persisted so authentication sessions survive application-pool recycles.</w:t>
      </w:r>
    </w:p>
    <w:p>
      <w:pPr>
        <w:pStyle w:val="Heading2"/>
        <w:spacing w:after="100" w:before="240"/>
      </w:pPr>
      <w:r>
        <w:rPr>
          <w:b/>
          <w:bCs/>
          <w:color w:val="1A2233"/>
          <w:sz w:val="25"/>
          <w:szCs w:val="25"/>
        </w:rPr>
        <w:t xml:space="preserve">4.4 Usability &amp; Branding</w:t>
      </w:r>
    </w:p>
    <w:p>
      <w:pPr>
        <w:pStyle w:val="ListParagraph"/>
        <w:numPr>
          <w:ilvl w:val="0"/>
          <w:numId w:val="2"/>
        </w:numPr>
        <w:spacing w:after="60" w:line="264"/>
      </w:pPr>
      <w:r>
        <w:rPr>
          <w:sz w:val="21"/>
          <w:szCs w:val="21"/>
        </w:rPr>
        <w:t xml:space="preserve">The user interface shall follow the Dubai Investments corporate identity (navy and gold theme, corporate logo).</w:t>
      </w:r>
    </w:p>
    <w:p>
      <w:pPr>
        <w:pStyle w:val="ListParagraph"/>
        <w:numPr>
          <w:ilvl w:val="0"/>
          <w:numId w:val="2"/>
        </w:numPr>
        <w:spacing w:after="60" w:line="264"/>
      </w:pPr>
      <w:r>
        <w:rPr>
          <w:sz w:val="21"/>
          <w:szCs w:val="21"/>
        </w:rPr>
        <w:t xml:space="preserve">The interface shall be responsive and provide non-blocking toast notifications for the outcome of actions.</w:t>
      </w:r>
    </w:p>
    <w:p>
      <w:pPr>
        <w:pStyle w:val="Heading2"/>
        <w:spacing w:after="100" w:before="240"/>
      </w:pPr>
      <w:r>
        <w:rPr>
          <w:b/>
          <w:bCs/>
          <w:color w:val="1A2233"/>
          <w:sz w:val="25"/>
          <w:szCs w:val="25"/>
        </w:rPr>
        <w:t xml:space="preserve">4.5 Compatibility</w:t>
      </w:r>
    </w:p>
    <w:p>
      <w:pPr>
        <w:pStyle w:val="ListParagraph"/>
        <w:numPr>
          <w:ilvl w:val="0"/>
          <w:numId w:val="2"/>
        </w:numPr>
        <w:spacing w:after="60" w:line="264"/>
      </w:pPr>
      <w:r>
        <w:rPr>
          <w:sz w:val="21"/>
          <w:szCs w:val="21"/>
        </w:rPr>
        <w:t xml:space="preserve">Supported on current versions of mainstream desktop browsers (Chrome, Edge, Firefox).</w:t>
      </w:r>
    </w:p>
    <w:p>
      <w:pPr>
        <w:pStyle w:val="ListParagraph"/>
        <w:numPr>
          <w:ilvl w:val="0"/>
          <w:numId w:val="2"/>
        </w:numPr>
        <w:spacing w:after="60" w:line="264"/>
      </w:pPr>
      <w:r>
        <w:rPr>
          <w:sz w:val="21"/>
          <w:szCs w:val="21"/>
        </w:rPr>
        <w:t xml:space="preserve">Platform: Microsoft .NET 8, Microsoft SQL Server, IIS.</w:t>
      </w:r>
    </w:p>
    <w:p>
      <w:pPr>
        <w:pStyle w:val="Heading2"/>
        <w:spacing w:after="100" w:before="240"/>
      </w:pPr>
      <w:r>
        <w:rPr>
          <w:b/>
          <w:bCs/>
          <w:color w:val="1A2233"/>
          <w:sz w:val="25"/>
          <w:szCs w:val="25"/>
        </w:rPr>
        <w:t xml:space="preserve">4.6 Maintainability</w:t>
      </w:r>
    </w:p>
    <w:p>
      <w:pPr>
        <w:pStyle w:val="ListParagraph"/>
        <w:numPr>
          <w:ilvl w:val="0"/>
          <w:numId w:val="2"/>
        </w:numPr>
        <w:spacing w:after="60" w:line="264"/>
      </w:pPr>
      <w:r>
        <w:rPr>
          <w:sz w:val="21"/>
          <w:szCs w:val="21"/>
        </w:rPr>
        <w:t xml:space="preserve">Field mandatory/visibility rules and Lists of Values are configurable by administrators without code changes.</w:t>
      </w:r>
    </w:p>
    <w:p>
      <w:r>
        <w:br w:type="page"/>
      </w:r>
    </w:p>
    <w:p>
      <w:pPr>
        <w:pStyle w:val="Heading1"/>
        <w:spacing w:after="140" w:before="320"/>
      </w:pPr>
      <w:r>
        <w:rPr>
          <w:b/>
          <w:bCs/>
          <w:color w:val="1A2233"/>
          <w:sz w:val="30"/>
          <w:szCs w:val="30"/>
        </w:rPr>
        <w:t xml:space="preserve">5. Appendices</w:t>
      </w:r>
    </w:p>
    <w:p>
      <w:pPr>
        <w:pStyle w:val="Heading2"/>
        <w:spacing w:after="100" w:before="240"/>
      </w:pPr>
      <w:r>
        <w:rPr>
          <w:b/>
          <w:bCs/>
          <w:color w:val="1A2233"/>
          <w:sz w:val="25"/>
          <w:szCs w:val="25"/>
        </w:rPr>
        <w:t xml:space="preserve">Appendix A — Lookup Categories (LOVs)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A2233" w:val="clear"/>
            <w:tcMar>
              <w:top w:type="dxa" w:w="60"/>
              <w:left w:type="dxa" w:w="110"/>
              <w:bottom w:type="dxa" w:w="60"/>
              <w:right w:type="dxa" w:w="110"/>
            </w:tcMar>
          </w:tcPr>
          <w:p>
            <w:pPr>
              <w:spacing w:after="0" w:line="252"/>
            </w:pPr>
            <w:r>
              <w:rPr>
                <w:b/>
                <w:bCs/>
                <w:color w:val="FFFFFF"/>
                <w:sz w:val="20"/>
                <w:szCs w:val="20"/>
              </w:rPr>
              <w:t xml:space="preserve">Category</w:t>
            </w:r>
          </w:p>
        </w:tc>
        <w:tc>
          <w:tcPr>
            <w:tcW w:type="dxa" w:w="6020"/>
            <w:shd w:fill="1A2233" w:val="clear"/>
            <w:tcMar>
              <w:top w:type="dxa" w:w="60"/>
              <w:left w:type="dxa" w:w="110"/>
              <w:bottom w:type="dxa" w:w="60"/>
              <w:right w:type="dxa" w:w="110"/>
            </w:tcMar>
          </w:tcPr>
          <w:p>
            <w:pPr>
              <w:spacing w:after="0" w:line="252"/>
            </w:pPr>
            <w:r>
              <w:rPr>
                <w:b/>
                <w:bCs/>
                <w:color w:val="FFFFFF"/>
                <w:sz w:val="20"/>
                <w:szCs w:val="20"/>
              </w:rPr>
              <w:t xml:space="preserve">Purpose</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Tax Organization Type</w:t>
            </w:r>
          </w:p>
        </w:tc>
        <w:tc>
          <w:tcPr>
            <w:tcW w:type="dxa" w:w="6020"/>
            <w:shd w:fill="EEF1F6" w:val="clear"/>
            <w:tcMar>
              <w:top w:type="dxa" w:w="60"/>
              <w:left w:type="dxa" w:w="110"/>
              <w:bottom w:type="dxa" w:w="60"/>
              <w:right w:type="dxa" w:w="110"/>
            </w:tcMar>
          </w:tcPr>
          <w:p>
            <w:pPr>
              <w:spacing w:after="0" w:line="252"/>
            </w:pPr>
            <w:r>
              <w:rPr>
                <w:sz w:val="20"/>
                <w:szCs w:val="20"/>
              </w:rPr>
              <w:t xml:space="preserve">Legal/tax classification of the supplier organization.</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Supplier Type</w:t>
            </w:r>
          </w:p>
        </w:tc>
        <w:tc>
          <w:tcPr>
            <w:tcW w:type="dxa" w:w="6020"/>
            <w:shd w:fill="FFFFFF" w:val="clear"/>
            <w:tcMar>
              <w:top w:type="dxa" w:w="60"/>
              <w:left w:type="dxa" w:w="110"/>
              <w:bottom w:type="dxa" w:w="60"/>
              <w:right w:type="dxa" w:w="110"/>
            </w:tcMar>
          </w:tcPr>
          <w:p>
            <w:pPr>
              <w:spacing w:after="0" w:line="252"/>
            </w:pPr>
            <w:r>
              <w:rPr>
                <w:sz w:val="20"/>
                <w:szCs w:val="20"/>
              </w:rPr>
              <w:t xml:space="preserve">Category of supplier.</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Country</w:t>
            </w:r>
          </w:p>
        </w:tc>
        <w:tc>
          <w:tcPr>
            <w:tcW w:type="dxa" w:w="6020"/>
            <w:shd w:fill="EEF1F6" w:val="clear"/>
            <w:tcMar>
              <w:top w:type="dxa" w:w="60"/>
              <w:left w:type="dxa" w:w="110"/>
              <w:bottom w:type="dxa" w:w="60"/>
              <w:right w:type="dxa" w:w="110"/>
            </w:tcMar>
          </w:tcPr>
          <w:p>
            <w:pPr>
              <w:spacing w:after="0" w:line="252"/>
            </w:pPr>
            <w:r>
              <w:rPr>
                <w:sz w:val="20"/>
                <w:szCs w:val="20"/>
              </w:rPr>
              <w:t xml:space="preserve">Countries (also source of international phone codes).</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Province</w:t>
            </w:r>
          </w:p>
        </w:tc>
        <w:tc>
          <w:tcPr>
            <w:tcW w:type="dxa" w:w="6020"/>
            <w:shd w:fill="FFFFFF" w:val="clear"/>
            <w:tcMar>
              <w:top w:type="dxa" w:w="60"/>
              <w:left w:type="dxa" w:w="110"/>
              <w:bottom w:type="dxa" w:w="60"/>
              <w:right w:type="dxa" w:w="110"/>
            </w:tcMar>
          </w:tcPr>
          <w:p>
            <w:pPr>
              <w:spacing w:after="0" w:line="252"/>
            </w:pPr>
            <w:r>
              <w:rPr>
                <w:sz w:val="20"/>
                <w:szCs w:val="20"/>
              </w:rPr>
              <w:t xml:space="preserve">Province / Emirate / City list.</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VAT Code</w:t>
            </w:r>
          </w:p>
        </w:tc>
        <w:tc>
          <w:tcPr>
            <w:tcW w:type="dxa" w:w="6020"/>
            <w:shd w:fill="EEF1F6" w:val="clear"/>
            <w:tcMar>
              <w:top w:type="dxa" w:w="60"/>
              <w:left w:type="dxa" w:w="110"/>
              <w:bottom w:type="dxa" w:w="60"/>
              <w:right w:type="dxa" w:w="110"/>
            </w:tcMar>
          </w:tcPr>
          <w:p>
            <w:pPr>
              <w:spacing w:after="0" w:line="252"/>
            </w:pPr>
            <w:r>
              <w:rPr>
                <w:sz w:val="20"/>
                <w:szCs w:val="20"/>
              </w:rPr>
              <w:t xml:space="preserve">Applicable VAT codes.</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Payment Method</w:t>
            </w:r>
          </w:p>
        </w:tc>
        <w:tc>
          <w:tcPr>
            <w:tcW w:type="dxa" w:w="6020"/>
            <w:shd w:fill="FFFFFF" w:val="clear"/>
            <w:tcMar>
              <w:top w:type="dxa" w:w="60"/>
              <w:left w:type="dxa" w:w="110"/>
              <w:bottom w:type="dxa" w:w="60"/>
              <w:right w:type="dxa" w:w="110"/>
            </w:tcMar>
          </w:tcPr>
          <w:p>
            <w:pPr>
              <w:spacing w:after="0" w:line="252"/>
            </w:pPr>
            <w:r>
              <w:rPr>
                <w:sz w:val="20"/>
                <w:szCs w:val="20"/>
              </w:rPr>
              <w:t xml:space="preserve">Supported payment methods.</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Payment Terms</w:t>
            </w:r>
          </w:p>
        </w:tc>
        <w:tc>
          <w:tcPr>
            <w:tcW w:type="dxa" w:w="6020"/>
            <w:shd w:fill="EEF1F6" w:val="clear"/>
            <w:tcMar>
              <w:top w:type="dxa" w:w="60"/>
              <w:left w:type="dxa" w:w="110"/>
              <w:bottom w:type="dxa" w:w="60"/>
              <w:right w:type="dxa" w:w="110"/>
            </w:tcMar>
          </w:tcPr>
          <w:p>
            <w:pPr>
              <w:spacing w:after="0" w:line="252"/>
            </w:pPr>
            <w:r>
              <w:rPr>
                <w:sz w:val="20"/>
                <w:szCs w:val="20"/>
              </w:rPr>
              <w:t xml:space="preserve">Supported payment terms.</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Prefix</w:t>
            </w:r>
          </w:p>
        </w:tc>
        <w:tc>
          <w:tcPr>
            <w:tcW w:type="dxa" w:w="6020"/>
            <w:shd w:fill="FFFFFF" w:val="clear"/>
            <w:tcMar>
              <w:top w:type="dxa" w:w="60"/>
              <w:left w:type="dxa" w:w="110"/>
              <w:bottom w:type="dxa" w:w="60"/>
              <w:right w:type="dxa" w:w="110"/>
            </w:tcMar>
          </w:tcPr>
          <w:p>
            <w:pPr>
              <w:spacing w:after="0" w:line="252"/>
            </w:pPr>
            <w:r>
              <w:rPr>
                <w:sz w:val="20"/>
                <w:szCs w:val="20"/>
              </w:rPr>
              <w:t xml:space="preserve">Name/title prefixes.</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Currency</w:t>
            </w:r>
          </w:p>
        </w:tc>
        <w:tc>
          <w:tcPr>
            <w:tcW w:type="dxa" w:w="6020"/>
            <w:shd w:fill="EEF1F6" w:val="clear"/>
            <w:tcMar>
              <w:top w:type="dxa" w:w="60"/>
              <w:left w:type="dxa" w:w="110"/>
              <w:bottom w:type="dxa" w:w="60"/>
              <w:right w:type="dxa" w:w="110"/>
            </w:tcMar>
          </w:tcPr>
          <w:p>
            <w:pPr>
              <w:spacing w:after="0" w:line="252"/>
            </w:pPr>
            <w:r>
              <w:rPr>
                <w:sz w:val="20"/>
                <w:szCs w:val="20"/>
              </w:rPr>
              <w:t xml:space="preserve">Currencies for banking/account details.</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Business Relationship</w:t>
            </w:r>
          </w:p>
        </w:tc>
        <w:tc>
          <w:tcPr>
            <w:tcW w:type="dxa" w:w="6020"/>
            <w:shd w:fill="FFFFFF" w:val="clear"/>
            <w:tcMar>
              <w:top w:type="dxa" w:w="60"/>
              <w:left w:type="dxa" w:w="110"/>
              <w:bottom w:type="dxa" w:w="60"/>
              <w:right w:type="dxa" w:w="110"/>
            </w:tcMar>
          </w:tcPr>
          <w:p>
            <w:pPr>
              <w:spacing w:after="0" w:line="252"/>
            </w:pPr>
            <w:r>
              <w:rPr>
                <w:sz w:val="20"/>
                <w:szCs w:val="20"/>
              </w:rPr>
              <w:t xml:space="preserve">Nature of the business relationship.</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Communication Method</w:t>
            </w:r>
          </w:p>
        </w:tc>
        <w:tc>
          <w:tcPr>
            <w:tcW w:type="dxa" w:w="6020"/>
            <w:shd w:fill="EEF1F6" w:val="clear"/>
            <w:tcMar>
              <w:top w:type="dxa" w:w="60"/>
              <w:left w:type="dxa" w:w="110"/>
              <w:bottom w:type="dxa" w:w="60"/>
              <w:right w:type="dxa" w:w="110"/>
            </w:tcMar>
          </w:tcPr>
          <w:p>
            <w:pPr>
              <w:spacing w:after="0" w:line="252"/>
            </w:pPr>
            <w:r>
              <w:rPr>
                <w:sz w:val="20"/>
                <w:szCs w:val="20"/>
              </w:rPr>
              <w:t xml:space="preserve">Preferred communication method.</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Supplier Status</w:t>
            </w:r>
          </w:p>
        </w:tc>
        <w:tc>
          <w:tcPr>
            <w:tcW w:type="dxa" w:w="6020"/>
            <w:shd w:fill="FFFFFF" w:val="clear"/>
            <w:tcMar>
              <w:top w:type="dxa" w:w="60"/>
              <w:left w:type="dxa" w:w="110"/>
              <w:bottom w:type="dxa" w:w="60"/>
              <w:right w:type="dxa" w:w="110"/>
            </w:tcMar>
          </w:tcPr>
          <w:p>
            <w:pPr>
              <w:spacing w:after="0" w:line="252"/>
            </w:pPr>
            <w:r>
              <w:rPr>
                <w:sz w:val="20"/>
                <w:szCs w:val="20"/>
              </w:rPr>
              <w:t xml:space="preserve">Workflow status values (Appendix B).</w:t>
            </w:r>
          </w:p>
        </w:tc>
      </w:tr>
    </w:tbl>
    <w:p>
      <w:pPr>
        <w:spacing w:after="80"/>
      </w:pPr>
    </w:p>
    <w:p>
      <w:pPr>
        <w:pStyle w:val="Heading2"/>
        <w:spacing w:after="100" w:before="240"/>
      </w:pPr>
      <w:r>
        <w:rPr>
          <w:b/>
          <w:bCs/>
          <w:color w:val="1A2233"/>
          <w:sz w:val="25"/>
          <w:szCs w:val="25"/>
        </w:rPr>
        <w:t xml:space="preserve">Appendix B — Supplier Status Values &amp; Transitions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A2233" w:val="clear"/>
            <w:tcMar>
              <w:top w:type="dxa" w:w="60"/>
              <w:left w:type="dxa" w:w="110"/>
              <w:bottom w:type="dxa" w:w="60"/>
              <w:right w:type="dxa" w:w="110"/>
            </w:tcMar>
          </w:tcPr>
          <w:p>
            <w:pPr>
              <w:spacing w:after="0" w:line="252"/>
            </w:pPr>
            <w:r>
              <w:rPr>
                <w:b/>
                <w:bCs/>
                <w:color w:val="FFFFFF"/>
                <w:sz w:val="20"/>
                <w:szCs w:val="20"/>
              </w:rPr>
              <w:t xml:space="preserve">Status</w:t>
            </w:r>
          </w:p>
        </w:tc>
        <w:tc>
          <w:tcPr>
            <w:tcW w:type="dxa" w:w="6020"/>
            <w:shd w:fill="1A2233" w:val="clear"/>
            <w:tcMar>
              <w:top w:type="dxa" w:w="60"/>
              <w:left w:type="dxa" w:w="110"/>
              <w:bottom w:type="dxa" w:w="60"/>
              <w:right w:type="dxa" w:w="110"/>
            </w:tcMar>
          </w:tcPr>
          <w:p>
            <w:pPr>
              <w:spacing w:after="0" w:line="252"/>
            </w:pPr>
            <w:r>
              <w:rPr>
                <w:b/>
                <w:bCs/>
                <w:color w:val="FFFFFF"/>
                <w:sz w:val="20"/>
                <w:szCs w:val="20"/>
              </w:rPr>
              <w:t xml:space="preserve">Meaning / Trigger</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Not Submitted</w:t>
            </w:r>
          </w:p>
        </w:tc>
        <w:tc>
          <w:tcPr>
            <w:tcW w:type="dxa" w:w="6020"/>
            <w:shd w:fill="EEF1F6" w:val="clear"/>
            <w:tcMar>
              <w:top w:type="dxa" w:w="60"/>
              <w:left w:type="dxa" w:w="110"/>
              <w:bottom w:type="dxa" w:w="60"/>
              <w:right w:type="dxa" w:w="110"/>
            </w:tcMar>
          </w:tcPr>
          <w:p>
            <w:pPr>
              <w:spacing w:after="0" w:line="252"/>
            </w:pPr>
            <w:r>
              <w:rPr>
                <w:sz w:val="20"/>
                <w:szCs w:val="20"/>
              </w:rPr>
              <w:t xml:space="preserve">Initial state of a newly registered/imported supplier before any invitation.</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Awaiting Supplier Response</w:t>
            </w:r>
          </w:p>
        </w:tc>
        <w:tc>
          <w:tcPr>
            <w:tcW w:type="dxa" w:w="6020"/>
            <w:shd w:fill="FFFFFF" w:val="clear"/>
            <w:tcMar>
              <w:top w:type="dxa" w:w="60"/>
              <w:left w:type="dxa" w:w="110"/>
              <w:bottom w:type="dxa" w:w="60"/>
              <w:right w:type="dxa" w:w="110"/>
            </w:tcMar>
          </w:tcPr>
          <w:p>
            <w:pPr>
              <w:spacing w:after="0" w:line="252"/>
            </w:pPr>
            <w:r>
              <w:rPr>
                <w:sz w:val="20"/>
                <w:szCs w:val="20"/>
              </w:rPr>
              <w:t xml:space="preserve">Set when a self-service invitation is sent to the supplier.</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For Review</w:t>
            </w:r>
          </w:p>
        </w:tc>
        <w:tc>
          <w:tcPr>
            <w:tcW w:type="dxa" w:w="6020"/>
            <w:shd w:fill="EEF1F6" w:val="clear"/>
            <w:tcMar>
              <w:top w:type="dxa" w:w="60"/>
              <w:left w:type="dxa" w:w="110"/>
              <w:bottom w:type="dxa" w:w="60"/>
              <w:right w:type="dxa" w:w="110"/>
            </w:tcMar>
          </w:tcPr>
          <w:p>
            <w:pPr>
              <w:spacing w:after="0" w:line="252"/>
            </w:pPr>
            <w:r>
              <w:rPr>
                <w:sz w:val="20"/>
                <w:szCs w:val="20"/>
              </w:rPr>
              <w:t xml:space="preserve">Set when the supplier submits changes via self-service; awaits administrator review.</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Completes</w:t>
            </w:r>
          </w:p>
        </w:tc>
        <w:tc>
          <w:tcPr>
            <w:tcW w:type="dxa" w:w="6020"/>
            <w:shd w:fill="FFFFFF" w:val="clear"/>
            <w:tcMar>
              <w:top w:type="dxa" w:w="60"/>
              <w:left w:type="dxa" w:w="110"/>
              <w:bottom w:type="dxa" w:w="60"/>
              <w:right w:type="dxa" w:w="110"/>
            </w:tcMar>
          </w:tcPr>
          <w:p>
            <w:pPr>
              <w:spacing w:after="0" w:line="252"/>
            </w:pPr>
            <w:r>
              <w:rPr>
                <w:sz w:val="20"/>
                <w:szCs w:val="20"/>
              </w:rPr>
              <w:t xml:space="preserve">Set by an administrator on completion; expires the supplier’s self-service link/session.</w:t>
            </w:r>
          </w:p>
        </w:tc>
      </w:tr>
    </w:tbl>
    <w:p>
      <w:pPr>
        <w:spacing w:after="80"/>
      </w:pPr>
    </w:p>
    <w:p>
      <w:pPr>
        <w:pStyle w:val="Heading2"/>
        <w:spacing w:after="100" w:before="240"/>
      </w:pPr>
      <w:r>
        <w:rPr>
          <w:b/>
          <w:bCs/>
          <w:color w:val="1A2233"/>
          <w:sz w:val="25"/>
          <w:szCs w:val="25"/>
        </w:rPr>
        <w:t xml:space="preserve">Appendix C — Default Mandatory Fields</w:t>
      </w:r>
    </w:p>
    <w:p>
      <w:pPr>
        <w:spacing w:after="120" w:before="0" w:line="276"/>
      </w:pPr>
      <w:r>
        <w:rPr>
          <w:sz w:val="21"/>
          <w:szCs w:val="21"/>
        </w:rPr>
        <w:t xml:space="preserve">The following fields are mandatory by default (configurable via Supplier Field Settings):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A2233" w:val="clear"/>
            <w:tcMar>
              <w:top w:type="dxa" w:w="60"/>
              <w:left w:type="dxa" w:w="110"/>
              <w:bottom w:type="dxa" w:w="60"/>
              <w:right w:type="dxa" w:w="110"/>
            </w:tcMar>
          </w:tcPr>
          <w:p>
            <w:pPr>
              <w:spacing w:after="0" w:line="252"/>
            </w:pPr>
            <w:r>
              <w:rPr>
                <w:b/>
                <w:bCs/>
                <w:color w:val="FFFFFF"/>
                <w:sz w:val="20"/>
                <w:szCs w:val="20"/>
              </w:rPr>
              <w:t xml:space="preserve">Step</w:t>
            </w:r>
          </w:p>
        </w:tc>
        <w:tc>
          <w:tcPr>
            <w:tcW w:type="dxa" w:w="6020"/>
            <w:shd w:fill="1A2233" w:val="clear"/>
            <w:tcMar>
              <w:top w:type="dxa" w:w="60"/>
              <w:left w:type="dxa" w:w="110"/>
              <w:bottom w:type="dxa" w:w="60"/>
              <w:right w:type="dxa" w:w="110"/>
            </w:tcMar>
          </w:tcPr>
          <w:p>
            <w:pPr>
              <w:spacing w:after="0" w:line="252"/>
            </w:pPr>
            <w:r>
              <w:rPr>
                <w:b/>
                <w:bCs/>
                <w:color w:val="FFFFFF"/>
                <w:sz w:val="20"/>
                <w:szCs w:val="20"/>
              </w:rPr>
              <w:t xml:space="preserve">Mandatory fields (default)</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Step 1 — Business/Organization</w:t>
            </w:r>
          </w:p>
        </w:tc>
        <w:tc>
          <w:tcPr>
            <w:tcW w:type="dxa" w:w="6020"/>
            <w:shd w:fill="EEF1F6" w:val="clear"/>
            <w:tcMar>
              <w:top w:type="dxa" w:w="60"/>
              <w:left w:type="dxa" w:w="110"/>
              <w:bottom w:type="dxa" w:w="60"/>
              <w:right w:type="dxa" w:w="110"/>
            </w:tcMar>
          </w:tcPr>
          <w:p>
            <w:pPr>
              <w:spacing w:after="0" w:line="252"/>
            </w:pPr>
            <w:r>
              <w:rPr>
                <w:sz w:val="20"/>
                <w:szCs w:val="20"/>
              </w:rPr>
              <w:t xml:space="preserve">Supplier Name, Tax Organization Type, First Name, Business E-Mail, Supplier Type, Tax Registration Number, Trade License Number.</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Step 2 — Contact</w:t>
            </w:r>
          </w:p>
        </w:tc>
        <w:tc>
          <w:tcPr>
            <w:tcW w:type="dxa" w:w="6020"/>
            <w:shd w:fill="FFFFFF" w:val="clear"/>
            <w:tcMar>
              <w:top w:type="dxa" w:w="60"/>
              <w:left w:type="dxa" w:w="110"/>
              <w:bottom w:type="dxa" w:w="60"/>
              <w:right w:type="dxa" w:w="110"/>
            </w:tcMar>
          </w:tcPr>
          <w:p>
            <w:pPr>
              <w:spacing w:after="0" w:line="252"/>
            </w:pPr>
            <w:r>
              <w:rPr>
                <w:sz w:val="20"/>
                <w:szCs w:val="20"/>
              </w:rPr>
              <w:t xml:space="preserve">City, Province.</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Step 3 — Payment/Banking</w:t>
            </w:r>
          </w:p>
        </w:tc>
        <w:tc>
          <w:tcPr>
            <w:tcW w:type="dxa" w:w="6020"/>
            <w:shd w:fill="EEF1F6" w:val="clear"/>
            <w:tcMar>
              <w:top w:type="dxa" w:w="60"/>
              <w:left w:type="dxa" w:w="110"/>
              <w:bottom w:type="dxa" w:w="60"/>
              <w:right w:type="dxa" w:w="110"/>
            </w:tcMar>
          </w:tcPr>
          <w:p>
            <w:pPr>
              <w:spacing w:after="0" w:line="252"/>
            </w:pPr>
            <w:r>
              <w:rPr>
                <w:sz w:val="20"/>
                <w:szCs w:val="20"/>
              </w:rPr>
              <w:t xml:space="preserve">Bank Name, Branch Name.</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Step 4 — Site/Business Unit</w:t>
            </w:r>
          </w:p>
        </w:tc>
        <w:tc>
          <w:tcPr>
            <w:tcW w:type="dxa" w:w="6020"/>
            <w:shd w:fill="FFFFFF" w:val="clear"/>
            <w:tcMar>
              <w:top w:type="dxa" w:w="60"/>
              <w:left w:type="dxa" w:w="110"/>
              <w:bottom w:type="dxa" w:w="60"/>
              <w:right w:type="dxa" w:w="110"/>
            </w:tcMar>
          </w:tcPr>
          <w:p>
            <w:pPr>
              <w:spacing w:after="0" w:line="252"/>
            </w:pPr>
            <w:r>
              <w:rPr>
                <w:sz w:val="20"/>
                <w:szCs w:val="20"/>
              </w:rPr>
              <w:t xml:space="preserve">Contact Email.</w:t>
            </w:r>
          </w:p>
        </w:tc>
      </w:tr>
    </w:tbl>
    <w:p>
      <w:pPr>
        <w:spacing w:after="80"/>
      </w:pPr>
    </w:p>
    <w:p>
      <w:pPr>
        <w:pStyle w:val="Heading2"/>
        <w:spacing w:after="100" w:before="240"/>
      </w:pPr>
      <w:r>
        <w:rPr>
          <w:b/>
          <w:bCs/>
          <w:color w:val="1A2233"/>
          <w:sz w:val="25"/>
          <w:szCs w:val="25"/>
        </w:rPr>
        <w:t xml:space="preserve">Appendix D — Registration Wizard Field Layout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A2233" w:val="clear"/>
            <w:tcMar>
              <w:top w:type="dxa" w:w="60"/>
              <w:left w:type="dxa" w:w="110"/>
              <w:bottom w:type="dxa" w:w="60"/>
              <w:right w:type="dxa" w:w="110"/>
            </w:tcMar>
          </w:tcPr>
          <w:p>
            <w:pPr>
              <w:spacing w:after="0" w:line="252"/>
            </w:pPr>
            <w:r>
              <w:rPr>
                <w:b/>
                <w:bCs/>
                <w:color w:val="FFFFFF"/>
                <w:sz w:val="20"/>
                <w:szCs w:val="20"/>
              </w:rPr>
              <w:t xml:space="preserve">Step</w:t>
            </w:r>
          </w:p>
        </w:tc>
        <w:tc>
          <w:tcPr>
            <w:tcW w:type="dxa" w:w="6020"/>
            <w:shd w:fill="1A2233" w:val="clear"/>
            <w:tcMar>
              <w:top w:type="dxa" w:w="60"/>
              <w:left w:type="dxa" w:w="110"/>
              <w:bottom w:type="dxa" w:w="60"/>
              <w:right w:type="dxa" w:w="110"/>
            </w:tcMar>
          </w:tcPr>
          <w:p>
            <w:pPr>
              <w:spacing w:after="0" w:line="252"/>
            </w:pPr>
            <w:r>
              <w:rPr>
                <w:b/>
                <w:bCs/>
                <w:color w:val="FFFFFF"/>
                <w:sz w:val="20"/>
                <w:szCs w:val="20"/>
              </w:rPr>
              <w:t xml:space="preserve">Fields</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Step 1 — Business / Organization</w:t>
            </w:r>
          </w:p>
        </w:tc>
        <w:tc>
          <w:tcPr>
            <w:tcW w:type="dxa" w:w="6020"/>
            <w:shd w:fill="EEF1F6" w:val="clear"/>
            <w:tcMar>
              <w:top w:type="dxa" w:w="60"/>
              <w:left w:type="dxa" w:w="110"/>
              <w:bottom w:type="dxa" w:w="60"/>
              <w:right w:type="dxa" w:w="110"/>
            </w:tcMar>
          </w:tcPr>
          <w:p>
            <w:pPr>
              <w:spacing w:after="0" w:line="252"/>
            </w:pPr>
            <w:r>
              <w:rPr>
                <w:sz w:val="20"/>
                <w:szCs w:val="20"/>
              </w:rPr>
              <w:t xml:space="preserve">Supplier Number (system), Supplier Name, Prefix, Tax Organization Type, First Name, Business E-Mail, Supplier Type, Taxpayer Country, Tax Registration Number, Trade License Number, VAT Code, Business Relationship, D-U-N-S Number, Corporate Web Site, One-time supplier; documents: Trade License, VAT Certificate, Other.</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Step 2 — Contact</w:t>
            </w:r>
          </w:p>
        </w:tc>
        <w:tc>
          <w:tcPr>
            <w:tcW w:type="dxa" w:w="6020"/>
            <w:shd w:fill="FFFFFF" w:val="clear"/>
            <w:tcMar>
              <w:top w:type="dxa" w:w="60"/>
              <w:left w:type="dxa" w:w="110"/>
              <w:bottom w:type="dxa" w:w="60"/>
              <w:right w:type="dxa" w:w="110"/>
            </w:tcMar>
          </w:tcPr>
          <w:p>
            <w:pPr>
              <w:spacing w:after="0" w:line="252"/>
            </w:pPr>
            <w:r>
              <w:rPr>
                <w:sz w:val="20"/>
                <w:szCs w:val="20"/>
              </w:rPr>
              <w:t xml:space="preserve">Address Name, Address Line 1/2, City, State, Province, Country, Country Name, Postal Code, Administrative Contact, Phone Country Code, Phone Area Code.</w:t>
            </w:r>
          </w:p>
        </w:tc>
      </w:tr>
      <w:tr>
        <w:tc>
          <w:tcPr>
            <w:tcW w:type="dxa" w:w="3000"/>
            <w:shd w:fill="EEF1F6" w:val="clear"/>
            <w:tcMar>
              <w:top w:type="dxa" w:w="60"/>
              <w:left w:type="dxa" w:w="110"/>
              <w:bottom w:type="dxa" w:w="60"/>
              <w:right w:type="dxa" w:w="110"/>
            </w:tcMar>
          </w:tcPr>
          <w:p>
            <w:pPr>
              <w:spacing w:after="0" w:line="252"/>
            </w:pPr>
            <w:r>
              <w:rPr>
                <w:b/>
                <w:bCs/>
                <w:color w:val="1A2233"/>
                <w:sz w:val="20"/>
                <w:szCs w:val="20"/>
              </w:rPr>
              <w:t xml:space="preserve">Step 3 — Payment / Banking</w:t>
            </w:r>
          </w:p>
        </w:tc>
        <w:tc>
          <w:tcPr>
            <w:tcW w:type="dxa" w:w="6020"/>
            <w:shd w:fill="EEF1F6" w:val="clear"/>
            <w:tcMar>
              <w:top w:type="dxa" w:w="60"/>
              <w:left w:type="dxa" w:w="110"/>
              <w:bottom w:type="dxa" w:w="60"/>
              <w:right w:type="dxa" w:w="110"/>
            </w:tcMar>
          </w:tcPr>
          <w:p>
            <w:pPr>
              <w:spacing w:after="0" w:line="252"/>
            </w:pPr>
            <w:r>
              <w:rPr>
                <w:sz w:val="20"/>
                <w:szCs w:val="20"/>
              </w:rPr>
              <w:t xml:space="preserve">Bank Name, Branch Name, Account Country Code, Account Name, Account Number, Account Currency Code, SWIFT/BIC, IBAN, Account Start Date, Payment Method Code, Remit Advice Email, Allow International Payments; document: Bank Confirmation Letter.</w:t>
            </w:r>
          </w:p>
        </w:tc>
      </w:tr>
      <w:tr>
        <w:tc>
          <w:tcPr>
            <w:tcW w:type="dxa" w:w="3000"/>
            <w:shd w:fill="FFFFFF" w:val="clear"/>
            <w:tcMar>
              <w:top w:type="dxa" w:w="60"/>
              <w:left w:type="dxa" w:w="110"/>
              <w:bottom w:type="dxa" w:w="60"/>
              <w:right w:type="dxa" w:w="110"/>
            </w:tcMar>
          </w:tcPr>
          <w:p>
            <w:pPr>
              <w:spacing w:after="0" w:line="252"/>
            </w:pPr>
            <w:r>
              <w:rPr>
                <w:b/>
                <w:bCs/>
                <w:color w:val="1A2233"/>
                <w:sz w:val="20"/>
                <w:szCs w:val="20"/>
              </w:rPr>
              <w:t xml:space="preserve">Step 4 — Site / Business Unit</w:t>
            </w:r>
          </w:p>
        </w:tc>
        <w:tc>
          <w:tcPr>
            <w:tcW w:type="dxa" w:w="6020"/>
            <w:shd w:fill="FFFFFF" w:val="clear"/>
            <w:tcMar>
              <w:top w:type="dxa" w:w="60"/>
              <w:left w:type="dxa" w:w="110"/>
              <w:bottom w:type="dxa" w:w="60"/>
              <w:right w:type="dxa" w:w="110"/>
            </w:tcMar>
          </w:tcPr>
          <w:p>
            <w:pPr>
              <w:spacing w:after="0" w:line="252"/>
            </w:pPr>
            <w:r>
              <w:rPr>
                <w:sz w:val="20"/>
                <w:szCs w:val="20"/>
              </w:rPr>
              <w:t xml:space="preserve">Supplier Site, Procurement BU, Client BU, Bill-to BU, Payment Method, Payment Terms, Communication Method, Communication Email, Contact Email, Phone, Remittance E-mail; site usages: RFQ/Bidding, Ordering, Sourcing only, Purchasing, Pay, Primary Pay.</w:t>
            </w:r>
          </w:p>
        </w:tc>
      </w:tr>
    </w:tbl>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Dubai Investments — 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24A" w:sz="4" w:space="4"/>
      </w:pBdr>
      <w:jc w:val="right"/>
    </w:pPr>
    <w:r>
      <w:rPr>
        <w:color w:val="6B7280"/>
        <w:sz w:val="16"/>
        <w:szCs w:val="16"/>
      </w:rPr>
      <w:t xml:space="preserve">Business Partner Portal — FRD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Partner (Supplier) Portal — Functional Requirements Document</dc:title>
  <dc:creator>Dubai Investments — Applications Development</dc:creator>
  <dc:description>FRD v1.0</dc:description>
  <cp:lastModifiedBy>Un-named</cp:lastModifiedBy>
  <cp:revision>1</cp:revision>
  <dcterms:created xsi:type="dcterms:W3CDTF">2026-08-07T04:53:22.958Z</dcterms:created>
  <dcterms:modified xsi:type="dcterms:W3CDTF">2026-08-07T04:53:22.959Z</dcterms:modified>
</cp:coreProperties>
</file>

<file path=docProps/custom.xml><?xml version="1.0" encoding="utf-8"?>
<Properties xmlns="http://schemas.openxmlformats.org/officeDocument/2006/custom-properties" xmlns:vt="http://schemas.openxmlformats.org/officeDocument/2006/docPropsVTypes"/>
</file>