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1F74E" w14:textId="353028C0" w:rsidR="00A2300F" w:rsidRDefault="00DA73FA" w:rsidP="00483FF0">
      <w:pPr>
        <w:pStyle w:val="Text"/>
        <w:spacing w:line="360" w:lineRule="auto"/>
        <w:ind w:firstLine="0"/>
        <w:jc w:val="both"/>
        <w:rPr>
          <w:rFonts w:ascii="Arial" w:hAnsi="Arial" w:cs="Arial"/>
          <w:b/>
          <w:bCs/>
        </w:rPr>
      </w:pPr>
      <w:r w:rsidRPr="00DA73FA">
        <w:rPr>
          <w:rFonts w:ascii="Arial" w:hAnsi="Arial" w:cs="Arial"/>
          <w:b/>
          <w:bCs/>
        </w:rPr>
        <w:t>Continuation - Stud</w:t>
      </w:r>
      <w:r w:rsidR="00DB49A4">
        <w:rPr>
          <w:rFonts w:ascii="Arial" w:hAnsi="Arial" w:cs="Arial"/>
          <w:b/>
          <w:bCs/>
        </w:rPr>
        <w:t>ied</w:t>
      </w:r>
      <w:r w:rsidRPr="00DA73FA">
        <w:rPr>
          <w:rFonts w:ascii="Arial" w:hAnsi="Arial" w:cs="Arial"/>
          <w:b/>
          <w:bCs/>
        </w:rPr>
        <w:t xml:space="preserve"> area</w:t>
      </w:r>
    </w:p>
    <w:p w14:paraId="0DADBDDA" w14:textId="77777777" w:rsidR="00DA73FA" w:rsidRPr="00DA73FA" w:rsidRDefault="00DA73FA" w:rsidP="00483FF0">
      <w:pPr>
        <w:pStyle w:val="Text"/>
        <w:spacing w:line="360" w:lineRule="auto"/>
        <w:ind w:firstLine="0"/>
        <w:jc w:val="both"/>
        <w:rPr>
          <w:rFonts w:ascii="Arial" w:hAnsi="Arial" w:cs="Arial"/>
          <w:b/>
          <w:bCs/>
        </w:rPr>
      </w:pPr>
    </w:p>
    <w:p w14:paraId="4C7A0A49" w14:textId="611063CF" w:rsidR="00483FF0" w:rsidRPr="00C403D6" w:rsidRDefault="00483FF0" w:rsidP="00DB49A4">
      <w:pPr>
        <w:pStyle w:val="Text"/>
        <w:spacing w:line="480" w:lineRule="auto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Nicobar Fan is genetically connected to the Bengal Fan forming the largest submarine fan in the world (CURRAY AND MOORE, 1974; </w:t>
      </w:r>
      <w:r w:rsidRPr="00E63C73">
        <w:rPr>
          <w:rFonts w:ascii="Arial" w:hAnsi="Arial" w:cs="Arial"/>
        </w:rPr>
        <w:t xml:space="preserve">CLIFT et al. 2008). </w:t>
      </w:r>
      <w:r w:rsidRPr="00242D80">
        <w:rPr>
          <w:rFonts w:ascii="Arial" w:hAnsi="Arial" w:cs="Arial"/>
        </w:rPr>
        <w:t xml:space="preserve">The fan feeder system </w:t>
      </w:r>
      <w:r>
        <w:rPr>
          <w:rFonts w:ascii="Arial" w:hAnsi="Arial" w:cs="Arial"/>
        </w:rPr>
        <w:t>of Bengal and Nicobar fans record mainly the denudated material of the Himalayas Mountains that they are result of the India-Asia collision onset ~50 Ma (</w:t>
      </w:r>
      <w:r w:rsidRPr="00C403D6">
        <w:rPr>
          <w:rFonts w:ascii="Arial" w:hAnsi="Arial" w:cs="Arial"/>
        </w:rPr>
        <w:t xml:space="preserve">HINSBERGEN </w:t>
      </w:r>
      <w:r>
        <w:rPr>
          <w:rFonts w:ascii="Arial" w:hAnsi="Arial" w:cs="Arial"/>
        </w:rPr>
        <w:t>et al., 2012). The sediments transport occurred through</w:t>
      </w:r>
      <w:r w:rsidRPr="00242D80">
        <w:rPr>
          <w:rFonts w:ascii="Arial" w:hAnsi="Arial" w:cs="Arial"/>
        </w:rPr>
        <w:t xml:space="preserve"> the Ganges and Brahmaputra rivers, </w:t>
      </w:r>
      <w:r>
        <w:rPr>
          <w:rFonts w:ascii="Arial" w:hAnsi="Arial" w:cs="Arial"/>
        </w:rPr>
        <w:t xml:space="preserve">from </w:t>
      </w:r>
      <w:r w:rsidRPr="00242D80">
        <w:rPr>
          <w:rFonts w:ascii="Arial" w:hAnsi="Arial" w:cs="Arial"/>
        </w:rPr>
        <w:t>northeastern India and the Central-Eastern</w:t>
      </w:r>
      <w:r>
        <w:rPr>
          <w:rFonts w:ascii="Arial" w:hAnsi="Arial" w:cs="Arial"/>
        </w:rPr>
        <w:t xml:space="preserve"> </w:t>
      </w:r>
      <w:r w:rsidRPr="00242D80">
        <w:rPr>
          <w:rFonts w:ascii="Arial" w:hAnsi="Arial" w:cs="Arial"/>
        </w:rPr>
        <w:t>Tibetan-Himalayan Orogen</w:t>
      </w:r>
      <w:r>
        <w:rPr>
          <w:rFonts w:ascii="Arial" w:hAnsi="Arial" w:cs="Arial"/>
        </w:rPr>
        <w:t>. The large contribution occurs since the hard continent-</w:t>
      </w:r>
      <w:r w:rsidRPr="00C403D6">
        <w:rPr>
          <w:rFonts w:ascii="Arial" w:hAnsi="Arial" w:cs="Arial"/>
        </w:rPr>
        <w:t>continent collision at begin of Miocene (HINSBERGERN et al., 2012)</w:t>
      </w:r>
      <w:r>
        <w:rPr>
          <w:rFonts w:ascii="Arial" w:hAnsi="Arial" w:cs="Arial"/>
        </w:rPr>
        <w:t xml:space="preserve"> </w:t>
      </w:r>
      <w:r w:rsidRPr="00C403D6">
        <w:rPr>
          <w:rFonts w:ascii="Arial" w:hAnsi="Arial" w:cs="Arial"/>
        </w:rPr>
        <w:t>and supply the system with an enormous amount of clastic material (1*10</w:t>
      </w:r>
      <w:r w:rsidRPr="00C403D6">
        <w:rPr>
          <w:rFonts w:ascii="Arial" w:hAnsi="Arial" w:cs="Arial"/>
          <w:vertAlign w:val="superscript"/>
        </w:rPr>
        <w:t>9</w:t>
      </w:r>
      <w:r w:rsidRPr="00C403D6">
        <w:rPr>
          <w:rFonts w:ascii="Arial" w:hAnsi="Arial" w:cs="Arial"/>
        </w:rPr>
        <w:t xml:space="preserve"> t/yr.; MILLIMAN AND SYVITSKI, 1992). </w:t>
      </w:r>
    </w:p>
    <w:p w14:paraId="00E95D61" w14:textId="3D33A97F" w:rsidR="00483FF0" w:rsidRPr="00C403D6" w:rsidRDefault="00483FF0" w:rsidP="00DB49A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 xml:space="preserve">In this study, we used material provided during the IODP-Expedition 362 - Sumatra </w:t>
      </w:r>
      <w:proofErr w:type="spellStart"/>
      <w:r w:rsidRPr="00C403D6">
        <w:rPr>
          <w:rFonts w:ascii="Arial" w:hAnsi="Arial" w:cs="Arial"/>
          <w:sz w:val="24"/>
          <w:szCs w:val="24"/>
        </w:rPr>
        <w:t>Seismogenic</w:t>
      </w:r>
      <w:proofErr w:type="spellEnd"/>
      <w:r w:rsidRPr="00C403D6">
        <w:rPr>
          <w:rFonts w:ascii="Arial" w:hAnsi="Arial" w:cs="Arial"/>
          <w:sz w:val="24"/>
          <w:szCs w:val="24"/>
        </w:rPr>
        <w:t xml:space="preserve"> Zone: Two sites drilled by the IODP</w:t>
      </w:r>
      <w:r>
        <w:rPr>
          <w:rFonts w:ascii="Arial" w:hAnsi="Arial" w:cs="Arial"/>
          <w:sz w:val="24"/>
          <w:szCs w:val="24"/>
        </w:rPr>
        <w:t>-E</w:t>
      </w:r>
      <w:r w:rsidRPr="00C403D6">
        <w:rPr>
          <w:rFonts w:ascii="Arial" w:hAnsi="Arial" w:cs="Arial"/>
          <w:sz w:val="24"/>
          <w:szCs w:val="24"/>
        </w:rPr>
        <w:t>xpeditions record the pre-Nicobar Fan and the Nicobar Fan rocks. The pre-Nicobar rocks consist, from base to the top,</w:t>
      </w:r>
      <w:r>
        <w:rPr>
          <w:rFonts w:ascii="Arial" w:hAnsi="Arial" w:cs="Arial"/>
          <w:sz w:val="24"/>
          <w:szCs w:val="24"/>
        </w:rPr>
        <w:t xml:space="preserve"> </w:t>
      </w:r>
      <w:r w:rsidRPr="00C403D6">
        <w:rPr>
          <w:rFonts w:ascii="Arial" w:hAnsi="Arial" w:cs="Arial"/>
          <w:sz w:val="24"/>
          <w:szCs w:val="24"/>
        </w:rPr>
        <w:t xml:space="preserve">of Late Cretaceous MORB basalts lava (67 Ma), pelagic sedimentation and Plume-related volcanic and intrusive alkaline rock. They record the drifting process of the Indian Ocean and plume-related </w:t>
      </w:r>
      <w:proofErr w:type="spellStart"/>
      <w:r w:rsidRPr="00C403D6">
        <w:rPr>
          <w:rFonts w:ascii="Arial" w:hAnsi="Arial" w:cs="Arial"/>
          <w:sz w:val="24"/>
          <w:szCs w:val="24"/>
        </w:rPr>
        <w:t>Kergeulen</w:t>
      </w:r>
      <w:proofErr w:type="spellEnd"/>
      <w:r w:rsidRPr="00C403D6">
        <w:rPr>
          <w:rFonts w:ascii="Arial" w:hAnsi="Arial" w:cs="Arial"/>
          <w:sz w:val="24"/>
          <w:szCs w:val="24"/>
        </w:rPr>
        <w:t xml:space="preserve"> hot spot during the Cretaceous through Paleocene (MCNEIL et al., 2017, </w:t>
      </w:r>
      <w:r w:rsidRPr="002B030E">
        <w:rPr>
          <w:rFonts w:ascii="Arial" w:hAnsi="Arial" w:cs="Arial"/>
          <w:sz w:val="24"/>
          <w:szCs w:val="24"/>
        </w:rPr>
        <w:t>GIRELLI et al., 2021b)</w:t>
      </w:r>
      <w:r>
        <w:rPr>
          <w:rFonts w:ascii="Arial" w:hAnsi="Arial" w:cs="Arial"/>
          <w:sz w:val="24"/>
          <w:szCs w:val="24"/>
        </w:rPr>
        <w:t>.</w:t>
      </w:r>
      <w:r w:rsidRPr="002B030E">
        <w:rPr>
          <w:rFonts w:ascii="Arial" w:hAnsi="Arial" w:cs="Arial"/>
          <w:sz w:val="24"/>
          <w:szCs w:val="24"/>
        </w:rPr>
        <w:t xml:space="preserve"> </w:t>
      </w:r>
      <w:r w:rsidRPr="00C403D6">
        <w:rPr>
          <w:rFonts w:ascii="Arial" w:hAnsi="Arial" w:cs="Arial"/>
          <w:sz w:val="24"/>
          <w:szCs w:val="24"/>
        </w:rPr>
        <w:t xml:space="preserve">Overlying units, represented by Nicobar Fan unconsolidated sediments and sedimentary rocks with intercalation of ash/tuff layers, is directed connected to Himalayas-Tibet orogenic system. The Facies Association (FA) here follows the </w:t>
      </w:r>
      <w:r w:rsidRPr="005819FF">
        <w:rPr>
          <w:rFonts w:ascii="Arial" w:hAnsi="Arial" w:cs="Arial"/>
          <w:sz w:val="24"/>
          <w:szCs w:val="24"/>
        </w:rPr>
        <w:t>description of PICKERING et al.</w:t>
      </w:r>
      <w:r>
        <w:rPr>
          <w:rFonts w:ascii="Arial" w:hAnsi="Arial" w:cs="Arial"/>
          <w:sz w:val="24"/>
          <w:szCs w:val="24"/>
        </w:rPr>
        <w:t xml:space="preserve"> </w:t>
      </w:r>
      <w:r w:rsidRPr="005819FF">
        <w:rPr>
          <w:rFonts w:ascii="Arial" w:hAnsi="Arial" w:cs="Arial"/>
          <w:sz w:val="24"/>
          <w:szCs w:val="24"/>
        </w:rPr>
        <w:t xml:space="preserve">2019 </w:t>
      </w:r>
      <w:r w:rsidRPr="00C403D6">
        <w:rPr>
          <w:rFonts w:ascii="Arial" w:hAnsi="Arial" w:cs="Arial"/>
          <w:sz w:val="24"/>
          <w:szCs w:val="24"/>
        </w:rPr>
        <w:t>who described eight facies associations for the Nicobar Submarine Fan sediments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AB3452D" w14:textId="77777777" w:rsidR="00483FF0" w:rsidRDefault="00483FF0" w:rsidP="00DB49A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7713137" w14:textId="77777777" w:rsidR="00483FF0" w:rsidRDefault="00483FF0" w:rsidP="00DB49A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928E915" w14:textId="0FC8666D" w:rsidR="00AB1430" w:rsidRDefault="00AB1430" w:rsidP="00DB49A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 xml:space="preserve">Based on drilling of two </w:t>
      </w:r>
      <w:r>
        <w:rPr>
          <w:rFonts w:ascii="Arial" w:hAnsi="Arial" w:cs="Arial"/>
          <w:sz w:val="24"/>
          <w:szCs w:val="24"/>
        </w:rPr>
        <w:t>s</w:t>
      </w:r>
      <w:r w:rsidRPr="00C403D6">
        <w:rPr>
          <w:rFonts w:ascii="Arial" w:hAnsi="Arial" w:cs="Arial"/>
          <w:sz w:val="24"/>
          <w:szCs w:val="24"/>
        </w:rPr>
        <w:t>ites, U1480 and U148</w:t>
      </w:r>
      <w:r>
        <w:rPr>
          <w:rFonts w:ascii="Arial" w:hAnsi="Arial" w:cs="Arial"/>
          <w:sz w:val="24"/>
          <w:szCs w:val="24"/>
        </w:rPr>
        <w:t>1 (</w:t>
      </w:r>
      <w:r w:rsidRPr="00C403D6">
        <w:rPr>
          <w:rFonts w:ascii="Arial" w:hAnsi="Arial" w:cs="Arial"/>
          <w:sz w:val="24"/>
          <w:szCs w:val="24"/>
        </w:rPr>
        <w:t>MCNEIL et al., 2017</w:t>
      </w:r>
      <w:r>
        <w:rPr>
          <w:rFonts w:ascii="Arial" w:hAnsi="Arial" w:cs="Arial"/>
          <w:sz w:val="24"/>
          <w:szCs w:val="24"/>
        </w:rPr>
        <w:t>)</w:t>
      </w:r>
      <w:r w:rsidRPr="00C403D6">
        <w:rPr>
          <w:rFonts w:ascii="Arial" w:hAnsi="Arial" w:cs="Arial"/>
          <w:sz w:val="24"/>
          <w:szCs w:val="24"/>
        </w:rPr>
        <w:t xml:space="preserve"> divided the Nicobar, from base to top,</w:t>
      </w:r>
      <w:r>
        <w:rPr>
          <w:rFonts w:ascii="Arial" w:hAnsi="Arial" w:cs="Arial"/>
          <w:sz w:val="24"/>
          <w:szCs w:val="24"/>
        </w:rPr>
        <w:t xml:space="preserve"> </w:t>
      </w:r>
      <w:r w:rsidRPr="00C403D6">
        <w:rPr>
          <w:rFonts w:ascii="Arial" w:hAnsi="Arial" w:cs="Arial"/>
          <w:sz w:val="24"/>
          <w:szCs w:val="24"/>
        </w:rPr>
        <w:t>in Units IIIB, IIIA, IIC, IIB, IIA, I, which they are summarized in the Fi</w:t>
      </w:r>
      <w:r>
        <w:rPr>
          <w:rFonts w:ascii="Arial" w:hAnsi="Arial" w:cs="Arial"/>
          <w:sz w:val="24"/>
          <w:szCs w:val="24"/>
        </w:rPr>
        <w:t>g.</w:t>
      </w:r>
      <w:r w:rsidRPr="00C403D6">
        <w:rPr>
          <w:rFonts w:ascii="Arial" w:hAnsi="Arial" w:cs="Arial"/>
          <w:sz w:val="24"/>
          <w:szCs w:val="24"/>
        </w:rPr>
        <w:t xml:space="preserve"> </w:t>
      </w:r>
      <w:r w:rsidR="00DB49A4">
        <w:rPr>
          <w:rFonts w:ascii="Arial" w:hAnsi="Arial" w:cs="Arial"/>
          <w:sz w:val="24"/>
          <w:szCs w:val="24"/>
        </w:rPr>
        <w:t>1</w:t>
      </w:r>
      <w:r w:rsidRPr="00C403D6">
        <w:rPr>
          <w:rFonts w:ascii="Arial" w:hAnsi="Arial" w:cs="Arial"/>
          <w:sz w:val="24"/>
          <w:szCs w:val="24"/>
        </w:rPr>
        <w:t>.</w:t>
      </w:r>
    </w:p>
    <w:p w14:paraId="0BDAA5E8" w14:textId="1D7B95A7" w:rsidR="00B64562" w:rsidRDefault="00B64562" w:rsidP="00DB49A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basal sedimentary package overlies in unconformity the Late Cretaceous to Paleocene pre-Fan volcano-sedimentary units and corresponds to the Unit IIIB containing chalk and tuffaceous mudstones siliciclastic sediments deposited between early Oligocene to early Miocene (MCNEIL et </w:t>
      </w:r>
      <w:r w:rsidRPr="005819FF">
        <w:rPr>
          <w:rFonts w:ascii="Arial" w:hAnsi="Arial" w:cs="Arial"/>
          <w:sz w:val="24"/>
          <w:szCs w:val="24"/>
        </w:rPr>
        <w:t xml:space="preserve">al., 2017, PICKERING et al., 2019). </w:t>
      </w:r>
    </w:p>
    <w:p w14:paraId="5E1B6A2E" w14:textId="77777777" w:rsidR="00B64562" w:rsidRDefault="00B64562" w:rsidP="00DB49A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Unit IIIA (middle Miocene) comprises interlayered thin to medium bedded, gray-green or brown mudstone and siltstones deposited in low-concentration turbidity currents. </w:t>
      </w:r>
    </w:p>
    <w:p w14:paraId="5CC549B1" w14:textId="77777777" w:rsidR="00B64562" w:rsidRDefault="00B64562" w:rsidP="00DB49A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Unit II is the thickest section of the Nicobar Fan, reaching up to 1250 m in the site U1480. The basal unit, the Unit IIC (Upper Miocene), overlies in conformity the Unit IIIA. It consists of siliciclastic sandstone/siltstone and mudstone interlayers with structureless muddy sandstones and subordinate hemipelagic sediments. They are interpreted as structureless mud </w:t>
      </w:r>
      <w:proofErr w:type="spellStart"/>
      <w:r>
        <w:rPr>
          <w:rFonts w:ascii="Arial" w:hAnsi="Arial" w:cs="Arial"/>
          <w:sz w:val="24"/>
          <w:szCs w:val="24"/>
        </w:rPr>
        <w:t>hemipelagites</w:t>
      </w:r>
      <w:proofErr w:type="spellEnd"/>
      <w:r>
        <w:rPr>
          <w:rFonts w:ascii="Arial" w:hAnsi="Arial" w:cs="Arial"/>
          <w:sz w:val="24"/>
          <w:szCs w:val="24"/>
        </w:rPr>
        <w:t xml:space="preserve"> (FA2) deposited in low-concentration turbidity currents, sediment gravity flows (SGF, FA3) and turbidity sediments (FA1a). </w:t>
      </w:r>
      <w:proofErr w:type="spellStart"/>
      <w:r>
        <w:rPr>
          <w:rFonts w:ascii="Arial" w:hAnsi="Arial" w:cs="Arial"/>
          <w:sz w:val="24"/>
          <w:szCs w:val="24"/>
        </w:rPr>
        <w:t>Hemipelagites</w:t>
      </w:r>
      <w:proofErr w:type="spellEnd"/>
      <w:r>
        <w:rPr>
          <w:rFonts w:ascii="Arial" w:hAnsi="Arial" w:cs="Arial"/>
          <w:sz w:val="24"/>
          <w:szCs w:val="24"/>
        </w:rPr>
        <w:t xml:space="preserve"> deposited in low turbidite currents occur a common facies association (FA4).</w:t>
      </w:r>
    </w:p>
    <w:p w14:paraId="17A8E31F" w14:textId="77777777" w:rsidR="00B64562" w:rsidRDefault="00B64562" w:rsidP="00DB49A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Unit IIB deposited between Upper Miocene and early Pliocene contains alternating very thin- to thin-bedded </w:t>
      </w:r>
      <w:proofErr w:type="spellStart"/>
      <w:r>
        <w:rPr>
          <w:rFonts w:ascii="Arial" w:hAnsi="Arial" w:cs="Arial"/>
          <w:sz w:val="24"/>
          <w:szCs w:val="24"/>
        </w:rPr>
        <w:t>siliciclastics</w:t>
      </w:r>
      <w:proofErr w:type="spellEnd"/>
      <w:r>
        <w:rPr>
          <w:rFonts w:ascii="Arial" w:hAnsi="Arial" w:cs="Arial"/>
          <w:sz w:val="24"/>
          <w:szCs w:val="24"/>
        </w:rPr>
        <w:t xml:space="preserve"> sands and muds represented by muddy turbidites (FA2), SGF`s (FA3), and sandy turbidites (FA1A). Structureless muds (</w:t>
      </w:r>
      <w:proofErr w:type="spellStart"/>
      <w:r>
        <w:rPr>
          <w:rFonts w:ascii="Arial" w:hAnsi="Arial" w:cs="Arial"/>
          <w:sz w:val="24"/>
          <w:szCs w:val="24"/>
        </w:rPr>
        <w:t>hemipelagites</w:t>
      </w:r>
      <w:proofErr w:type="spellEnd"/>
      <w:r>
        <w:rPr>
          <w:rFonts w:ascii="Arial" w:hAnsi="Arial" w:cs="Arial"/>
          <w:sz w:val="24"/>
          <w:szCs w:val="24"/>
        </w:rPr>
        <w:t>, FA4)) are also present in the unit IIB.</w:t>
      </w:r>
    </w:p>
    <w:p w14:paraId="451DCB3E" w14:textId="77777777" w:rsidR="00B64562" w:rsidRDefault="00B64562" w:rsidP="00DB49A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upper unit, the Pliocene-Pleistocene Unit IIA, consists of alternating thin to medium bedded </w:t>
      </w:r>
      <w:proofErr w:type="spellStart"/>
      <w:r>
        <w:rPr>
          <w:rFonts w:ascii="Arial" w:hAnsi="Arial" w:cs="Arial"/>
          <w:sz w:val="24"/>
          <w:szCs w:val="24"/>
        </w:rPr>
        <w:t>siliciclastics</w:t>
      </w:r>
      <w:proofErr w:type="spellEnd"/>
      <w:r>
        <w:rPr>
          <w:rFonts w:ascii="Arial" w:hAnsi="Arial" w:cs="Arial"/>
          <w:sz w:val="24"/>
          <w:szCs w:val="24"/>
        </w:rPr>
        <w:t xml:space="preserve"> sands and muds represented by the turbidites of Facies Associations FA2-FA1a (FA4). </w:t>
      </w:r>
    </w:p>
    <w:p w14:paraId="230ADF18" w14:textId="77777777" w:rsidR="00B64562" w:rsidRDefault="00B64562" w:rsidP="00DB49A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upper most unit, 26-m thick Quaternary Unit I, comprises biogenic calcareous mud with ash beds and siliciclastic fine-grained sand and muds. </w:t>
      </w:r>
    </w:p>
    <w:p w14:paraId="731D5FD3" w14:textId="77777777" w:rsidR="00B64562" w:rsidRDefault="00B64562" w:rsidP="00B6456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846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026496" wp14:editId="54D9D86F">
            <wp:extent cx="5379720" cy="4473417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74" cy="448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2620" w14:textId="77777777" w:rsidR="00B64562" w:rsidRDefault="00B64562" w:rsidP="00B64562">
      <w:pPr>
        <w:keepNext/>
        <w:spacing w:line="480" w:lineRule="auto"/>
        <w:jc w:val="both"/>
      </w:pPr>
      <w:r w:rsidRPr="00C846B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4510399" wp14:editId="7303E649">
            <wp:extent cx="5380290" cy="29051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453" cy="291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D78DD" w14:textId="44B0654C" w:rsidR="00B64562" w:rsidRPr="00C403D6" w:rsidRDefault="00B64562" w:rsidP="00B64562">
      <w:pPr>
        <w:pStyle w:val="Legenda"/>
        <w:jc w:val="both"/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</w:pPr>
      <w:r w:rsidRPr="00C403D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 xml:space="preserve">Figure </w:t>
      </w:r>
      <w:r w:rsidRPr="00C403D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fldChar w:fldCharType="begin"/>
      </w:r>
      <w:r w:rsidRPr="00C403D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C403D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fldChar w:fldCharType="separate"/>
      </w:r>
      <w:r w:rsidR="00DB49A4">
        <w:rPr>
          <w:rFonts w:ascii="Arial" w:hAnsi="Arial" w:cs="Arial"/>
          <w:i w:val="0"/>
          <w:iCs w:val="0"/>
          <w:noProof/>
          <w:color w:val="000000" w:themeColor="text1"/>
          <w:sz w:val="20"/>
          <w:szCs w:val="20"/>
        </w:rPr>
        <w:t>1</w:t>
      </w:r>
      <w:r w:rsidRPr="00C403D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fldChar w:fldCharType="end"/>
      </w:r>
      <w:r w:rsidRPr="00C403D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 xml:space="preserve">  Simplified lithostratigraphic columns of cores at </w:t>
      </w:r>
      <w:r w:rsidRPr="00F8093C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>IODP-Expedition 362,</w:t>
      </w:r>
      <w:r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 xml:space="preserve"> </w:t>
      </w:r>
      <w:r w:rsidRPr="00C403D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>sites U1480 and U1481</w:t>
      </w:r>
      <w:r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 xml:space="preserve">, </w:t>
      </w:r>
      <w:r w:rsidRPr="00F8093C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>with the division between units, Facies Association (FA), age and composite recovery.</w:t>
      </w:r>
      <w:r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 xml:space="preserve"> </w:t>
      </w:r>
      <w:r w:rsidRPr="00F8093C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>Composite recovery represents the recovery of samples per lithological unit and describes an organization of the structure taken from the seabed.</w:t>
      </w:r>
      <w:r w:rsidRPr="00C403D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 xml:space="preserve"> (after MCNEIL et al., 2017 </w:t>
      </w:r>
      <w:r w:rsidRPr="005819FF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in PICKERING et al., 2019).  </w:t>
      </w:r>
    </w:p>
    <w:p w14:paraId="1B37CA1D" w14:textId="46211FD0" w:rsidR="00B64562" w:rsidRPr="00C8611C" w:rsidRDefault="00B64562">
      <w:pPr>
        <w:rPr>
          <w:rFonts w:ascii="Arial" w:hAnsi="Arial" w:cs="Arial"/>
          <w:sz w:val="24"/>
          <w:szCs w:val="24"/>
        </w:rPr>
      </w:pPr>
    </w:p>
    <w:p w14:paraId="7FCE4B52" w14:textId="282C840C" w:rsidR="00C8611C" w:rsidRPr="00C8611C" w:rsidRDefault="00C8611C">
      <w:pPr>
        <w:rPr>
          <w:rFonts w:ascii="Arial" w:hAnsi="Arial" w:cs="Arial"/>
          <w:sz w:val="24"/>
          <w:szCs w:val="24"/>
        </w:rPr>
      </w:pPr>
    </w:p>
    <w:p w14:paraId="4ED2928E" w14:textId="2455E9BC" w:rsidR="00C8611C" w:rsidRDefault="00C8611C">
      <w:pPr>
        <w:rPr>
          <w:rFonts w:ascii="Arial" w:hAnsi="Arial" w:cs="Arial"/>
          <w:sz w:val="24"/>
          <w:szCs w:val="24"/>
        </w:rPr>
      </w:pPr>
      <w:r w:rsidRPr="00C8611C">
        <w:rPr>
          <w:rFonts w:ascii="Arial" w:hAnsi="Arial" w:cs="Arial"/>
          <w:sz w:val="24"/>
          <w:szCs w:val="24"/>
        </w:rPr>
        <w:t>References</w:t>
      </w:r>
    </w:p>
    <w:p w14:paraId="56D5833F" w14:textId="77777777" w:rsidR="00655F6D" w:rsidRPr="00743975" w:rsidRDefault="00655F6D" w:rsidP="00655F6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76561">
        <w:rPr>
          <w:rFonts w:ascii="Arial" w:hAnsi="Arial" w:cs="Arial"/>
          <w:sz w:val="24"/>
          <w:szCs w:val="24"/>
          <w:shd w:val="clear" w:color="auto" w:fill="FFFFFF"/>
        </w:rPr>
        <w:t>CURRAY J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B76561">
        <w:rPr>
          <w:rFonts w:ascii="Arial" w:hAnsi="Arial" w:cs="Arial"/>
          <w:sz w:val="24"/>
          <w:szCs w:val="24"/>
          <w:shd w:val="clear" w:color="auto" w:fill="FFFFFF"/>
        </w:rPr>
        <w:t>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., MOORE, D. G., 1974. </w:t>
      </w:r>
      <w:r w:rsidRPr="00C403D6">
        <w:rPr>
          <w:rFonts w:ascii="Arial" w:hAnsi="Arial" w:cs="Arial"/>
          <w:sz w:val="24"/>
          <w:szCs w:val="24"/>
          <w:shd w:val="clear" w:color="auto" w:fill="FFFFFF"/>
        </w:rPr>
        <w:t>Sedimentary and Tectonic Processes in the Bengal Deep-Sea Fan and Geosyncline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C403D6">
        <w:rPr>
          <w:rFonts w:ascii="Arial" w:hAnsi="Arial" w:cs="Arial"/>
          <w:sz w:val="24"/>
          <w:szCs w:val="24"/>
          <w:shd w:val="clear" w:color="auto" w:fill="FFFFFF"/>
        </w:rPr>
        <w:t>The Geology of Continental Margins. Springer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C403D6">
        <w:rPr>
          <w:rFonts w:ascii="Arial" w:hAnsi="Arial" w:cs="Arial"/>
          <w:sz w:val="24"/>
          <w:szCs w:val="24"/>
          <w:shd w:val="clear" w:color="auto" w:fill="FFFFFF"/>
        </w:rPr>
        <w:t>https://doi.org/10.1007/978-3-662-01141-6_45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DC4261D" w14:textId="57835957" w:rsidR="00266E71" w:rsidRDefault="00266E71" w:rsidP="00266E7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67695">
        <w:rPr>
          <w:rFonts w:ascii="Arial" w:hAnsi="Arial" w:cs="Arial"/>
          <w:sz w:val="24"/>
          <w:szCs w:val="24"/>
          <w:shd w:val="clear" w:color="auto" w:fill="FFFFFF"/>
        </w:rPr>
        <w:t>CLIFT, P.D.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et. al., </w:t>
      </w:r>
      <w:r w:rsidRPr="00567695">
        <w:rPr>
          <w:rFonts w:ascii="Arial" w:hAnsi="Arial" w:cs="Arial"/>
          <w:sz w:val="24"/>
          <w:szCs w:val="24"/>
          <w:shd w:val="clear" w:color="auto" w:fill="FFFFFF"/>
        </w:rPr>
        <w:t>2008. Correlation of Himalayan exhumation rates and Asian monsoon intensity. Nature Geoscience, 1(12), 875–880. https://doi.org/10.1038/ngeo351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50731D9" w14:textId="0251A1D7" w:rsidR="00BC1740" w:rsidRPr="00BC1740" w:rsidRDefault="00BC1740" w:rsidP="00266E71">
      <w:pPr>
        <w:jc w:val="both"/>
        <w:rPr>
          <w:rFonts w:ascii="Arial" w:hAnsi="Arial" w:cs="Arial"/>
          <w:sz w:val="24"/>
          <w:szCs w:val="24"/>
        </w:rPr>
      </w:pPr>
      <w:r w:rsidRPr="003E5CED">
        <w:rPr>
          <w:rFonts w:ascii="Arial" w:hAnsi="Arial" w:cs="Arial"/>
          <w:sz w:val="24"/>
          <w:szCs w:val="24"/>
        </w:rPr>
        <w:t>GIRELLI, T. J. et al., 2021</w:t>
      </w:r>
      <w:r>
        <w:rPr>
          <w:rFonts w:ascii="Arial" w:hAnsi="Arial" w:cs="Arial"/>
          <w:sz w:val="24"/>
          <w:szCs w:val="24"/>
        </w:rPr>
        <w:t>b</w:t>
      </w:r>
      <w:r w:rsidRPr="003E5CED">
        <w:rPr>
          <w:rFonts w:ascii="Arial" w:hAnsi="Arial" w:cs="Arial"/>
          <w:sz w:val="24"/>
          <w:szCs w:val="24"/>
        </w:rPr>
        <w:t xml:space="preserve">. </w:t>
      </w:r>
      <w:r w:rsidRPr="00587BA0">
        <w:rPr>
          <w:rFonts w:ascii="Arial" w:hAnsi="Arial" w:cs="Arial"/>
          <w:sz w:val="24"/>
          <w:szCs w:val="24"/>
        </w:rPr>
        <w:t>Alkaline Kerguelen hotspot-derived magmatism in the Indian Ocean – IODP 362 expedition. Submitted to Terra Nova</w:t>
      </w:r>
      <w:r>
        <w:rPr>
          <w:rFonts w:ascii="Arial" w:hAnsi="Arial" w:cs="Arial"/>
          <w:sz w:val="24"/>
          <w:szCs w:val="24"/>
        </w:rPr>
        <w:t>.</w:t>
      </w:r>
    </w:p>
    <w:p w14:paraId="65A9A67D" w14:textId="64B3D843" w:rsidR="008D7CAA" w:rsidRPr="00FA5BFB" w:rsidRDefault="008D7CAA" w:rsidP="008D7CAA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403D6">
        <w:rPr>
          <w:rFonts w:ascii="Arial" w:hAnsi="Arial" w:cs="Arial"/>
          <w:sz w:val="24"/>
          <w:szCs w:val="24"/>
        </w:rPr>
        <w:t>HINSBERGEN</w:t>
      </w:r>
      <w:r>
        <w:rPr>
          <w:rFonts w:ascii="Arial" w:hAnsi="Arial" w:cs="Arial"/>
          <w:sz w:val="24"/>
          <w:szCs w:val="24"/>
        </w:rPr>
        <w:t xml:space="preserve">, D. J. J. van. et al., 2012. </w:t>
      </w:r>
      <w:r w:rsidRPr="00C403D6">
        <w:rPr>
          <w:rFonts w:ascii="Arial" w:hAnsi="Arial" w:cs="Arial"/>
          <w:sz w:val="24"/>
          <w:szCs w:val="24"/>
        </w:rPr>
        <w:t>Greater India Basin hypothesis and a two-stage Cenozoic collision between India and Asia</w:t>
      </w:r>
      <w:r>
        <w:rPr>
          <w:rFonts w:ascii="Arial" w:hAnsi="Arial" w:cs="Arial"/>
          <w:sz w:val="24"/>
          <w:szCs w:val="24"/>
        </w:rPr>
        <w:t xml:space="preserve">.  </w:t>
      </w:r>
      <w:r w:rsidRPr="00FA5BFB">
        <w:rPr>
          <w:rFonts w:ascii="Arial" w:hAnsi="Arial" w:cs="Arial"/>
          <w:sz w:val="24"/>
          <w:szCs w:val="24"/>
          <w:lang w:val="pt-BR"/>
        </w:rPr>
        <w:t>PNAS 109 (20) 7659-7664. https://doi.org/10.1073/pnas.1117262109.</w:t>
      </w:r>
    </w:p>
    <w:p w14:paraId="627C78E0" w14:textId="7DB7BE1F" w:rsidR="00FA5BFB" w:rsidRPr="00743975" w:rsidRDefault="00FA5BFB" w:rsidP="008D7CAA">
      <w:pPr>
        <w:jc w:val="both"/>
        <w:rPr>
          <w:rFonts w:ascii="Arial" w:hAnsi="Arial" w:cs="Arial"/>
          <w:sz w:val="24"/>
          <w:szCs w:val="24"/>
        </w:rPr>
      </w:pPr>
      <w:r w:rsidRPr="00FA5BFB">
        <w:rPr>
          <w:rFonts w:ascii="Arial" w:hAnsi="Arial" w:cs="Arial"/>
          <w:sz w:val="24"/>
          <w:szCs w:val="24"/>
          <w:lang w:val="pt-BR"/>
        </w:rPr>
        <w:t xml:space="preserve">MCNEILL, L. C. et al., 2017. </w:t>
      </w:r>
      <w:r w:rsidRPr="00743975">
        <w:rPr>
          <w:rFonts w:ascii="Arial" w:hAnsi="Arial" w:cs="Arial"/>
          <w:sz w:val="24"/>
          <w:szCs w:val="24"/>
        </w:rPr>
        <w:t>Expedition 362 methods. Proceedings of the International Ocean Discovery Program, 362. https://doi.org/10.14379/iodp.proc.362.102.2017.</w:t>
      </w:r>
    </w:p>
    <w:p w14:paraId="695553EB" w14:textId="309EA037" w:rsidR="00F92EFD" w:rsidRDefault="00F92EFD" w:rsidP="00F92E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MILLIMAN, J., SYVITSKI, J., 1992. </w:t>
      </w:r>
      <w:r w:rsidRPr="00C403D6">
        <w:rPr>
          <w:rFonts w:ascii="Arial" w:hAnsi="Arial" w:cs="Arial"/>
          <w:sz w:val="24"/>
          <w:szCs w:val="24"/>
        </w:rPr>
        <w:t>Geomorphic/Tectonic Control of Sediment Discharge to the Ocean: The Importance of Small Mountainous Rivers</w:t>
      </w:r>
      <w:r>
        <w:rPr>
          <w:rFonts w:ascii="Arial" w:hAnsi="Arial" w:cs="Arial"/>
          <w:sz w:val="24"/>
          <w:szCs w:val="24"/>
        </w:rPr>
        <w:t xml:space="preserve">. </w:t>
      </w:r>
      <w:r w:rsidRPr="00C403D6">
        <w:rPr>
          <w:rFonts w:ascii="Arial" w:hAnsi="Arial" w:cs="Arial"/>
          <w:sz w:val="24"/>
          <w:szCs w:val="24"/>
        </w:rPr>
        <w:t>The Journal of Geology</w:t>
      </w:r>
      <w:r>
        <w:rPr>
          <w:rFonts w:ascii="Arial" w:hAnsi="Arial" w:cs="Arial"/>
          <w:sz w:val="24"/>
          <w:szCs w:val="24"/>
        </w:rPr>
        <w:t xml:space="preserve"> 100 (5). </w:t>
      </w:r>
      <w:r w:rsidRPr="00C403D6">
        <w:rPr>
          <w:rFonts w:ascii="Arial" w:hAnsi="Arial" w:cs="Arial"/>
          <w:sz w:val="24"/>
          <w:szCs w:val="24"/>
        </w:rPr>
        <w:t>https://doi.org/10.1086/629606</w:t>
      </w:r>
      <w:r>
        <w:rPr>
          <w:rFonts w:ascii="Arial" w:hAnsi="Arial" w:cs="Arial"/>
          <w:sz w:val="24"/>
          <w:szCs w:val="24"/>
        </w:rPr>
        <w:t>.</w:t>
      </w:r>
    </w:p>
    <w:p w14:paraId="1F4401B2" w14:textId="77777777" w:rsidR="00E424D8" w:rsidRPr="00743975" w:rsidRDefault="00E424D8" w:rsidP="00E424D8">
      <w:pPr>
        <w:jc w:val="both"/>
        <w:rPr>
          <w:rFonts w:ascii="Arial" w:hAnsi="Arial" w:cs="Arial"/>
          <w:sz w:val="24"/>
          <w:szCs w:val="24"/>
        </w:rPr>
      </w:pPr>
      <w:r w:rsidRPr="00421C0C">
        <w:rPr>
          <w:rFonts w:ascii="Arial" w:hAnsi="Arial" w:cs="Arial"/>
          <w:sz w:val="24"/>
          <w:szCs w:val="24"/>
        </w:rPr>
        <w:lastRenderedPageBreak/>
        <w:t>PICKERING, K.T.</w:t>
      </w:r>
      <w:r>
        <w:rPr>
          <w:rFonts w:ascii="Arial" w:hAnsi="Arial" w:cs="Arial"/>
          <w:sz w:val="24"/>
          <w:szCs w:val="24"/>
        </w:rPr>
        <w:t xml:space="preserve"> at al.</w:t>
      </w:r>
      <w:r w:rsidRPr="00421C0C">
        <w:rPr>
          <w:rFonts w:ascii="Arial" w:hAnsi="Arial" w:cs="Arial"/>
          <w:sz w:val="24"/>
          <w:szCs w:val="24"/>
        </w:rPr>
        <w:t>, 2019. Sedimentology, stratigraphy and architecture of the Nicobar Fan (Bengal–Nicobar Fan System), Indian Ocean: Results from International Ocean Discovery Program Expedition 362. Sedimentology. https://doi.org/10.1111/sed.12701</w:t>
      </w:r>
      <w:r>
        <w:rPr>
          <w:rFonts w:ascii="Arial" w:hAnsi="Arial" w:cs="Arial"/>
          <w:sz w:val="24"/>
          <w:szCs w:val="24"/>
        </w:rPr>
        <w:t>.</w:t>
      </w:r>
    </w:p>
    <w:p w14:paraId="50751B92" w14:textId="77777777" w:rsidR="00E424D8" w:rsidRPr="00743975" w:rsidRDefault="00E424D8" w:rsidP="00F92EFD">
      <w:pPr>
        <w:jc w:val="both"/>
        <w:rPr>
          <w:rFonts w:ascii="Arial" w:hAnsi="Arial" w:cs="Arial"/>
          <w:sz w:val="24"/>
          <w:szCs w:val="24"/>
        </w:rPr>
      </w:pPr>
    </w:p>
    <w:p w14:paraId="0EF48D18" w14:textId="77777777" w:rsidR="00655F6D" w:rsidRPr="00C8611C" w:rsidRDefault="00655F6D">
      <w:pPr>
        <w:rPr>
          <w:rFonts w:ascii="Arial" w:hAnsi="Arial" w:cs="Arial"/>
          <w:sz w:val="24"/>
          <w:szCs w:val="24"/>
        </w:rPr>
      </w:pPr>
    </w:p>
    <w:sectPr w:rsidR="00655F6D" w:rsidRPr="00C86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62"/>
    <w:rsid w:val="00266E71"/>
    <w:rsid w:val="00483FF0"/>
    <w:rsid w:val="00655F6D"/>
    <w:rsid w:val="008D7CAA"/>
    <w:rsid w:val="00A2300F"/>
    <w:rsid w:val="00AB1430"/>
    <w:rsid w:val="00B64562"/>
    <w:rsid w:val="00BC1740"/>
    <w:rsid w:val="00C8611C"/>
    <w:rsid w:val="00DA73FA"/>
    <w:rsid w:val="00DB49A4"/>
    <w:rsid w:val="00E424D8"/>
    <w:rsid w:val="00F92EFD"/>
    <w:rsid w:val="00FA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5AAABA"/>
  <w15:chartTrackingRefBased/>
  <w15:docId w15:val="{4187B323-835E-4A1E-9AD9-085A018E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562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B645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">
    <w:name w:val="Text"/>
    <w:basedOn w:val="Normal"/>
    <w:uiPriority w:val="99"/>
    <w:rsid w:val="00483FF0"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A5B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5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837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Bressan</dc:creator>
  <cp:keywords/>
  <dc:description/>
  <cp:lastModifiedBy>Thiago Bressan</cp:lastModifiedBy>
  <cp:revision>14</cp:revision>
  <dcterms:created xsi:type="dcterms:W3CDTF">2021-01-14T18:56:00Z</dcterms:created>
  <dcterms:modified xsi:type="dcterms:W3CDTF">2021-01-18T11:52:00Z</dcterms:modified>
</cp:coreProperties>
</file>