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BDDA" w14:textId="550C703E" w:rsidR="00DA73FA" w:rsidRDefault="00BB6A46" w:rsidP="00483FF0">
      <w:pPr>
        <w:pStyle w:val="Text"/>
        <w:spacing w:line="360" w:lineRule="auto"/>
        <w:ind w:firstLine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SM1_FA_Geology</w:t>
      </w:r>
      <w:r>
        <w:rPr>
          <w:rFonts w:ascii="Arial" w:hAnsi="Arial" w:cs="Arial"/>
          <w:b/>
          <w:bCs/>
        </w:rPr>
        <w:t xml:space="preserve"> – Facies </w:t>
      </w:r>
      <w:r w:rsidR="005504A2">
        <w:rPr>
          <w:rFonts w:ascii="Arial" w:hAnsi="Arial" w:cs="Arial"/>
          <w:b/>
          <w:bCs/>
        </w:rPr>
        <w:t>Associations</w:t>
      </w:r>
      <w:r>
        <w:rPr>
          <w:rFonts w:ascii="Arial" w:hAnsi="Arial" w:cs="Arial"/>
          <w:b/>
          <w:bCs/>
        </w:rPr>
        <w:t xml:space="preserve"> of the Nicobar Fan</w:t>
      </w:r>
    </w:p>
    <w:p w14:paraId="43E68AB7" w14:textId="77777777" w:rsidR="00BB6A46" w:rsidRPr="00DA73FA" w:rsidRDefault="00BB6A46" w:rsidP="00483FF0">
      <w:pPr>
        <w:pStyle w:val="Text"/>
        <w:spacing w:line="360" w:lineRule="auto"/>
        <w:ind w:firstLine="0"/>
        <w:jc w:val="both"/>
        <w:rPr>
          <w:rFonts w:ascii="Arial" w:hAnsi="Arial" w:cs="Arial"/>
          <w:b/>
          <w:bCs/>
        </w:rPr>
      </w:pPr>
    </w:p>
    <w:p w14:paraId="77713137" w14:textId="1DAFCB88" w:rsidR="00483FF0" w:rsidRDefault="00BB6A46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403D6">
        <w:rPr>
          <w:rFonts w:ascii="Arial" w:hAnsi="Arial" w:cs="Arial"/>
          <w:sz w:val="24"/>
          <w:szCs w:val="24"/>
        </w:rPr>
        <w:t xml:space="preserve">Based on drilling of two </w:t>
      </w:r>
      <w:r>
        <w:rPr>
          <w:rFonts w:ascii="Arial" w:hAnsi="Arial" w:cs="Arial"/>
          <w:sz w:val="24"/>
          <w:szCs w:val="24"/>
        </w:rPr>
        <w:t>s</w:t>
      </w:r>
      <w:r w:rsidRPr="00C403D6">
        <w:rPr>
          <w:rFonts w:ascii="Arial" w:hAnsi="Arial" w:cs="Arial"/>
          <w:sz w:val="24"/>
          <w:szCs w:val="24"/>
        </w:rPr>
        <w:t>ites, U1480 and U148</w:t>
      </w:r>
      <w:r>
        <w:rPr>
          <w:rFonts w:ascii="Arial" w:hAnsi="Arial" w:cs="Arial"/>
          <w:sz w:val="24"/>
          <w:szCs w:val="24"/>
        </w:rPr>
        <w:t>1 (</w:t>
      </w:r>
      <w:r w:rsidRPr="00C403D6">
        <w:rPr>
          <w:rFonts w:ascii="Arial" w:hAnsi="Arial" w:cs="Arial"/>
          <w:sz w:val="24"/>
          <w:szCs w:val="24"/>
        </w:rPr>
        <w:t>MCNEIL et al., 2017</w:t>
      </w:r>
      <w:r>
        <w:rPr>
          <w:rFonts w:ascii="Arial" w:hAnsi="Arial" w:cs="Arial"/>
          <w:sz w:val="24"/>
          <w:szCs w:val="24"/>
        </w:rPr>
        <w:t>)</w:t>
      </w:r>
      <w:r w:rsidRPr="00C403D6">
        <w:rPr>
          <w:rFonts w:ascii="Arial" w:hAnsi="Arial" w:cs="Arial"/>
          <w:sz w:val="24"/>
          <w:szCs w:val="24"/>
        </w:rPr>
        <w:t xml:space="preserve"> divided the Nicobar, from base to top,</w:t>
      </w:r>
      <w:r>
        <w:rPr>
          <w:rFonts w:ascii="Arial" w:hAnsi="Arial" w:cs="Arial"/>
          <w:sz w:val="24"/>
          <w:szCs w:val="24"/>
        </w:rPr>
        <w:t xml:space="preserve"> </w:t>
      </w:r>
      <w:r w:rsidRPr="00C403D6">
        <w:rPr>
          <w:rFonts w:ascii="Arial" w:hAnsi="Arial" w:cs="Arial"/>
          <w:sz w:val="24"/>
          <w:szCs w:val="24"/>
        </w:rPr>
        <w:t>in Units IIIB, IIIA, IIC, IIB, IIA, I, which they are summarized in the Fi</w:t>
      </w:r>
      <w:r>
        <w:rPr>
          <w:rFonts w:ascii="Arial" w:hAnsi="Arial" w:cs="Arial"/>
          <w:sz w:val="24"/>
          <w:szCs w:val="24"/>
        </w:rPr>
        <w:t>g.</w:t>
      </w:r>
      <w:r w:rsidRPr="00C403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C403D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83FF0" w:rsidRPr="00C403D6">
        <w:rPr>
          <w:rFonts w:ascii="Arial" w:hAnsi="Arial" w:cs="Arial"/>
          <w:sz w:val="24"/>
          <w:szCs w:val="24"/>
        </w:rPr>
        <w:t xml:space="preserve">The Facies Association (FA) here follows the </w:t>
      </w:r>
      <w:r w:rsidR="00483FF0" w:rsidRPr="005819FF">
        <w:rPr>
          <w:rFonts w:ascii="Arial" w:hAnsi="Arial" w:cs="Arial"/>
          <w:sz w:val="24"/>
          <w:szCs w:val="24"/>
        </w:rPr>
        <w:t>description of PICKERING et al.</w:t>
      </w:r>
      <w:r w:rsidR="00483FF0">
        <w:rPr>
          <w:rFonts w:ascii="Arial" w:hAnsi="Arial" w:cs="Arial"/>
          <w:sz w:val="24"/>
          <w:szCs w:val="24"/>
        </w:rPr>
        <w:t xml:space="preserve"> </w:t>
      </w:r>
      <w:r w:rsidR="00483FF0" w:rsidRPr="005819FF">
        <w:rPr>
          <w:rFonts w:ascii="Arial" w:hAnsi="Arial" w:cs="Arial"/>
          <w:sz w:val="24"/>
          <w:szCs w:val="24"/>
        </w:rPr>
        <w:t xml:space="preserve">2019 </w:t>
      </w:r>
      <w:r w:rsidR="00483FF0" w:rsidRPr="00C403D6">
        <w:rPr>
          <w:rFonts w:ascii="Arial" w:hAnsi="Arial" w:cs="Arial"/>
          <w:sz w:val="24"/>
          <w:szCs w:val="24"/>
        </w:rPr>
        <w:t>who described eight facies associations for the Nicobar Submarine Fan sediments</w:t>
      </w:r>
      <w:r>
        <w:rPr>
          <w:rFonts w:ascii="Arial" w:hAnsi="Arial" w:cs="Arial"/>
          <w:sz w:val="24"/>
          <w:szCs w:val="24"/>
        </w:rPr>
        <w:t xml:space="preserve"> and the linkage to the described of Nicobar Fan Units</w:t>
      </w:r>
      <w:r w:rsidR="00483FF0">
        <w:rPr>
          <w:rFonts w:ascii="Arial" w:hAnsi="Arial" w:cs="Arial"/>
          <w:sz w:val="24"/>
          <w:szCs w:val="24"/>
        </w:rPr>
        <w:t xml:space="preserve">. </w:t>
      </w:r>
    </w:p>
    <w:p w14:paraId="0BDAA5E8" w14:textId="1D7B95A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basal sedimentary package overlies in unconformity the Late Cretaceous to Paleocene pre-Fan volcano-sedimentary units and corresponds to the Unit IIIB containing chalk and tuffaceous mudstones siliciclastic sediments deposited between early Oligocene to early Miocene (MCNEIL et </w:t>
      </w:r>
      <w:r w:rsidRPr="005819FF">
        <w:rPr>
          <w:rFonts w:ascii="Arial" w:hAnsi="Arial" w:cs="Arial"/>
          <w:sz w:val="24"/>
          <w:szCs w:val="24"/>
        </w:rPr>
        <w:t xml:space="preserve">al., 2017, PICKERING et al., 2019). </w:t>
      </w:r>
    </w:p>
    <w:p w14:paraId="5E1B6A2E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Unit IIIA (middle Miocene) comprises interlayered thin to medium bedded, gray-green or brown mudstone and siltstones deposited in low-concentration turbidity currents. </w:t>
      </w:r>
    </w:p>
    <w:p w14:paraId="5CC549B1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Unit II is the thickest section of the Nicobar Fan, reaching up to 1250 m in the site U1480. The basal unit, the Unit IIC (Upper Miocene), overlies in conformity the Unit IIIA. It consists of siliciclastic sandstone/siltstone and mudstone interlayers with structureless muddy sandstones and subordinate hemipelagic sediments. They are interpreted as structureless mud hemipelagites (FA2) deposited in low-concentration turbidity currents, sediment gravity flows (SGF, FA3) and turbidity sediments (FA1a). Hemipelagites deposited in low turbidite currents occur a common facies association (FA4).</w:t>
      </w:r>
    </w:p>
    <w:p w14:paraId="17A8E31F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Unit IIB deposited between Upper Miocene and early Pliocene contains alternating very thin- to thin-bedded siliciclastics sands and muds represented by muddy turbidites (FA2), SGF`s (FA3), and sandy turbidites (FA1A). Structureless muds (hemipelagites, FA4)) are also present in the unit IIB.</w:t>
      </w:r>
    </w:p>
    <w:p w14:paraId="451DCB3E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upper unit, the Pliocene-Pleistocene Unit IIA, consists of alternating thin to medium bedded siliciclastics sands and muds represented by the turbidites of Facies Associations FA2-FA1a (FA4). </w:t>
      </w:r>
    </w:p>
    <w:p w14:paraId="230ADF18" w14:textId="77777777" w:rsidR="00B64562" w:rsidRDefault="00B64562" w:rsidP="00DB49A4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upper most unit, 26-m thick Quaternary Unit I, comprises biogenic calcareous mud with ash beds and siliciclastic fine-grained sand and muds. </w:t>
      </w:r>
    </w:p>
    <w:p w14:paraId="731D5FD3" w14:textId="77777777" w:rsidR="00B64562" w:rsidRDefault="00B64562" w:rsidP="00B645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846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026496" wp14:editId="54D9D86F">
            <wp:extent cx="5379720" cy="447341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74" cy="44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620" w14:textId="77777777" w:rsidR="00B64562" w:rsidRDefault="00B64562" w:rsidP="00B64562">
      <w:pPr>
        <w:keepNext/>
        <w:spacing w:line="480" w:lineRule="auto"/>
        <w:jc w:val="both"/>
      </w:pPr>
      <w:r w:rsidRPr="00C846B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4510399" wp14:editId="7303E649">
            <wp:extent cx="5380290" cy="29051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53" cy="291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D78DD" w14:textId="44B0654C" w:rsidR="00B64562" w:rsidRPr="00C403D6" w:rsidRDefault="00B64562" w:rsidP="00B64562">
      <w:pPr>
        <w:pStyle w:val="Legenda"/>
        <w:jc w:val="both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Figure 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begin"/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separate"/>
      </w:r>
      <w:r w:rsidR="00DB49A4">
        <w:rPr>
          <w:rFonts w:ascii="Arial" w:hAnsi="Arial" w:cs="Arial"/>
          <w:i w:val="0"/>
          <w:iCs w:val="0"/>
          <w:noProof/>
          <w:color w:val="000000" w:themeColor="text1"/>
          <w:sz w:val="20"/>
          <w:szCs w:val="20"/>
        </w:rPr>
        <w:t>1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fldChar w:fldCharType="end"/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 Simplified lithostratigraphic columns of cores at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IODP-Expedition 362,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sites U1480 and U1481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,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with the division between units, Facies Association (FA), age and composite recovery.</w:t>
      </w:r>
      <w:r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</w:t>
      </w:r>
      <w:r w:rsidRPr="00F8093C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>Composite recovery represents the recovery of samples per lithological unit and describes an organization of the structure taken from the seabed.</w:t>
      </w:r>
      <w:r w:rsidRPr="00C403D6"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  <w:t xml:space="preserve"> (after MCNEIL et al., 2017 </w:t>
      </w:r>
      <w:r w:rsidRPr="005819FF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in PICKERING et al., 2019).  </w:t>
      </w:r>
    </w:p>
    <w:p w14:paraId="1B37CA1D" w14:textId="46211FD0" w:rsidR="00B64562" w:rsidRPr="00C8611C" w:rsidRDefault="00B64562">
      <w:pPr>
        <w:rPr>
          <w:rFonts w:ascii="Arial" w:hAnsi="Arial" w:cs="Arial"/>
          <w:sz w:val="24"/>
          <w:szCs w:val="24"/>
        </w:rPr>
      </w:pPr>
    </w:p>
    <w:p w14:paraId="7FCE4B52" w14:textId="282C840C" w:rsidR="00C8611C" w:rsidRPr="00C8611C" w:rsidRDefault="00C8611C">
      <w:pPr>
        <w:rPr>
          <w:rFonts w:ascii="Arial" w:hAnsi="Arial" w:cs="Arial"/>
          <w:sz w:val="24"/>
          <w:szCs w:val="24"/>
        </w:rPr>
      </w:pPr>
    </w:p>
    <w:p w14:paraId="4ED2928E" w14:textId="2455E9BC" w:rsidR="00C8611C" w:rsidRDefault="00C8611C">
      <w:pPr>
        <w:rPr>
          <w:rFonts w:ascii="Arial" w:hAnsi="Arial" w:cs="Arial"/>
          <w:sz w:val="24"/>
          <w:szCs w:val="24"/>
        </w:rPr>
      </w:pPr>
      <w:r w:rsidRPr="00C8611C">
        <w:rPr>
          <w:rFonts w:ascii="Arial" w:hAnsi="Arial" w:cs="Arial"/>
          <w:sz w:val="24"/>
          <w:szCs w:val="24"/>
        </w:rPr>
        <w:t>References</w:t>
      </w:r>
    </w:p>
    <w:p w14:paraId="627C78E0" w14:textId="7DB7BE1F" w:rsidR="00FA5BFB" w:rsidRPr="00743975" w:rsidRDefault="00FA5BFB" w:rsidP="008D7CAA">
      <w:pPr>
        <w:jc w:val="both"/>
        <w:rPr>
          <w:rFonts w:ascii="Arial" w:hAnsi="Arial" w:cs="Arial"/>
          <w:sz w:val="24"/>
          <w:szCs w:val="24"/>
        </w:rPr>
      </w:pPr>
      <w:r w:rsidRPr="005504A2">
        <w:rPr>
          <w:rFonts w:ascii="Arial" w:hAnsi="Arial" w:cs="Arial"/>
          <w:sz w:val="24"/>
          <w:szCs w:val="24"/>
        </w:rPr>
        <w:t xml:space="preserve">MCNEILL, L. C. et al., 2017. </w:t>
      </w:r>
      <w:r w:rsidRPr="00743975">
        <w:rPr>
          <w:rFonts w:ascii="Arial" w:hAnsi="Arial" w:cs="Arial"/>
          <w:sz w:val="24"/>
          <w:szCs w:val="24"/>
        </w:rPr>
        <w:t>Expedition 362 methods. Proceedings of the International Ocean Discovery Program, 362. https://doi.org/10.14379/iodp.proc.362.102.2017.</w:t>
      </w:r>
    </w:p>
    <w:p w14:paraId="1F4401B2" w14:textId="77777777" w:rsidR="00E424D8" w:rsidRPr="00743975" w:rsidRDefault="00E424D8" w:rsidP="00E424D8">
      <w:pPr>
        <w:jc w:val="both"/>
        <w:rPr>
          <w:rFonts w:ascii="Arial" w:hAnsi="Arial" w:cs="Arial"/>
          <w:sz w:val="24"/>
          <w:szCs w:val="24"/>
        </w:rPr>
      </w:pPr>
      <w:r w:rsidRPr="00421C0C">
        <w:rPr>
          <w:rFonts w:ascii="Arial" w:hAnsi="Arial" w:cs="Arial"/>
          <w:sz w:val="24"/>
          <w:szCs w:val="24"/>
        </w:rPr>
        <w:t>PICKERING, K.T.</w:t>
      </w:r>
      <w:r>
        <w:rPr>
          <w:rFonts w:ascii="Arial" w:hAnsi="Arial" w:cs="Arial"/>
          <w:sz w:val="24"/>
          <w:szCs w:val="24"/>
        </w:rPr>
        <w:t xml:space="preserve"> at al.</w:t>
      </w:r>
      <w:r w:rsidRPr="00421C0C">
        <w:rPr>
          <w:rFonts w:ascii="Arial" w:hAnsi="Arial" w:cs="Arial"/>
          <w:sz w:val="24"/>
          <w:szCs w:val="24"/>
        </w:rPr>
        <w:t>, 2019. Sedimentology, stratigraphy and architecture of the Nicobar Fan (Bengal–Nicobar Fan System), Indian Ocean: Results from International Ocean Discovery Program Expedition 362. Sedimentology. https://doi.org/10.1111/sed.12701</w:t>
      </w:r>
      <w:r>
        <w:rPr>
          <w:rFonts w:ascii="Arial" w:hAnsi="Arial" w:cs="Arial"/>
          <w:sz w:val="24"/>
          <w:szCs w:val="24"/>
        </w:rPr>
        <w:t>.</w:t>
      </w:r>
    </w:p>
    <w:p w14:paraId="50751B92" w14:textId="77777777" w:rsidR="00E424D8" w:rsidRPr="00743975" w:rsidRDefault="00E424D8" w:rsidP="00F92EFD">
      <w:pPr>
        <w:jc w:val="both"/>
        <w:rPr>
          <w:rFonts w:ascii="Arial" w:hAnsi="Arial" w:cs="Arial"/>
          <w:sz w:val="24"/>
          <w:szCs w:val="24"/>
        </w:rPr>
      </w:pPr>
    </w:p>
    <w:p w14:paraId="0EF48D18" w14:textId="77777777" w:rsidR="00655F6D" w:rsidRPr="00C8611C" w:rsidRDefault="00655F6D">
      <w:pPr>
        <w:rPr>
          <w:rFonts w:ascii="Arial" w:hAnsi="Arial" w:cs="Arial"/>
          <w:sz w:val="24"/>
          <w:szCs w:val="24"/>
        </w:rPr>
      </w:pPr>
    </w:p>
    <w:sectPr w:rsidR="00655F6D" w:rsidRPr="00C86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QJzc2MLYzMTU0NTMyUdpeDU4uLM/DyQAqNaAH+qQ28sAAAA"/>
  </w:docVars>
  <w:rsids>
    <w:rsidRoot w:val="00B64562"/>
    <w:rsid w:val="00266E71"/>
    <w:rsid w:val="00483FF0"/>
    <w:rsid w:val="005504A2"/>
    <w:rsid w:val="00655F6D"/>
    <w:rsid w:val="008D7CAA"/>
    <w:rsid w:val="00A2300F"/>
    <w:rsid w:val="00AB1430"/>
    <w:rsid w:val="00B64562"/>
    <w:rsid w:val="00BB6A46"/>
    <w:rsid w:val="00BC1740"/>
    <w:rsid w:val="00C8611C"/>
    <w:rsid w:val="00DA73FA"/>
    <w:rsid w:val="00DB49A4"/>
    <w:rsid w:val="00E424D8"/>
    <w:rsid w:val="00F92EFD"/>
    <w:rsid w:val="00FA5BFB"/>
    <w:rsid w:val="00FD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AAABA"/>
  <w15:chartTrackingRefBased/>
  <w15:docId w15:val="{4187B323-835E-4A1E-9AD9-085A018E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56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B64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">
    <w:name w:val="Text"/>
    <w:basedOn w:val="Normal"/>
    <w:uiPriority w:val="99"/>
    <w:rsid w:val="00483FF0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A5B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Bressan</dc:creator>
  <cp:keywords/>
  <dc:description/>
  <cp:lastModifiedBy>Thiago Bressan</cp:lastModifiedBy>
  <cp:revision>3</cp:revision>
  <dcterms:created xsi:type="dcterms:W3CDTF">2021-01-19T19:47:00Z</dcterms:created>
  <dcterms:modified xsi:type="dcterms:W3CDTF">2021-01-20T00:15:00Z</dcterms:modified>
</cp:coreProperties>
</file>