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F4" w:rsidRPr="00EA761B" w:rsidRDefault="007A0B52" w:rsidP="00EA761B">
      <w:pPr>
        <w:pStyle w:val="ListParagraph"/>
        <w:numPr>
          <w:ilvl w:val="0"/>
          <w:numId w:val="13"/>
        </w:numPr>
        <w:spacing w:after="0"/>
        <w:ind w:left="993" w:hanging="284"/>
        <w:rPr>
          <w:szCs w:val="28"/>
        </w:rPr>
      </w:pPr>
      <w:r w:rsidRPr="007A0B52">
        <w:rPr>
          <w:rFonts w:eastAsiaTheme="minorEastAsia"/>
          <w:b/>
          <w:sz w:val="32"/>
        </w:rPr>
        <w:t>Экономическое обоснование проекта по разработке программно-аппаратного комплекса</w:t>
      </w:r>
      <w:r w:rsidRPr="007A0B52">
        <w:rPr>
          <w:rFonts w:eastAsiaTheme="minorEastAsia"/>
          <w:b/>
          <w:sz w:val="32"/>
        </w:rPr>
        <w:tab/>
      </w:r>
      <w:r w:rsidR="00156AB2">
        <w:rPr>
          <w:rFonts w:eastAsiaTheme="minorEastAsia"/>
          <w:b/>
          <w:sz w:val="32"/>
        </w:rPr>
        <w:t xml:space="preserve"> </w:t>
      </w:r>
      <w:r w:rsidR="007B4DCC">
        <w:rPr>
          <w:rFonts w:eastAsiaTheme="minorEastAsia"/>
          <w:b/>
          <w:sz w:val="32"/>
        </w:rPr>
        <w:t>исследования динамики заучивания</w:t>
      </w:r>
    </w:p>
    <w:p w:rsidR="00EA761B" w:rsidRPr="00EA761B" w:rsidRDefault="00EA761B" w:rsidP="00EA761B">
      <w:pPr>
        <w:spacing w:after="0"/>
        <w:rPr>
          <w:szCs w:val="28"/>
        </w:rPr>
      </w:pPr>
    </w:p>
    <w:p w:rsidR="00402FF5" w:rsidRDefault="00402FF5" w:rsidP="0016451D">
      <w:pPr>
        <w:spacing w:after="0"/>
        <w:ind w:firstLine="709"/>
        <w:rPr>
          <w:b/>
          <w:szCs w:val="28"/>
        </w:rPr>
      </w:pPr>
      <w:r>
        <w:rPr>
          <w:b/>
          <w:szCs w:val="28"/>
        </w:rPr>
        <w:t xml:space="preserve">6.1 </w:t>
      </w:r>
      <w:r w:rsidR="0016451D">
        <w:rPr>
          <w:b/>
          <w:szCs w:val="28"/>
        </w:rPr>
        <w:t xml:space="preserve">Функции </w:t>
      </w:r>
      <w:bookmarkStart w:id="0" w:name="_GoBack"/>
      <w:bookmarkEnd w:id="0"/>
      <w:r w:rsidR="0016451D" w:rsidRPr="0016451D">
        <w:rPr>
          <w:b/>
          <w:szCs w:val="28"/>
        </w:rPr>
        <w:t>, назначения и</w:t>
      </w:r>
      <w:r w:rsidR="0016451D">
        <w:rPr>
          <w:b/>
          <w:szCs w:val="28"/>
        </w:rPr>
        <w:t xml:space="preserve"> потенциальных п</w:t>
      </w:r>
      <w:r w:rsidR="0016451D" w:rsidRPr="0016451D">
        <w:rPr>
          <w:b/>
          <w:szCs w:val="28"/>
        </w:rPr>
        <w:t>ользователей ПО</w:t>
      </w:r>
    </w:p>
    <w:p w:rsidR="00402FF5" w:rsidRDefault="00402FF5" w:rsidP="008F62D5">
      <w:pPr>
        <w:spacing w:after="0"/>
        <w:ind w:firstLine="709"/>
        <w:jc w:val="both"/>
        <w:rPr>
          <w:szCs w:val="28"/>
        </w:rPr>
      </w:pPr>
    </w:p>
    <w:p w:rsidR="008F62D5" w:rsidRPr="00351971" w:rsidRDefault="007A0B52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Pr="006E4950">
        <w:rPr>
          <w:szCs w:val="28"/>
        </w:rPr>
        <w:t xml:space="preserve"> </w:t>
      </w:r>
      <w:r>
        <w:rPr>
          <w:szCs w:val="28"/>
        </w:rPr>
        <w:t xml:space="preserve">или группы испытуемых в различных условиях </w:t>
      </w:r>
      <w:r w:rsidRPr="006E4950">
        <w:rPr>
          <w:szCs w:val="28"/>
        </w:rPr>
        <w:t>[</w:t>
      </w:r>
      <w:r w:rsidR="007B4DCC" w:rsidRPr="007B4DCC">
        <w:rPr>
          <w:szCs w:val="28"/>
        </w:rPr>
        <w:t>1</w:t>
      </w:r>
      <w:r w:rsidRPr="006E4950">
        <w:rPr>
          <w:szCs w:val="28"/>
        </w:rPr>
        <w:t>]</w:t>
      </w:r>
      <w:r w:rsidR="00312BFE">
        <w:rPr>
          <w:szCs w:val="28"/>
        </w:rPr>
        <w:t>.</w:t>
      </w:r>
    </w:p>
    <w:p w:rsidR="008F62D5" w:rsidRPr="00840C9D" w:rsidRDefault="008F62D5" w:rsidP="008F62D5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7A0B52" w:rsidRDefault="008F62D5" w:rsidP="008F62D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Cs w:val="28"/>
        </w:rPr>
        <w:t>[3].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задачи проектируемой системы:</w:t>
      </w:r>
    </w:p>
    <w:p w:rsidR="007A0B52" w:rsidRDefault="007A0B52" w:rsidP="00312BFE">
      <w:pPr>
        <w:pStyle w:val="ListParagraph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облегчить подготовку к выполнению опытов по методике;</w:t>
      </w:r>
    </w:p>
    <w:p w:rsidR="007A0B52" w:rsidRDefault="007A0B52" w:rsidP="00312BFE">
      <w:pPr>
        <w:pStyle w:val="ListParagraph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ускорить выполнение опыта;</w:t>
      </w:r>
    </w:p>
    <w:p w:rsidR="007A0B52" w:rsidRPr="00351971" w:rsidRDefault="007A0B52" w:rsidP="00312BFE">
      <w:pPr>
        <w:pStyle w:val="ListParagraph"/>
        <w:numPr>
          <w:ilvl w:val="0"/>
          <w:numId w:val="38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позволить провести анализ результатов выполненных опытов.</w:t>
      </w:r>
    </w:p>
    <w:p w:rsidR="007A0B52" w:rsidRDefault="007A0B52" w:rsidP="00312BF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 задач определяются режимы работы системы: </w:t>
      </w:r>
    </w:p>
    <w:p w:rsidR="007A0B52" w:rsidRDefault="007A0B52" w:rsidP="00312BFE">
      <w:pPr>
        <w:pStyle w:val="ListParagraph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заполнение стимульного материала;</w:t>
      </w:r>
    </w:p>
    <w:p w:rsidR="007A0B52" w:rsidRDefault="007A0B52" w:rsidP="00312BFE">
      <w:pPr>
        <w:pStyle w:val="ListParagraph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выполнение опыта;</w:t>
      </w:r>
    </w:p>
    <w:p w:rsidR="007A0B52" w:rsidRDefault="007A0B52" w:rsidP="008F62D5">
      <w:pPr>
        <w:pStyle w:val="ListParagraph"/>
        <w:numPr>
          <w:ilvl w:val="0"/>
          <w:numId w:val="39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анализ результатов.</w:t>
      </w:r>
      <w:r w:rsidR="008F62D5">
        <w:rPr>
          <w:szCs w:val="28"/>
        </w:rPr>
        <w:t xml:space="preserve"> </w:t>
      </w:r>
    </w:p>
    <w:p w:rsidR="007B4DCC" w:rsidRDefault="008F62D5" w:rsidP="00901C27">
      <w:pPr>
        <w:pStyle w:val="ListParagraph"/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Таким образом </w:t>
      </w:r>
      <w:r w:rsidR="00617217">
        <w:rPr>
          <w:szCs w:val="28"/>
        </w:rPr>
        <w:t>следует произвести э</w:t>
      </w:r>
      <w:r w:rsidR="00617217" w:rsidRPr="00617217">
        <w:rPr>
          <w:szCs w:val="28"/>
        </w:rPr>
        <w:t>кономическое обоснование проекта по разработке программно-аппаратного комплекса</w:t>
      </w:r>
      <w:r w:rsidR="00617217">
        <w:rPr>
          <w:szCs w:val="28"/>
        </w:rPr>
        <w:t xml:space="preserve"> </w:t>
      </w:r>
      <w:r w:rsidR="00617217" w:rsidRPr="00617217">
        <w:rPr>
          <w:szCs w:val="28"/>
        </w:rPr>
        <w:t>для собственных нужд</w:t>
      </w:r>
      <w:r w:rsidR="00617217">
        <w:rPr>
          <w:szCs w:val="28"/>
        </w:rPr>
        <w:t xml:space="preserve"> кафедры инженерной психологии и эргономики, включающее в себя расчеты стоимостной оценки затрат, стоимостной оценки результата внедрения и </w:t>
      </w:r>
      <w:r w:rsidR="00617217" w:rsidRPr="00617217">
        <w:rPr>
          <w:szCs w:val="28"/>
        </w:rPr>
        <w:t>показателей эффективности использования</w:t>
      </w:r>
      <w:r w:rsidR="00617217">
        <w:rPr>
          <w:szCs w:val="28"/>
        </w:rPr>
        <w:t xml:space="preserve"> программно-аппаратного комплекса.</w:t>
      </w:r>
      <w:r w:rsidR="00617217"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402FF5">
        <w:rPr>
          <w:szCs w:val="28"/>
        </w:rPr>
        <w:lastRenderedPageBreak/>
        <w:t>Упрощенный расчет затрат на разработку программно-аппаратного комплекса исследования динамики заучивания</w:t>
      </w:r>
      <w:r w:rsidRPr="007B4DCC">
        <w:rPr>
          <w:szCs w:val="28"/>
        </w:rPr>
        <w:t xml:space="preserve"> </w:t>
      </w:r>
      <w:r>
        <w:rPr>
          <w:szCs w:val="28"/>
        </w:rPr>
        <w:t>включает в себя рассчеты: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Pr="007B4DCC">
        <w:rPr>
          <w:szCs w:val="28"/>
        </w:rPr>
        <w:t>[4].</w:t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7B4DCC" w:rsidRPr="007B4DCC" w:rsidRDefault="007B4DCC" w:rsidP="007B4DCC">
      <w:pPr>
        <w:spacing w:after="0"/>
        <w:rPr>
          <w:szCs w:val="28"/>
        </w:rPr>
      </w:pPr>
      <w:r w:rsidRPr="007B4DCC">
        <w:rPr>
          <w:szCs w:val="28"/>
        </w:rPr>
        <w:t>заработной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 w:rsidR="00896BBE">
        <w:rPr>
          <w:szCs w:val="28"/>
        </w:rPr>
        <w:t xml:space="preserve"> 6.2.1.</w:t>
      </w:r>
    </w:p>
    <w:p w:rsidR="00896BBE" w:rsidRDefault="00896BBE" w:rsidP="007B4DCC">
      <w:pPr>
        <w:spacing w:after="0"/>
        <w:ind w:firstLine="709"/>
        <w:rPr>
          <w:szCs w:val="28"/>
        </w:rPr>
      </w:pPr>
    </w:p>
    <w:p w:rsidR="00896BBE" w:rsidRPr="00A12D91" w:rsidRDefault="0016451D" w:rsidP="00896BBE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896BBE" w:rsidRPr="00A12D91">
        <w:rPr>
          <w:rFonts w:eastAsiaTheme="minorEastAsia"/>
          <w:sz w:val="36"/>
          <w:szCs w:val="28"/>
        </w:rPr>
        <w:t xml:space="preserve">              </w:t>
      </w:r>
      <w:r w:rsidR="00896BBE" w:rsidRPr="00896BBE">
        <w:rPr>
          <w:szCs w:val="28"/>
        </w:rPr>
        <w:t xml:space="preserve">                      </w:t>
      </w:r>
      <w:r w:rsidR="00896BBE" w:rsidRPr="007B4DCC">
        <w:rPr>
          <w:szCs w:val="28"/>
        </w:rPr>
        <w:t>(</w:t>
      </w:r>
      <w:r w:rsidR="00896BBE">
        <w:rPr>
          <w:szCs w:val="28"/>
        </w:rPr>
        <w:t>6.</w:t>
      </w:r>
      <w:r w:rsidR="00887698">
        <w:rPr>
          <w:szCs w:val="28"/>
        </w:rPr>
        <w:t>1</w:t>
      </w:r>
      <w:r w:rsidR="00896BBE" w:rsidRPr="007B4DCC">
        <w:rPr>
          <w:szCs w:val="28"/>
        </w:rPr>
        <w:t>.1)</w:t>
      </w:r>
    </w:p>
    <w:p w:rsidR="00AA7CA4" w:rsidRDefault="00AA7CA4" w:rsidP="0099226C">
      <w:pPr>
        <w:spacing w:after="0"/>
        <w:rPr>
          <w:szCs w:val="28"/>
        </w:rPr>
      </w:pPr>
    </w:p>
    <w:p w:rsidR="007B4DCC" w:rsidRPr="007B4DCC" w:rsidRDefault="007B4DCC" w:rsidP="0099226C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 w:rsidR="0099226C">
        <w:rPr>
          <w:szCs w:val="28"/>
        </w:rPr>
        <w:t>комплекса</w:t>
      </w:r>
      <w:r w:rsidRPr="007B4DCC">
        <w:rPr>
          <w:szCs w:val="28"/>
        </w:rPr>
        <w:t>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r w:rsidRPr="007B4DCC">
        <w:rPr>
          <w:szCs w:val="28"/>
        </w:rPr>
        <w:t xml:space="preserve"> – часовая заработная плата i-го исполнителя (руб.);</w:t>
      </w:r>
    </w:p>
    <w:p w:rsidR="007B4DCC" w:rsidRPr="007B4DCC" w:rsidRDefault="007B4DCC" w:rsidP="0099226C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r w:rsidRPr="007B4DCC">
        <w:rPr>
          <w:szCs w:val="28"/>
        </w:rPr>
        <w:t xml:space="preserve"> – трудоемкость работ, выполняемых i-м исполнителем (ч)</w:t>
      </w:r>
      <w:r w:rsidR="00AA7CA4"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7B4DCC" w:rsidRPr="0099226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 w:rsidR="0099226C"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 w:rsidR="0099226C"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 w:rsidR="0099226C">
        <w:rPr>
          <w:szCs w:val="28"/>
        </w:rPr>
        <w:t>К</w:t>
      </w:r>
      <w:r w:rsidR="0099226C" w:rsidRPr="007B4DCC">
        <w:rPr>
          <w:szCs w:val="28"/>
        </w:rPr>
        <w:t>оличество рабочих часов в месяце</w:t>
      </w:r>
      <w:r w:rsidR="0099226C">
        <w:rPr>
          <w:szCs w:val="28"/>
        </w:rPr>
        <w:t xml:space="preserve"> принимается равным 168 </w:t>
      </w:r>
      <w:r w:rsidR="0099226C" w:rsidRPr="0099226C">
        <w:rPr>
          <w:szCs w:val="28"/>
        </w:rPr>
        <w:t>[4]</w:t>
      </w:r>
      <w:r w:rsidRPr="007B4DCC">
        <w:rPr>
          <w:szCs w:val="28"/>
        </w:rPr>
        <w:t>.</w:t>
      </w:r>
      <w:r w:rsidR="0099226C" w:rsidRPr="0099226C">
        <w:rPr>
          <w:szCs w:val="28"/>
        </w:rPr>
        <w:t xml:space="preserve"> </w:t>
      </w:r>
      <w:r w:rsidR="0099226C">
        <w:rPr>
          <w:szCs w:val="28"/>
        </w:rPr>
        <w:t>Разработка проводилась одним разработчиком, месячная заработная плата составляла 500 рублей.</w:t>
      </w:r>
    </w:p>
    <w:p w:rsidR="007B4DCC" w:rsidRPr="007B4DCC" w:rsidRDefault="00661D7A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="007B4DCC" w:rsidRPr="007B4DCC">
        <w:rPr>
          <w:szCs w:val="28"/>
        </w:rPr>
        <w:t xml:space="preserve">рудоемкость </w:t>
      </w:r>
      <w:r>
        <w:rPr>
          <w:szCs w:val="28"/>
        </w:rPr>
        <w:t xml:space="preserve">разработки: она составила 50 часов. Премиальный фонд был установлен в 75% от заработной платы согласно рекомендациям </w:t>
      </w:r>
      <w:r w:rsidRPr="00661D7A">
        <w:rPr>
          <w:szCs w:val="28"/>
        </w:rPr>
        <w:t xml:space="preserve">[4]. </w:t>
      </w:r>
      <w:r>
        <w:rPr>
          <w:szCs w:val="28"/>
        </w:rPr>
        <w:t xml:space="preserve">Расчет представлен в </w:t>
      </w:r>
      <w:r w:rsidR="007B4DCC" w:rsidRPr="007B4DCC">
        <w:rPr>
          <w:szCs w:val="28"/>
        </w:rPr>
        <w:t>таблиц</w:t>
      </w:r>
      <w:r>
        <w:rPr>
          <w:szCs w:val="28"/>
        </w:rPr>
        <w:t>е</w:t>
      </w:r>
      <w:r w:rsidR="007B4DCC" w:rsidRPr="007B4DCC">
        <w:rPr>
          <w:szCs w:val="28"/>
        </w:rPr>
        <w:t xml:space="preserve"> </w:t>
      </w:r>
      <w:r>
        <w:rPr>
          <w:szCs w:val="28"/>
        </w:rPr>
        <w:t>6</w:t>
      </w:r>
      <w:r w:rsidR="007B4DCC" w:rsidRPr="007B4DCC">
        <w:rPr>
          <w:szCs w:val="28"/>
        </w:rPr>
        <w:t>.</w:t>
      </w:r>
      <w:r>
        <w:rPr>
          <w:szCs w:val="28"/>
        </w:rPr>
        <w:t>2</w:t>
      </w:r>
      <w:r w:rsidR="007B4DCC" w:rsidRPr="007B4DCC">
        <w:rPr>
          <w:szCs w:val="28"/>
        </w:rPr>
        <w:t>.</w:t>
      </w:r>
      <w:r>
        <w:rPr>
          <w:szCs w:val="28"/>
        </w:rPr>
        <w:t>1</w:t>
      </w:r>
    </w:p>
    <w:p w:rsidR="00582D64" w:rsidRDefault="00582D64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7B4DCC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661D7A">
        <w:rPr>
          <w:szCs w:val="28"/>
        </w:rPr>
        <w:t>6.</w:t>
      </w:r>
      <w:r w:rsidR="00887698">
        <w:rPr>
          <w:szCs w:val="28"/>
        </w:rPr>
        <w:t>1</w:t>
      </w:r>
      <w:r w:rsidRPr="007B4DCC">
        <w:rPr>
          <w:szCs w:val="28"/>
        </w:rPr>
        <w:t>.1 – Расчет затрат на основную заработную плату команды</w:t>
      </w:r>
    </w:p>
    <w:p w:rsidR="00582D64" w:rsidRDefault="00582D64" w:rsidP="007B4DCC">
      <w:pPr>
        <w:spacing w:after="0"/>
        <w:ind w:firstLine="709"/>
        <w:rPr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395"/>
        <w:gridCol w:w="1431"/>
        <w:gridCol w:w="1661"/>
        <w:gridCol w:w="1431"/>
      </w:tblGrid>
      <w:tr w:rsidR="00582D64" w:rsidRPr="002053DC" w:rsidTr="002053DC">
        <w:tc>
          <w:tcPr>
            <w:tcW w:w="1668" w:type="dxa"/>
            <w:vAlign w:val="center"/>
          </w:tcPr>
          <w:p w:rsidR="00582D64" w:rsidRPr="002053DC" w:rsidRDefault="002053DC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Работник</w:t>
            </w:r>
          </w:p>
        </w:tc>
        <w:tc>
          <w:tcPr>
            <w:tcW w:w="1984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Выполняемые работы</w:t>
            </w:r>
          </w:p>
        </w:tc>
        <w:tc>
          <w:tcPr>
            <w:tcW w:w="1395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Месячная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Часовая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Трудоемкость работ, часов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Основная</w:t>
            </w:r>
          </w:p>
          <w:p w:rsidR="00582D64" w:rsidRPr="002053DC" w:rsidRDefault="00582D64" w:rsidP="002053DC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заработная</w:t>
            </w:r>
          </w:p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плата, р.</w:t>
            </w:r>
          </w:p>
        </w:tc>
      </w:tr>
      <w:tr w:rsidR="002D234F" w:rsidRPr="002053DC" w:rsidTr="002053DC">
        <w:tc>
          <w:tcPr>
            <w:tcW w:w="1668" w:type="dxa"/>
            <w:vMerge w:val="restart"/>
            <w:vAlign w:val="center"/>
          </w:tcPr>
          <w:p w:rsidR="002D234F" w:rsidRPr="002053DC" w:rsidRDefault="0015159E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1.</w:t>
            </w:r>
            <w:r w:rsidR="002053DC" w:rsidRPr="002053DC">
              <w:rPr>
                <w:rFonts w:cs="Times New Roman"/>
                <w:sz w:val="22"/>
                <w:szCs w:val="24"/>
              </w:rPr>
              <w:t xml:space="preserve"> Разработчик</w:t>
            </w: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Бизнес-анализ</w:t>
            </w:r>
          </w:p>
        </w:tc>
        <w:tc>
          <w:tcPr>
            <w:tcW w:w="1395" w:type="dxa"/>
            <w:vMerge w:val="restart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500</w:t>
            </w:r>
          </w:p>
        </w:tc>
        <w:tc>
          <w:tcPr>
            <w:tcW w:w="1431" w:type="dxa"/>
            <w:vMerge w:val="restart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2,98</w:t>
            </w: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2,5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7,45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Системное проектирование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0,5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1,49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Программная реализация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40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119,20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Тестирование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14,90</w:t>
            </w:r>
          </w:p>
        </w:tc>
      </w:tr>
      <w:tr w:rsidR="002D234F" w:rsidRPr="002053DC" w:rsidTr="002053DC">
        <w:tc>
          <w:tcPr>
            <w:tcW w:w="1668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Дизайн</w:t>
            </w:r>
          </w:p>
        </w:tc>
        <w:tc>
          <w:tcPr>
            <w:tcW w:w="1395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Merge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5.96</w:t>
            </w:r>
          </w:p>
        </w:tc>
      </w:tr>
      <w:tr w:rsidR="00582D64" w:rsidRPr="002053DC" w:rsidTr="002053DC">
        <w:tc>
          <w:tcPr>
            <w:tcW w:w="1668" w:type="dxa"/>
            <w:vMerge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582D64" w:rsidRPr="002053DC" w:rsidRDefault="00582D64" w:rsidP="002053DC">
            <w:pPr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582D64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149</w:t>
            </w:r>
          </w:p>
        </w:tc>
      </w:tr>
      <w:tr w:rsidR="002D234F" w:rsidRPr="002053DC" w:rsidTr="002053DC">
        <w:tc>
          <w:tcPr>
            <w:tcW w:w="8139" w:type="dxa"/>
            <w:gridSpan w:val="5"/>
            <w:vAlign w:val="center"/>
          </w:tcPr>
          <w:p w:rsidR="002D234F" w:rsidRPr="002053DC" w:rsidRDefault="002D234F" w:rsidP="002053DC">
            <w:pPr>
              <w:autoSpaceDE w:val="0"/>
              <w:autoSpaceDN w:val="0"/>
              <w:adjustRightInd w:val="0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111,75</w:t>
            </w:r>
          </w:p>
        </w:tc>
      </w:tr>
      <w:tr w:rsidR="002D234F" w:rsidRPr="002053DC" w:rsidTr="002053DC">
        <w:tc>
          <w:tcPr>
            <w:tcW w:w="8139" w:type="dxa"/>
            <w:gridSpan w:val="5"/>
            <w:vAlign w:val="center"/>
          </w:tcPr>
          <w:p w:rsidR="002D234F" w:rsidRPr="002053DC" w:rsidRDefault="002D234F" w:rsidP="002053DC">
            <w:pPr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2D234F" w:rsidRPr="002053DC" w:rsidRDefault="002D234F" w:rsidP="002053DC">
            <w:pPr>
              <w:jc w:val="center"/>
              <w:rPr>
                <w:rFonts w:cs="Times New Roman"/>
                <w:sz w:val="22"/>
                <w:szCs w:val="24"/>
              </w:rPr>
            </w:pPr>
            <w:r w:rsidRPr="002053DC">
              <w:rPr>
                <w:rFonts w:cs="Times New Roman"/>
                <w:sz w:val="22"/>
                <w:szCs w:val="24"/>
              </w:rPr>
              <w:t>260,75</w:t>
            </w:r>
          </w:p>
        </w:tc>
      </w:tr>
    </w:tbl>
    <w:p w:rsidR="002D234F" w:rsidRDefault="002D234F" w:rsidP="007B4DCC">
      <w:pPr>
        <w:spacing w:after="0"/>
        <w:ind w:firstLine="709"/>
        <w:rPr>
          <w:szCs w:val="28"/>
        </w:rPr>
      </w:pP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 w:rsidR="002D234F"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 w:rsidR="002D234F"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 w:rsidR="00896BBE">
        <w:rPr>
          <w:szCs w:val="28"/>
        </w:rPr>
        <w:t>). Выполняется по формуле 6.2.2</w:t>
      </w:r>
      <w:r w:rsidR="00AA7CA4">
        <w:rPr>
          <w:szCs w:val="28"/>
        </w:rPr>
        <w:t xml:space="preserve"> </w:t>
      </w:r>
      <w:r w:rsidR="00AA7CA4" w:rsidRPr="00A12D91">
        <w:rPr>
          <w:szCs w:val="28"/>
        </w:rPr>
        <w:t>[4]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16451D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       </w:t>
      </w:r>
      <w:r w:rsidR="00AA7CA4" w:rsidRPr="00AA7CA4">
        <w:rPr>
          <w:rFonts w:eastAsiaTheme="minorEastAsia"/>
          <w:sz w:val="36"/>
          <w:szCs w:val="28"/>
        </w:rPr>
        <w:t xml:space="preserve">   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AA7CA4">
        <w:rPr>
          <w:szCs w:val="28"/>
        </w:rPr>
        <w:t>6.</w:t>
      </w:r>
      <w:r w:rsidR="00887698">
        <w:rPr>
          <w:szCs w:val="28"/>
        </w:rPr>
        <w:t>1</w:t>
      </w:r>
      <w:r w:rsidR="00AA7CA4" w:rsidRPr="007B4DCC">
        <w:rPr>
          <w:szCs w:val="28"/>
        </w:rPr>
        <w:t>.</w:t>
      </w:r>
      <w:r w:rsidR="00AA7CA4" w:rsidRPr="00AA7CA4">
        <w:rPr>
          <w:szCs w:val="28"/>
        </w:rPr>
        <w:t>2</w:t>
      </w:r>
      <w:r w:rsidR="00AA7CA4" w:rsidRPr="007B4DCC">
        <w:rPr>
          <w:szCs w:val="28"/>
        </w:rPr>
        <w:t>)</w:t>
      </w:r>
    </w:p>
    <w:p w:rsidR="00AA7CA4" w:rsidRDefault="00AA7CA4" w:rsidP="002D234F">
      <w:pPr>
        <w:spacing w:after="0"/>
        <w:rPr>
          <w:szCs w:val="28"/>
        </w:rPr>
      </w:pPr>
    </w:p>
    <w:p w:rsidR="007B4DCC" w:rsidRPr="007B4DCC" w:rsidRDefault="007B4DCC" w:rsidP="002D234F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2D234F" w:rsidRDefault="007B4DCC" w:rsidP="002D234F">
      <w:pPr>
        <w:spacing w:after="0"/>
        <w:rPr>
          <w:szCs w:val="28"/>
        </w:rPr>
      </w:pPr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r w:rsidRPr="007B4DCC">
        <w:rPr>
          <w:szCs w:val="28"/>
        </w:rPr>
        <w:t xml:space="preserve"> – норматив </w:t>
      </w:r>
      <w:r w:rsidR="002D234F">
        <w:rPr>
          <w:szCs w:val="28"/>
        </w:rPr>
        <w:t>дополнительной заработной платы</w:t>
      </w:r>
      <w:r w:rsidR="00AA7CA4" w:rsidRPr="00AA7CA4">
        <w:rPr>
          <w:szCs w:val="28"/>
        </w:rPr>
        <w:t xml:space="preserve"> [4]</w:t>
      </w:r>
      <w:r w:rsidR="002D234F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[4] и </w:t>
      </w:r>
      <w:r w:rsidRPr="007B4DCC">
        <w:rPr>
          <w:szCs w:val="28"/>
        </w:rPr>
        <w:t>затрат</w:t>
      </w:r>
      <w:r w:rsidR="00057632"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</w:t>
      </w:r>
      <w:r w:rsidR="00057632">
        <w:rPr>
          <w:szCs w:val="28"/>
        </w:rPr>
        <w:t>260,75 руб.</w:t>
      </w:r>
      <w:r>
        <w:rPr>
          <w:szCs w:val="28"/>
        </w:rPr>
        <w:t xml:space="preserve"> з</w:t>
      </w:r>
      <w:r w:rsidRPr="007B4DCC">
        <w:rPr>
          <w:szCs w:val="28"/>
        </w:rPr>
        <w:t>атраты на дополнительную заработную плату</w:t>
      </w:r>
      <w:r w:rsidR="00057632">
        <w:rPr>
          <w:szCs w:val="28"/>
        </w:rPr>
        <w:t xml:space="preserve"> </w:t>
      </w:r>
      <w:r>
        <w:rPr>
          <w:szCs w:val="28"/>
        </w:rPr>
        <w:t>составляют:</w:t>
      </w:r>
    </w:p>
    <w:p w:rsidR="00B57031" w:rsidRDefault="00B57031" w:rsidP="00B57031">
      <w:pPr>
        <w:spacing w:after="0"/>
        <w:ind w:firstLine="709"/>
        <w:rPr>
          <w:szCs w:val="28"/>
        </w:rPr>
      </w:pPr>
    </w:p>
    <w:p w:rsidR="00B57031" w:rsidRPr="00057632" w:rsidRDefault="0016451D" w:rsidP="00057632">
      <w:pPr>
        <w:spacing w:after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260, 75∙13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=33,89 руб.</m:t>
          </m:r>
        </m:oMath>
      </m:oMathPara>
    </w:p>
    <w:p w:rsidR="00B57031" w:rsidRPr="00B57031" w:rsidRDefault="00B57031" w:rsidP="00B57031">
      <w:pPr>
        <w:spacing w:after="0"/>
        <w:ind w:firstLine="709"/>
        <w:rPr>
          <w:rFonts w:cs="Times New Roman"/>
          <w:sz w:val="22"/>
          <w:szCs w:val="28"/>
        </w:rPr>
      </w:pPr>
    </w:p>
    <w:p w:rsidR="00B57031" w:rsidRDefault="00B57031">
      <w:pPr>
        <w:rPr>
          <w:szCs w:val="28"/>
        </w:rPr>
      </w:pPr>
      <w:r>
        <w:rPr>
          <w:szCs w:val="28"/>
        </w:rPr>
        <w:br w:type="page"/>
      </w:r>
    </w:p>
    <w:p w:rsid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lastRenderedPageBreak/>
        <w:t>Отчисления на социальные нужды (в фонд социальной защиты</w:t>
      </w:r>
      <w:r w:rsidR="00896BBE"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 w:rsidR="00896BBE"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 w:rsidR="00896BBE">
        <w:rPr>
          <w:szCs w:val="28"/>
        </w:rPr>
        <w:t xml:space="preserve"> 6.2.3</w:t>
      </w:r>
      <w:r w:rsidR="00AA7CA4" w:rsidRPr="00AA7CA4">
        <w:rPr>
          <w:szCs w:val="28"/>
        </w:rPr>
        <w:t xml:space="preserve"> [4]</w:t>
      </w:r>
      <w:r w:rsidR="00896BBE">
        <w:rPr>
          <w:szCs w:val="28"/>
        </w:rPr>
        <w:t>.</w:t>
      </w:r>
    </w:p>
    <w:p w:rsidR="00AA7CA4" w:rsidRDefault="00AA7CA4" w:rsidP="00896BBE">
      <w:pPr>
        <w:spacing w:after="0"/>
        <w:ind w:firstLine="709"/>
        <w:jc w:val="both"/>
        <w:rPr>
          <w:szCs w:val="28"/>
        </w:rPr>
      </w:pPr>
    </w:p>
    <w:p w:rsidR="00AA7CA4" w:rsidRPr="007B4DCC" w:rsidRDefault="0016451D" w:rsidP="00AA7CA4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AA7CA4" w:rsidRPr="00AA7CA4">
        <w:rPr>
          <w:rFonts w:eastAsiaTheme="minorEastAsia" w:cs="Times New Roman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    </w:t>
      </w:r>
      <w:r w:rsidR="00AA7CA4">
        <w:rPr>
          <w:rFonts w:eastAsiaTheme="minorEastAsia"/>
          <w:sz w:val="36"/>
          <w:szCs w:val="28"/>
        </w:rPr>
        <w:t xml:space="preserve">   </w:t>
      </w:r>
      <w:r w:rsidR="00AA7CA4" w:rsidRPr="00AA7CA4">
        <w:rPr>
          <w:rFonts w:eastAsiaTheme="minorEastAsia"/>
          <w:sz w:val="36"/>
          <w:szCs w:val="28"/>
        </w:rPr>
        <w:t xml:space="preserve">  </w:t>
      </w:r>
      <w:r w:rsidR="00AA7CA4" w:rsidRPr="00896BBE">
        <w:rPr>
          <w:szCs w:val="28"/>
        </w:rPr>
        <w:t xml:space="preserve">                      </w:t>
      </w:r>
      <w:r w:rsidR="00AA7CA4" w:rsidRPr="007B4DCC">
        <w:rPr>
          <w:szCs w:val="28"/>
        </w:rPr>
        <w:t>(</w:t>
      </w:r>
      <w:r w:rsidR="00AA7CA4">
        <w:rPr>
          <w:szCs w:val="28"/>
        </w:rPr>
        <w:t>6.</w:t>
      </w:r>
      <w:r w:rsidR="00887698">
        <w:rPr>
          <w:szCs w:val="28"/>
        </w:rPr>
        <w:t>1</w:t>
      </w:r>
      <w:r w:rsidR="00AA7CA4" w:rsidRPr="007B4DCC">
        <w:rPr>
          <w:szCs w:val="28"/>
        </w:rPr>
        <w:t>.</w:t>
      </w:r>
      <w:r w:rsidR="00B57031">
        <w:rPr>
          <w:szCs w:val="28"/>
        </w:rPr>
        <w:t>3</w:t>
      </w:r>
      <w:r w:rsidR="00AA7CA4" w:rsidRPr="007B4DCC">
        <w:rPr>
          <w:szCs w:val="28"/>
        </w:rPr>
        <w:t>)</w:t>
      </w:r>
    </w:p>
    <w:p w:rsidR="00AA7CA4" w:rsidRPr="007B4DCC" w:rsidRDefault="00AA7CA4" w:rsidP="00896BBE">
      <w:pPr>
        <w:spacing w:after="0"/>
        <w:ind w:firstLine="709"/>
        <w:jc w:val="both"/>
        <w:rPr>
          <w:szCs w:val="28"/>
        </w:rPr>
      </w:pPr>
    </w:p>
    <w:p w:rsidR="007B4DCC" w:rsidRDefault="007B4DCC" w:rsidP="00896BBE">
      <w:pPr>
        <w:spacing w:after="0"/>
        <w:jc w:val="both"/>
        <w:rPr>
          <w:szCs w:val="28"/>
        </w:rPr>
      </w:pPr>
      <w:r w:rsidRPr="007B4DCC">
        <w:rPr>
          <w:szCs w:val="28"/>
        </w:rPr>
        <w:t>где Н</w:t>
      </w:r>
      <w:r w:rsidRPr="00AA7CA4">
        <w:rPr>
          <w:szCs w:val="28"/>
          <w:vertAlign w:val="subscript"/>
        </w:rPr>
        <w:t xml:space="preserve">соц </w:t>
      </w:r>
      <w:r w:rsidRPr="007B4DCC">
        <w:rPr>
          <w:szCs w:val="28"/>
        </w:rPr>
        <w:t>– норматив отчислений на социальные нужды</w:t>
      </w:r>
      <w:r w:rsidR="00AA7CA4"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>отчислений на социальные нужды на уровне 3</w:t>
      </w:r>
      <w:r w:rsidR="00057632">
        <w:rPr>
          <w:szCs w:val="28"/>
        </w:rPr>
        <w:t>5</w:t>
      </w:r>
      <w:r>
        <w:rPr>
          <w:szCs w:val="28"/>
        </w:rPr>
        <w:t xml:space="preserve">% </w:t>
      </w:r>
      <w:r w:rsidR="00057632">
        <w:rPr>
          <w:szCs w:val="28"/>
        </w:rPr>
        <w:t xml:space="preserve">по состоянию на 2017 год </w:t>
      </w:r>
      <w:r>
        <w:rPr>
          <w:szCs w:val="28"/>
        </w:rPr>
        <w:t>[</w:t>
      </w:r>
      <w:r w:rsidR="00057632">
        <w:rPr>
          <w:szCs w:val="28"/>
        </w:rPr>
        <w:t>5</w:t>
      </w:r>
      <w:r>
        <w:rPr>
          <w:szCs w:val="28"/>
        </w:rPr>
        <w:t xml:space="preserve">] и </w:t>
      </w:r>
      <w:r w:rsidRPr="007B4DCC">
        <w:rPr>
          <w:szCs w:val="28"/>
        </w:rPr>
        <w:t>затрат</w:t>
      </w:r>
      <w:r>
        <w:rPr>
          <w:szCs w:val="28"/>
        </w:rPr>
        <w:t>а</w:t>
      </w:r>
      <w:r w:rsidR="00057632">
        <w:rPr>
          <w:szCs w:val="28"/>
        </w:rPr>
        <w:t>х</w:t>
      </w:r>
      <w:r w:rsidRPr="007B4DCC">
        <w:rPr>
          <w:szCs w:val="28"/>
        </w:rPr>
        <w:t xml:space="preserve"> на основную заработную плату с учетом премии</w:t>
      </w:r>
      <w:r w:rsidR="00057632">
        <w:rPr>
          <w:szCs w:val="28"/>
        </w:rPr>
        <w:t xml:space="preserve"> равных</w:t>
      </w:r>
      <w:r>
        <w:rPr>
          <w:szCs w:val="28"/>
        </w:rPr>
        <w:t xml:space="preserve"> 260,75 рублей</w:t>
      </w:r>
      <w:r w:rsidR="00057632">
        <w:rPr>
          <w:szCs w:val="28"/>
        </w:rPr>
        <w:t>,</w:t>
      </w:r>
      <w:r>
        <w:rPr>
          <w:szCs w:val="28"/>
        </w:rPr>
        <w:t xml:space="preserve"> </w:t>
      </w:r>
      <w:r w:rsidR="00057632">
        <w:rPr>
          <w:szCs w:val="28"/>
        </w:rPr>
        <w:t>з</w:t>
      </w:r>
      <w:r w:rsidR="00057632" w:rsidRPr="007B4DCC">
        <w:rPr>
          <w:szCs w:val="28"/>
        </w:rPr>
        <w:t>атрат</w:t>
      </w:r>
      <w:r w:rsidR="00057632">
        <w:rPr>
          <w:szCs w:val="28"/>
        </w:rPr>
        <w:t>ах</w:t>
      </w:r>
      <w:r w:rsidR="00057632" w:rsidRPr="007B4DCC">
        <w:rPr>
          <w:szCs w:val="28"/>
        </w:rPr>
        <w:t xml:space="preserve"> на дополнительную заработную плату </w:t>
      </w:r>
      <w:r w:rsidR="00057632">
        <w:rPr>
          <w:szCs w:val="28"/>
        </w:rPr>
        <w:t>равных 33.89 руб. о</w:t>
      </w:r>
      <w:r w:rsidR="00057632"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</w:p>
    <w:p w:rsidR="00057632" w:rsidRDefault="0016451D" w:rsidP="00B57031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(260, 75+33,89)∙35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=103,12 руб.</m:t>
          </m:r>
        </m:oMath>
      </m:oMathPara>
    </w:p>
    <w:p w:rsidR="00B57031" w:rsidRDefault="00B57031" w:rsidP="00B57031">
      <w:pPr>
        <w:spacing w:after="0"/>
        <w:ind w:firstLine="709"/>
        <w:jc w:val="both"/>
        <w:rPr>
          <w:szCs w:val="28"/>
        </w:rPr>
      </w:pP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прочих затрат осуществляется в процентах от затрат на основную заработную плату команды разработчиков с учетом премии (табл. 6.2.1) по формуле 6.2.4.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E384A" w:rsidRDefault="0016451D" w:rsidP="000E384A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0E384A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0E384A" w:rsidRPr="007B4DCC">
        <w:rPr>
          <w:szCs w:val="28"/>
        </w:rPr>
        <w:t>(</w:t>
      </w:r>
      <w:r w:rsidR="000E384A">
        <w:rPr>
          <w:szCs w:val="28"/>
        </w:rPr>
        <w:t>6.</w:t>
      </w:r>
      <w:r w:rsidR="00887698">
        <w:rPr>
          <w:szCs w:val="28"/>
        </w:rPr>
        <w:t>1</w:t>
      </w:r>
      <w:r w:rsidR="000E384A" w:rsidRPr="007B4DCC">
        <w:rPr>
          <w:szCs w:val="28"/>
        </w:rPr>
        <w:t>.</w:t>
      </w:r>
      <w:r w:rsidR="000E384A">
        <w:rPr>
          <w:szCs w:val="28"/>
        </w:rPr>
        <w:t>4</w:t>
      </w:r>
      <w:r w:rsidR="000E384A" w:rsidRPr="007B4DCC">
        <w:rPr>
          <w:szCs w:val="28"/>
        </w:rPr>
        <w:t>)</w:t>
      </w:r>
    </w:p>
    <w:p w:rsidR="000E384A" w:rsidRPr="007B4DCC" w:rsidRDefault="000E384A" w:rsidP="000E384A">
      <w:pPr>
        <w:spacing w:after="0"/>
        <w:ind w:firstLine="709"/>
        <w:jc w:val="right"/>
        <w:rPr>
          <w:szCs w:val="28"/>
        </w:rPr>
      </w:pP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Н</w:t>
      </w:r>
      <w:r>
        <w:rPr>
          <w:rFonts w:cs="Times New Roman"/>
          <w:sz w:val="18"/>
          <w:szCs w:val="18"/>
        </w:rPr>
        <w:t xml:space="preserve">пз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[4].</w:t>
      </w:r>
    </w:p>
    <w:p w:rsid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0E384A" w:rsidRDefault="0016451D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260, 75∙100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=260, 75 руб.</m:t>
          </m:r>
        </m:oMath>
      </m:oMathPara>
    </w:p>
    <w:p w:rsidR="000E384A" w:rsidRPr="000E384A" w:rsidRDefault="000E384A" w:rsidP="000E38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57632" w:rsidRDefault="00057632" w:rsidP="00B5703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Результат стоимостной оценки затрат представлен в таблице 6.</w:t>
      </w:r>
      <w:r w:rsidR="00887698">
        <w:rPr>
          <w:szCs w:val="28"/>
        </w:rPr>
        <w:t>1</w:t>
      </w:r>
      <w:r>
        <w:rPr>
          <w:szCs w:val="28"/>
        </w:rPr>
        <w:t>.2</w:t>
      </w:r>
    </w:p>
    <w:p w:rsidR="00057632" w:rsidRPr="007B4DCC" w:rsidRDefault="00057632" w:rsidP="00B57031">
      <w:pPr>
        <w:spacing w:after="0"/>
        <w:ind w:firstLine="709"/>
        <w:jc w:val="both"/>
        <w:rPr>
          <w:szCs w:val="28"/>
        </w:rPr>
      </w:pPr>
    </w:p>
    <w:p w:rsidR="00266280" w:rsidRDefault="00266280">
      <w:pPr>
        <w:rPr>
          <w:szCs w:val="28"/>
        </w:rPr>
      </w:pPr>
      <w:r>
        <w:rPr>
          <w:szCs w:val="28"/>
        </w:rPr>
        <w:br w:type="page"/>
      </w:r>
    </w:p>
    <w:p w:rsidR="007B4DCC" w:rsidRPr="007B4DCC" w:rsidRDefault="007B4DCC" w:rsidP="00AA7CA4">
      <w:pPr>
        <w:spacing w:after="0"/>
        <w:jc w:val="both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 w:rsidR="00057632">
        <w:rPr>
          <w:szCs w:val="28"/>
        </w:rPr>
        <w:t>6.</w:t>
      </w:r>
      <w:r w:rsidR="00887698">
        <w:rPr>
          <w:szCs w:val="28"/>
        </w:rPr>
        <w:t>1</w:t>
      </w:r>
      <w:r w:rsidRPr="007B4DCC">
        <w:rPr>
          <w:szCs w:val="28"/>
        </w:rPr>
        <w:t>.2 – Затраты на разработку программного обеспечения</w:t>
      </w:r>
    </w:p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665"/>
      </w:tblGrid>
      <w:tr w:rsidR="00057632" w:rsidTr="000E384A">
        <w:tc>
          <w:tcPr>
            <w:tcW w:w="790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057632" w:rsidRDefault="00057632" w:rsidP="00896BB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33,89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057632" w:rsidRDefault="00057632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103,12</w:t>
            </w:r>
          </w:p>
        </w:tc>
      </w:tr>
      <w:tr w:rsidR="00266280" w:rsidTr="000E384A">
        <w:tc>
          <w:tcPr>
            <w:tcW w:w="7905" w:type="dxa"/>
          </w:tcPr>
          <w:p w:rsidR="00266280" w:rsidRPr="008E23F0" w:rsidRDefault="00266280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266280" w:rsidRDefault="00266280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057632" w:rsidTr="000E384A">
        <w:tc>
          <w:tcPr>
            <w:tcW w:w="7905" w:type="dxa"/>
          </w:tcPr>
          <w:p w:rsidR="00057632" w:rsidRPr="008E23F0" w:rsidRDefault="00057632" w:rsidP="00057632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057632" w:rsidRDefault="00266280" w:rsidP="000576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658,71</w:t>
            </w:r>
          </w:p>
        </w:tc>
      </w:tr>
    </w:tbl>
    <w:p w:rsidR="00057632" w:rsidRDefault="00057632" w:rsidP="00896BBE">
      <w:pPr>
        <w:spacing w:after="0"/>
        <w:ind w:firstLine="709"/>
        <w:jc w:val="both"/>
        <w:rPr>
          <w:szCs w:val="28"/>
        </w:rPr>
      </w:pPr>
    </w:p>
    <w:p w:rsidR="00901C27" w:rsidRDefault="00266280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Исходя из расчета стоимостной</w:t>
      </w:r>
      <w:r w:rsidRPr="00266280">
        <w:rPr>
          <w:szCs w:val="28"/>
        </w:rPr>
        <w:t xml:space="preserve"> оценки затрат </w:t>
      </w:r>
      <w:r>
        <w:rPr>
          <w:szCs w:val="28"/>
        </w:rPr>
        <w:t>на разработку программно-аппаратного комплекса затраты составят 658,71 рубля.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 общем</w:t>
      </w:r>
      <w:r w:rsidR="00901C27">
        <w:rPr>
          <w:szCs w:val="28"/>
        </w:rPr>
        <w:t xml:space="preserve"> </w:t>
      </w:r>
      <w:r w:rsidR="00901C27" w:rsidRPr="007B4DCC">
        <w:rPr>
          <w:szCs w:val="28"/>
        </w:rPr>
        <w:t>виде эффект</w:t>
      </w:r>
      <w:r w:rsidR="00901C27">
        <w:rPr>
          <w:szCs w:val="28"/>
        </w:rPr>
        <w:t xml:space="preserve"> от использования данного комплекса может быть 2 </w:t>
      </w:r>
      <w:r w:rsidR="00901C27" w:rsidRPr="007B4DCC">
        <w:rPr>
          <w:szCs w:val="28"/>
        </w:rPr>
        <w:t>видов: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Pr="00901C27">
        <w:rPr>
          <w:szCs w:val="28"/>
        </w:rPr>
        <w:t>[4]</w:t>
      </w:r>
      <w:r w:rsidRPr="007B4DCC">
        <w:rPr>
          <w:szCs w:val="28"/>
        </w:rPr>
        <w:t>.</w:t>
      </w:r>
    </w:p>
    <w:p w:rsidR="00901C27" w:rsidRPr="007B4DCC" w:rsidRDefault="00901C2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Pr="00817CEE">
        <w:rPr>
          <w:szCs w:val="28"/>
        </w:rPr>
        <w:t>[4]</w:t>
      </w:r>
      <w:r>
        <w:rPr>
          <w:szCs w:val="28"/>
        </w:rPr>
        <w:t>.</w:t>
      </w:r>
    </w:p>
    <w:p w:rsidR="00901C27" w:rsidRDefault="00901C27" w:rsidP="00901C27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>
        <w:rPr>
          <w:szCs w:val="28"/>
        </w:rPr>
        <w:t>о</w:t>
      </w:r>
      <w:r w:rsidRPr="007B4DCC">
        <w:rPr>
          <w:szCs w:val="28"/>
        </w:rPr>
        <w:t>й,</w:t>
      </w:r>
      <w:r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>
        <w:rPr>
          <w:szCs w:val="28"/>
        </w:rPr>
        <w:t>о</w:t>
      </w:r>
      <w:r w:rsidRPr="007B4DCC">
        <w:rPr>
          <w:szCs w:val="28"/>
        </w:rPr>
        <w:t>й, политическ</w:t>
      </w:r>
      <w:r>
        <w:rPr>
          <w:szCs w:val="28"/>
        </w:rPr>
        <w:t>о</w:t>
      </w:r>
      <w:r w:rsidRPr="007B4DCC">
        <w:rPr>
          <w:szCs w:val="28"/>
        </w:rPr>
        <w:t>й, техническ</w:t>
      </w:r>
      <w:r>
        <w:rPr>
          <w:szCs w:val="28"/>
        </w:rPr>
        <w:t>о</w:t>
      </w:r>
      <w:r w:rsidRPr="007B4DCC">
        <w:rPr>
          <w:szCs w:val="28"/>
        </w:rPr>
        <w:t>й</w:t>
      </w:r>
      <w:r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>
        <w:rPr>
          <w:szCs w:val="28"/>
        </w:rPr>
        <w:t xml:space="preserve"> </w:t>
      </w:r>
      <w:r w:rsidRPr="007B4DCC">
        <w:rPr>
          <w:szCs w:val="28"/>
        </w:rPr>
        <w:t xml:space="preserve">дополнительные выгоды иного характера </w:t>
      </w:r>
      <w:r w:rsidRPr="00AE7951">
        <w:rPr>
          <w:szCs w:val="28"/>
        </w:rPr>
        <w:t>[4]</w:t>
      </w:r>
      <w:r w:rsidRPr="007B4DCC">
        <w:rPr>
          <w:szCs w:val="28"/>
        </w:rPr>
        <w:t>.</w:t>
      </w:r>
    </w:p>
    <w:p w:rsidR="00901C27" w:rsidRDefault="00901C27" w:rsidP="00266280">
      <w:pPr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эффекта, следовательно, нужно оценить неэкономический эффект от использования программного продукта в ходе учебного процесса </w:t>
      </w:r>
      <w:r w:rsidRPr="00901C27">
        <w:rPr>
          <w:szCs w:val="28"/>
        </w:rPr>
        <w:t>[4]</w:t>
      </w:r>
      <w:r>
        <w:rPr>
          <w:szCs w:val="28"/>
        </w:rPr>
        <w:t>.</w:t>
      </w:r>
    </w:p>
    <w:p w:rsidR="00901C27" w:rsidRDefault="00901C27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02FF5" w:rsidRDefault="00402FF5" w:rsidP="00896BBE">
      <w:pPr>
        <w:spacing w:after="0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6.2 Стоимостная оценка результата и показатели эффективности</w:t>
      </w:r>
    </w:p>
    <w:p w:rsidR="00402FF5" w:rsidRPr="00402FF5" w:rsidRDefault="00402FF5" w:rsidP="00896BBE">
      <w:pPr>
        <w:spacing w:after="0"/>
        <w:ind w:firstLine="709"/>
        <w:jc w:val="both"/>
        <w:rPr>
          <w:b/>
          <w:szCs w:val="28"/>
        </w:rPr>
      </w:pPr>
    </w:p>
    <w:p w:rsidR="007B4DCC" w:rsidRPr="007B4DCC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В общем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виде эффект</w:t>
      </w:r>
      <w:r w:rsidR="00817CEE">
        <w:rPr>
          <w:szCs w:val="28"/>
        </w:rPr>
        <w:t xml:space="preserve"> от использования программных продуктов может быть 2 </w:t>
      </w:r>
      <w:r w:rsidRPr="007B4DCC">
        <w:rPr>
          <w:szCs w:val="28"/>
        </w:rPr>
        <w:t>видов:</w:t>
      </w:r>
    </w:p>
    <w:p w:rsidR="00817CEE" w:rsidRPr="007B4DCC" w:rsidRDefault="007B4DCC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1. Экономический эффект.</w:t>
      </w:r>
    </w:p>
    <w:p w:rsidR="00817CEE" w:rsidRDefault="00817CEE" w:rsidP="00817CE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2. Неэкономический эффект</w:t>
      </w:r>
      <w:r>
        <w:rPr>
          <w:szCs w:val="28"/>
        </w:rPr>
        <w:t xml:space="preserve"> </w:t>
      </w:r>
      <w:r w:rsidRPr="00A12D91">
        <w:rPr>
          <w:szCs w:val="28"/>
        </w:rPr>
        <w:t>[4]</w:t>
      </w:r>
      <w:r w:rsidRPr="007B4DCC">
        <w:rPr>
          <w:szCs w:val="28"/>
        </w:rPr>
        <w:t>.</w:t>
      </w:r>
    </w:p>
    <w:p w:rsidR="007B4DCC" w:rsidRPr="007B4DCC" w:rsidRDefault="00817CEE" w:rsidP="00817CE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и</w:t>
      </w:r>
      <w:r w:rsidR="007B4DCC" w:rsidRPr="007B4DCC">
        <w:rPr>
          <w:szCs w:val="28"/>
        </w:rPr>
        <w:t xml:space="preserve">спользование </w:t>
      </w:r>
      <w:r>
        <w:rPr>
          <w:szCs w:val="28"/>
        </w:rPr>
        <w:t>компьютерной системы</w:t>
      </w:r>
      <w:r w:rsidR="007B4DCC" w:rsidRPr="007B4DCC">
        <w:rPr>
          <w:szCs w:val="28"/>
        </w:rPr>
        <w:t xml:space="preserve"> напрямую влияет на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экономические показатели деятельности пользователя (например,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автоматизированная система контроля качества значительно снижает потери от</w:t>
      </w:r>
      <w:r>
        <w:rPr>
          <w:szCs w:val="28"/>
        </w:rPr>
        <w:t xml:space="preserve"> </w:t>
      </w:r>
      <w:r w:rsidR="007B4DCC" w:rsidRPr="007B4DCC">
        <w:rPr>
          <w:szCs w:val="28"/>
        </w:rPr>
        <w:t>брака, вследствие чего снижаются затра</w:t>
      </w:r>
      <w:r>
        <w:rPr>
          <w:szCs w:val="28"/>
        </w:rPr>
        <w:t xml:space="preserve">ты на производство продукции, а </w:t>
      </w:r>
      <w:r w:rsidR="007B4DCC" w:rsidRPr="007B4DCC">
        <w:rPr>
          <w:szCs w:val="28"/>
        </w:rPr>
        <w:t>следовательно увеличивается прибыль)</w:t>
      </w:r>
      <w:r>
        <w:rPr>
          <w:szCs w:val="28"/>
        </w:rPr>
        <w:t>, имеет место экономический эффект</w:t>
      </w:r>
      <w:r w:rsidR="007B4DCC" w:rsidRPr="007B4DCC">
        <w:rPr>
          <w:szCs w:val="28"/>
        </w:rPr>
        <w:t>. Данный эффект легко поддается</w:t>
      </w:r>
      <w:r>
        <w:rPr>
          <w:szCs w:val="28"/>
        </w:rPr>
        <w:t xml:space="preserve"> </w:t>
      </w:r>
      <w:r w:rsidR="007B4DCC" w:rsidRPr="007B4DCC">
        <w:rPr>
          <w:szCs w:val="28"/>
        </w:rPr>
        <w:t xml:space="preserve">стоимостной </w:t>
      </w:r>
      <w:r>
        <w:rPr>
          <w:szCs w:val="28"/>
        </w:rPr>
        <w:t xml:space="preserve">оценке </w:t>
      </w:r>
      <w:r w:rsidRPr="00817CEE">
        <w:rPr>
          <w:szCs w:val="28"/>
        </w:rPr>
        <w:t>[4]</w:t>
      </w:r>
      <w:r>
        <w:rPr>
          <w:szCs w:val="28"/>
        </w:rPr>
        <w:t>.</w:t>
      </w:r>
    </w:p>
    <w:p w:rsidR="00AE7951" w:rsidRDefault="007B4DCC" w:rsidP="00896BBE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Неэкономический эффект напрямую не связан с</w:t>
      </w:r>
      <w:r w:rsidR="00817CEE" w:rsidRPr="00817CEE">
        <w:rPr>
          <w:szCs w:val="28"/>
        </w:rPr>
        <w:t xml:space="preserve"> </w:t>
      </w:r>
      <w:r w:rsidRPr="007B4DCC">
        <w:rPr>
          <w:szCs w:val="28"/>
        </w:rPr>
        <w:t xml:space="preserve">экономическими результатами деятельности </w:t>
      </w:r>
      <w:r w:rsidR="00817CEE">
        <w:rPr>
          <w:szCs w:val="28"/>
        </w:rPr>
        <w:t>предприятия. Его влияние ощутима в</w:t>
      </w:r>
      <w:r w:rsidRPr="007B4DCC">
        <w:rPr>
          <w:szCs w:val="28"/>
        </w:rPr>
        <w:t xml:space="preserve"> социальн</w:t>
      </w:r>
      <w:r w:rsidR="00817CEE">
        <w:rPr>
          <w:szCs w:val="28"/>
        </w:rPr>
        <w:t>о</w:t>
      </w:r>
      <w:r w:rsidRPr="007B4DCC">
        <w:rPr>
          <w:szCs w:val="28"/>
        </w:rPr>
        <w:t>й,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экологическ</w:t>
      </w:r>
      <w:r w:rsidR="00817CEE">
        <w:rPr>
          <w:szCs w:val="28"/>
        </w:rPr>
        <w:t>о</w:t>
      </w:r>
      <w:r w:rsidRPr="007B4DCC">
        <w:rPr>
          <w:szCs w:val="28"/>
        </w:rPr>
        <w:t>й, политическ</w:t>
      </w:r>
      <w:r w:rsidR="00817CEE">
        <w:rPr>
          <w:szCs w:val="28"/>
        </w:rPr>
        <w:t>о</w:t>
      </w:r>
      <w:r w:rsidRPr="007B4DCC">
        <w:rPr>
          <w:szCs w:val="28"/>
        </w:rPr>
        <w:t>й, техническ</w:t>
      </w:r>
      <w:r w:rsidR="00817CEE">
        <w:rPr>
          <w:szCs w:val="28"/>
        </w:rPr>
        <w:t>о</w:t>
      </w:r>
      <w:r w:rsidRPr="007B4DCC">
        <w:rPr>
          <w:szCs w:val="28"/>
        </w:rPr>
        <w:t>й</w:t>
      </w:r>
      <w:r w:rsidR="00817CEE">
        <w:rPr>
          <w:szCs w:val="28"/>
        </w:rPr>
        <w:t xml:space="preserve"> сферах. В данном случае использование программного обеспечения</w:t>
      </w:r>
      <w:r w:rsidRPr="007B4DCC">
        <w:rPr>
          <w:szCs w:val="28"/>
        </w:rPr>
        <w:t xml:space="preserve"> оказывает косвенное (опосредованное) влияние на экономические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показатели деятельности пользователя, либо предоставляет ему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дополнительные выгоды иного характера (например, сокращается время на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подготовку разнообразной финансовой отчетности, облегчается бухгалтерский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учет, увеличивается оперативность получения управленческой информации и</w:t>
      </w:r>
      <w:r w:rsidR="00817CEE">
        <w:rPr>
          <w:szCs w:val="28"/>
        </w:rPr>
        <w:t xml:space="preserve"> </w:t>
      </w:r>
      <w:r w:rsidRPr="007B4DCC">
        <w:rPr>
          <w:szCs w:val="28"/>
        </w:rPr>
        <w:t>т.п.)</w:t>
      </w:r>
      <w:r w:rsidR="00AE7951">
        <w:rPr>
          <w:szCs w:val="28"/>
        </w:rPr>
        <w:t xml:space="preserve"> </w:t>
      </w:r>
      <w:r w:rsidR="00AE7951" w:rsidRPr="00AE7951">
        <w:rPr>
          <w:szCs w:val="28"/>
        </w:rPr>
        <w:t>[4]</w:t>
      </w:r>
      <w:r w:rsidRPr="007B4DCC">
        <w:rPr>
          <w:szCs w:val="28"/>
        </w:rPr>
        <w:t>.</w:t>
      </w:r>
    </w:p>
    <w:p w:rsidR="00AE7951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программно-аппаратного комплекса исследования динамики заучивания не несет экономического эффекта для процесса обучения студентов кафедры инженерной психологии и эргономики. В ходе выполнения студентам лабораторных работ по теме заучивания использование программных средств не является обязательным </w:t>
      </w:r>
      <w:r w:rsidRPr="00AE7951">
        <w:rPr>
          <w:szCs w:val="28"/>
        </w:rPr>
        <w:t>[2]</w:t>
      </w:r>
      <w:r>
        <w:rPr>
          <w:szCs w:val="28"/>
        </w:rPr>
        <w:t>.</w:t>
      </w:r>
    </w:p>
    <w:p w:rsidR="007B4DCC" w:rsidRDefault="00AE7951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Не представляется возможным оценить эффект применения разрабатываемого продукта и для научной работы кафедры, поскольку характеристики памяти человека-оператора являются лишь частью исследований </w:t>
      </w:r>
      <w:r w:rsidR="006D6DE7">
        <w:rPr>
          <w:szCs w:val="28"/>
        </w:rPr>
        <w:t xml:space="preserve">в области человеческого фактора </w:t>
      </w:r>
      <w:r w:rsidR="006D6DE7" w:rsidRPr="006D6DE7">
        <w:rPr>
          <w:szCs w:val="28"/>
        </w:rPr>
        <w:t>[1].</w:t>
      </w:r>
      <w:r>
        <w:rPr>
          <w:szCs w:val="28"/>
        </w:rPr>
        <w:t xml:space="preserve"> </w:t>
      </w:r>
    </w:p>
    <w:p w:rsidR="006D6DE7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Несмотря на отсутствие явного экономического эффекта неэкономический эффект применение программно-аппаратного комплекса значителен. Помимо использования современных технологий в процессе обучения использование данного продукта позволяет значительно облегчить процесс лабораторного практикума.</w:t>
      </w:r>
    </w:p>
    <w:p w:rsidR="002C37B9" w:rsidRPr="002C37B9" w:rsidRDefault="006D6DE7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Лабораторное исследование подразумевает наличие испытуемого (или испытуемых) и экспериментатора. </w:t>
      </w:r>
      <w:r w:rsidR="002C37B9">
        <w:rPr>
          <w:szCs w:val="28"/>
        </w:rPr>
        <w:t xml:space="preserve">Если отказаться от применения программно-аппаратного комплекса, выполнение лабораторного </w:t>
      </w:r>
      <w:r w:rsidR="002C37B9">
        <w:rPr>
          <w:szCs w:val="28"/>
        </w:rPr>
        <w:lastRenderedPageBreak/>
        <w:t>исследования возможно лишь группой студентов, один из которых будет испытуемым, а другой экспериментатором</w:t>
      </w:r>
      <w:r w:rsidR="002C37B9" w:rsidRPr="002C37B9">
        <w:rPr>
          <w:szCs w:val="28"/>
        </w:rPr>
        <w:t xml:space="preserve"> [2].</w:t>
      </w:r>
    </w:p>
    <w:p w:rsidR="00F74F18" w:rsidRDefault="002C37B9" w:rsidP="00896BB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исследование проводится группой студентов, то это влечет собой либо неполное участие студентов в исследовании, либо дублирование работы экспериментатора (в случае выполнения нескольких однотипных опытов со сменой ролей в группе) </w:t>
      </w:r>
      <w:r w:rsidRPr="002C37B9">
        <w:rPr>
          <w:szCs w:val="28"/>
        </w:rPr>
        <w:t>[2]</w:t>
      </w:r>
      <w:r>
        <w:rPr>
          <w:szCs w:val="28"/>
        </w:rPr>
        <w:t>.</w:t>
      </w:r>
    </w:p>
    <w:p w:rsidR="00F74F18" w:rsidRDefault="00F74F18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случае выполнения исследования как экспериментатор всеми студентами затрачивается больше времени, которое могло быть использовано для выполнения большего количества опытов с различными типами запоминаемых объектов (буквы, знаки, слова, картинки), с различными свойствами запоминаемых объектов и с различными условиями запоминания </w:t>
      </w:r>
      <w:r w:rsidRPr="00F74F18">
        <w:rPr>
          <w:szCs w:val="28"/>
        </w:rPr>
        <w:t>[2]</w:t>
      </w:r>
      <w:r>
        <w:rPr>
          <w:szCs w:val="28"/>
        </w:rPr>
        <w:t>.</w:t>
      </w:r>
    </w:p>
    <w:p w:rsidR="00FE5CE7" w:rsidRDefault="00F74F18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Проектируемый комплекс представляет сторону исследователя. Исследователь имеет возможность заранее заготовить с помощью программы материал для опытов и предложить его испытуемым</w:t>
      </w:r>
      <w:r w:rsidR="00425D7B">
        <w:rPr>
          <w:szCs w:val="28"/>
        </w:rPr>
        <w:t>, задать настройки опыта.</w:t>
      </w:r>
      <w:r w:rsidR="00FE5CE7" w:rsidRPr="00FE5CE7">
        <w:rPr>
          <w:szCs w:val="28"/>
        </w:rPr>
        <w:t xml:space="preserve"> </w:t>
      </w:r>
    </w:p>
    <w:p w:rsidR="00FE5CE7" w:rsidRDefault="00FE5CE7" w:rsidP="00FE5CE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Исследование можно проводить индивидуально. Подготовка испытуемого к процессу сводится к минимуму. Отсутствие необходимости фиксировать ход опыта самостоятельно облегчает выполнение лабораторной работы и позволяет глубже сконцентрироваться при выполнении опыта для получения более точных результатов. </w:t>
      </w:r>
    </w:p>
    <w:p w:rsidR="00FE5CE7" w:rsidRDefault="00FE5CE7" w:rsidP="00901C27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Программно-аппаратный комплекс позволяет производить сбор результатов исследования для одних и тех же наборов стимулов для всех испытуемых, не требуя работы с каждым из них индивидуально. Значительно облегчается подготовка материала для запоминания, особенно рисунков. </w:t>
      </w:r>
    </w:p>
    <w:p w:rsidR="00425D7B" w:rsidRDefault="00FE5CE7" w:rsidP="00F74F18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Основные стороны неэкономического эффекта:</w:t>
      </w:r>
    </w:p>
    <w:p w:rsidR="00FE5CE7" w:rsidRDefault="00FE5CE7" w:rsidP="00FE5CE7">
      <w:pPr>
        <w:pStyle w:val="ListParagraph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проводить исследование индивидуально;</w:t>
      </w:r>
    </w:p>
    <w:p w:rsidR="00FE5CE7" w:rsidRDefault="00FE5CE7" w:rsidP="00FE5CE7">
      <w:pPr>
        <w:pStyle w:val="ListParagraph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возможность использования рисунков;</w:t>
      </w:r>
    </w:p>
    <w:p w:rsidR="00FE5CE7" w:rsidRDefault="00FE5CE7" w:rsidP="00FE5CE7">
      <w:pPr>
        <w:pStyle w:val="ListParagraph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настройка временных параметров опыта;</w:t>
      </w:r>
    </w:p>
    <w:p w:rsidR="00FE5CE7" w:rsidRDefault="00FE5CE7" w:rsidP="00FE5CE7">
      <w:pPr>
        <w:pStyle w:val="ListParagraph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автоматический процесс фиксирования хода опыта;</w:t>
      </w:r>
    </w:p>
    <w:p w:rsidR="00FE5CE7" w:rsidRPr="00FE5CE7" w:rsidRDefault="00FE5CE7" w:rsidP="00FE5CE7">
      <w:pPr>
        <w:pStyle w:val="ListParagraph"/>
        <w:numPr>
          <w:ilvl w:val="0"/>
          <w:numId w:val="40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облегчение анализа результатов.</w:t>
      </w:r>
    </w:p>
    <w:p w:rsidR="008545A4" w:rsidRDefault="008545A4" w:rsidP="00EA761B">
      <w:pPr>
        <w:spacing w:after="0"/>
        <w:ind w:firstLine="709"/>
        <w:jc w:val="both"/>
        <w:rPr>
          <w:szCs w:val="28"/>
        </w:rPr>
      </w:pPr>
      <w:r w:rsidRPr="008545A4">
        <w:rPr>
          <w:szCs w:val="28"/>
        </w:rPr>
        <w:t>В случае покупки аналога разработанного комплекса «AVELife TestGold Studio 5» цена лицензии на д</w:t>
      </w:r>
      <w:r>
        <w:rPr>
          <w:szCs w:val="28"/>
        </w:rPr>
        <w:t>вадца</w:t>
      </w:r>
      <w:r w:rsidRPr="008545A4">
        <w:rPr>
          <w:szCs w:val="28"/>
        </w:rPr>
        <w:t xml:space="preserve">ть рабочих мест составляет </w:t>
      </w:r>
      <w:r>
        <w:rPr>
          <w:szCs w:val="28"/>
        </w:rPr>
        <w:t xml:space="preserve">18198 руб. </w:t>
      </w:r>
      <w:r w:rsidRPr="008545A4">
        <w:rPr>
          <w:szCs w:val="28"/>
        </w:rPr>
        <w:t>[6]</w:t>
      </w:r>
      <w:r>
        <w:rPr>
          <w:szCs w:val="28"/>
        </w:rPr>
        <w:t xml:space="preserve">. Неэкономический эффект от использования комплекса </w:t>
      </w:r>
      <w:r w:rsidR="00EA761B">
        <w:rPr>
          <w:szCs w:val="28"/>
        </w:rPr>
        <w:t>и значительное превышение расходов на существующие аналоги позволяют сделать вывод об целесообразности инвестирования в разработку программно-аппаратного комплекса.</w:t>
      </w:r>
    </w:p>
    <w:p w:rsidR="00402FF5" w:rsidRDefault="00402FF5" w:rsidP="00402FF5">
      <w:pPr>
        <w:spacing w:after="0"/>
        <w:ind w:firstLine="709"/>
        <w:rPr>
          <w:b/>
          <w:szCs w:val="28"/>
        </w:rPr>
      </w:pPr>
    </w:p>
    <w:p w:rsidR="00402FF5" w:rsidRDefault="00402FF5" w:rsidP="00402FF5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 xml:space="preserve">Для оенки показателей эффективности при отсуттвии экономического эффекта от использования разрабатываемого продукта 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основную заработную плату разработчиков;</w:t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– затрат на дополнительную заработную плату разработчиков;</w:t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– отчислени</w:t>
      </w:r>
      <w:r>
        <w:rPr>
          <w:szCs w:val="28"/>
        </w:rPr>
        <w:t>й</w:t>
      </w:r>
      <w:r w:rsidRPr="007B4DCC">
        <w:rPr>
          <w:szCs w:val="28"/>
        </w:rPr>
        <w:t xml:space="preserve"> на социальные нужды;</w:t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– прочи</w:t>
      </w:r>
      <w:r>
        <w:rPr>
          <w:szCs w:val="28"/>
        </w:rPr>
        <w:t>х</w:t>
      </w:r>
      <w:r w:rsidRPr="007B4DCC">
        <w:rPr>
          <w:szCs w:val="28"/>
        </w:rPr>
        <w:t xml:space="preserve"> затрат (амортизация оборудования, расходы на</w:t>
      </w:r>
      <w:r>
        <w:rPr>
          <w:szCs w:val="28"/>
        </w:rPr>
        <w:t xml:space="preserve"> </w:t>
      </w:r>
      <w:r w:rsidRPr="007B4DCC">
        <w:rPr>
          <w:szCs w:val="28"/>
        </w:rPr>
        <w:t>электроэнергию, командировочные расходы, накладные расходы и т.п.)</w:t>
      </w:r>
      <w:r>
        <w:rPr>
          <w:szCs w:val="28"/>
        </w:rPr>
        <w:t xml:space="preserve"> </w:t>
      </w:r>
      <w:r w:rsidRPr="007B4DCC">
        <w:rPr>
          <w:szCs w:val="28"/>
        </w:rPr>
        <w:t>[4].</w:t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Затраты на основную заработную плату команды разработчиков определяются исходя из состава и численности команды, размеров месячной</w:t>
      </w:r>
    </w:p>
    <w:p w:rsidR="00402FF5" w:rsidRPr="007B4DCC" w:rsidRDefault="00402FF5" w:rsidP="00402FF5">
      <w:pPr>
        <w:spacing w:after="0"/>
        <w:rPr>
          <w:szCs w:val="28"/>
        </w:rPr>
      </w:pPr>
      <w:r w:rsidRPr="007B4DCC">
        <w:rPr>
          <w:szCs w:val="28"/>
        </w:rPr>
        <w:t>заработной платы каждого из уч</w:t>
      </w:r>
      <w:r>
        <w:rPr>
          <w:szCs w:val="28"/>
        </w:rPr>
        <w:t>астников команды, а также общей</w:t>
      </w:r>
      <w:r w:rsidRPr="007B4DCC">
        <w:rPr>
          <w:szCs w:val="28"/>
        </w:rPr>
        <w:t xml:space="preserve"> трудоемкости разработки программного обеспечения.</w:t>
      </w:r>
    </w:p>
    <w:p w:rsidR="00402FF5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t>Расчет величины основной заработной платы участников команды</w:t>
      </w:r>
      <w:r>
        <w:rPr>
          <w:szCs w:val="28"/>
        </w:rPr>
        <w:t xml:space="preserve"> </w:t>
      </w:r>
      <w:r w:rsidRPr="007B4DCC">
        <w:rPr>
          <w:szCs w:val="28"/>
        </w:rPr>
        <w:t>осуществляется по формуле</w:t>
      </w:r>
      <w:r>
        <w:rPr>
          <w:szCs w:val="28"/>
        </w:rPr>
        <w:t xml:space="preserve"> 6.2.1.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A12D91" w:rsidRDefault="0016451D" w:rsidP="00402FF5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6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402FF5" w:rsidRPr="00A12D91">
        <w:rPr>
          <w:rFonts w:eastAsiaTheme="minorEastAsia"/>
          <w:sz w:val="36"/>
          <w:szCs w:val="28"/>
        </w:rPr>
        <w:t xml:space="preserve">              </w:t>
      </w:r>
      <w:r w:rsidR="00402FF5" w:rsidRPr="00896BBE">
        <w:rPr>
          <w:szCs w:val="28"/>
        </w:rPr>
        <w:t xml:space="preserve">                      </w:t>
      </w:r>
      <w:r w:rsidR="00402FF5" w:rsidRPr="007B4DCC">
        <w:rPr>
          <w:szCs w:val="28"/>
        </w:rPr>
        <w:t>(</w:t>
      </w:r>
      <w:r w:rsidR="00402FF5">
        <w:rPr>
          <w:szCs w:val="28"/>
        </w:rPr>
        <w:t>6.</w:t>
      </w:r>
      <w:r w:rsidR="00402FF5" w:rsidRPr="007B4DCC">
        <w:rPr>
          <w:szCs w:val="28"/>
        </w:rPr>
        <w:t>2.1)</w:t>
      </w:r>
    </w:p>
    <w:p w:rsidR="00402FF5" w:rsidRDefault="00402FF5" w:rsidP="00402FF5">
      <w:pPr>
        <w:spacing w:after="0"/>
        <w:rPr>
          <w:szCs w:val="28"/>
        </w:rPr>
      </w:pPr>
    </w:p>
    <w:p w:rsidR="00402FF5" w:rsidRPr="007B4DCC" w:rsidRDefault="00402FF5" w:rsidP="00402FF5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99226C">
        <w:rPr>
          <w:i/>
          <w:szCs w:val="28"/>
        </w:rPr>
        <w:t xml:space="preserve">n </w:t>
      </w:r>
      <w:r w:rsidRPr="007B4DCC">
        <w:rPr>
          <w:szCs w:val="28"/>
        </w:rPr>
        <w:t xml:space="preserve">– количество исполнителей, занятых разработкой </w:t>
      </w:r>
      <w:r>
        <w:rPr>
          <w:szCs w:val="28"/>
        </w:rPr>
        <w:t>комплекса</w:t>
      </w:r>
      <w:r w:rsidRPr="007B4DCC">
        <w:rPr>
          <w:szCs w:val="28"/>
        </w:rPr>
        <w:t>;</w:t>
      </w:r>
    </w:p>
    <w:p w:rsidR="00402FF5" w:rsidRPr="007B4DCC" w:rsidRDefault="00402FF5" w:rsidP="00402FF5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Чi</w:t>
      </w:r>
      <w:r w:rsidRPr="007B4DCC">
        <w:rPr>
          <w:szCs w:val="28"/>
        </w:rPr>
        <w:t xml:space="preserve"> – часовая заработная плата i-го исполнителя (руб.);</w:t>
      </w:r>
    </w:p>
    <w:p w:rsidR="00402FF5" w:rsidRPr="007B4DCC" w:rsidRDefault="00402FF5" w:rsidP="00402FF5">
      <w:pPr>
        <w:spacing w:after="0"/>
        <w:rPr>
          <w:szCs w:val="28"/>
        </w:rPr>
      </w:pPr>
      <w:r w:rsidRPr="0099226C">
        <w:rPr>
          <w:i/>
          <w:szCs w:val="28"/>
        </w:rPr>
        <w:t>t</w:t>
      </w:r>
      <w:r w:rsidRPr="0099226C">
        <w:rPr>
          <w:i/>
          <w:szCs w:val="28"/>
          <w:vertAlign w:val="subscript"/>
        </w:rPr>
        <w:t>i</w:t>
      </w:r>
      <w:r w:rsidRPr="007B4DCC">
        <w:rPr>
          <w:szCs w:val="28"/>
        </w:rPr>
        <w:t xml:space="preserve"> – трудоемкость работ, выполняемых i-м исполнителем (ч)</w:t>
      </w:r>
      <w:r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402FF5" w:rsidRPr="0099226C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Часовая заработная плата определяется путем деления месячной</w:t>
      </w:r>
      <w:r>
        <w:rPr>
          <w:szCs w:val="28"/>
        </w:rPr>
        <w:t xml:space="preserve"> </w:t>
      </w:r>
      <w:r w:rsidRPr="007B4DCC">
        <w:rPr>
          <w:szCs w:val="28"/>
        </w:rPr>
        <w:t>заработной платы на количество рабочих часов в месяце</w:t>
      </w:r>
      <w:r>
        <w:rPr>
          <w:szCs w:val="28"/>
        </w:rPr>
        <w:t xml:space="preserve">. </w:t>
      </w:r>
      <w:r w:rsidRPr="007B4DCC">
        <w:rPr>
          <w:szCs w:val="28"/>
        </w:rPr>
        <w:t xml:space="preserve"> </w:t>
      </w:r>
      <w:r>
        <w:rPr>
          <w:szCs w:val="28"/>
        </w:rPr>
        <w:t>К</w:t>
      </w:r>
      <w:r w:rsidRPr="007B4DCC">
        <w:rPr>
          <w:szCs w:val="28"/>
        </w:rPr>
        <w:t>оличество рабочих часов в месяце</w:t>
      </w:r>
      <w:r>
        <w:rPr>
          <w:szCs w:val="28"/>
        </w:rPr>
        <w:t xml:space="preserve"> принимается равным 168 </w:t>
      </w:r>
      <w:r w:rsidRPr="0099226C">
        <w:rPr>
          <w:szCs w:val="28"/>
        </w:rPr>
        <w:t>[4]</w:t>
      </w:r>
      <w:r w:rsidRPr="007B4DCC">
        <w:rPr>
          <w:szCs w:val="28"/>
        </w:rPr>
        <w:t>.</w:t>
      </w:r>
      <w:r w:rsidRPr="0099226C">
        <w:rPr>
          <w:szCs w:val="28"/>
        </w:rPr>
        <w:t xml:space="preserve"> </w:t>
      </w:r>
      <w:r>
        <w:rPr>
          <w:szCs w:val="28"/>
        </w:rPr>
        <w:t>Разработка проводилась одним разработчиком, месячная заработная плата составляла 500 рублей.</w:t>
      </w:r>
    </w:p>
    <w:p w:rsidR="00402FF5" w:rsidRPr="007B4DCC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7B4DCC">
        <w:rPr>
          <w:szCs w:val="28"/>
        </w:rPr>
        <w:t>сходя из сложности разработки</w:t>
      </w:r>
      <w:r>
        <w:rPr>
          <w:szCs w:val="28"/>
        </w:rPr>
        <w:t xml:space="preserve"> </w:t>
      </w:r>
      <w:r w:rsidRPr="007B4DCC">
        <w:rPr>
          <w:szCs w:val="28"/>
        </w:rPr>
        <w:t>программно</w:t>
      </w:r>
      <w:r>
        <w:rPr>
          <w:szCs w:val="28"/>
        </w:rPr>
        <w:t>-аппаратно</w:t>
      </w:r>
      <w:r w:rsidRPr="007B4DCC">
        <w:rPr>
          <w:szCs w:val="28"/>
        </w:rPr>
        <w:t xml:space="preserve">го </w:t>
      </w:r>
      <w:r>
        <w:rPr>
          <w:szCs w:val="28"/>
        </w:rPr>
        <w:t xml:space="preserve">комплекса, </w:t>
      </w:r>
      <w:r w:rsidRPr="007B4DCC">
        <w:rPr>
          <w:szCs w:val="28"/>
        </w:rPr>
        <w:t xml:space="preserve">объема выполняемых им функций </w:t>
      </w:r>
      <w:r>
        <w:rPr>
          <w:szCs w:val="28"/>
        </w:rPr>
        <w:t>была оценена и согласована т</w:t>
      </w:r>
      <w:r w:rsidRPr="007B4DCC">
        <w:rPr>
          <w:szCs w:val="28"/>
        </w:rPr>
        <w:t xml:space="preserve">рудоемкость </w:t>
      </w:r>
      <w:r>
        <w:rPr>
          <w:szCs w:val="28"/>
        </w:rPr>
        <w:t xml:space="preserve">разработки: она составила 50 часов. Премиальный фонд был установлен в 75% от заработной платы согласно рекомендациям </w:t>
      </w:r>
      <w:r w:rsidRPr="00661D7A">
        <w:rPr>
          <w:szCs w:val="28"/>
        </w:rPr>
        <w:t xml:space="preserve">[4]. </w:t>
      </w:r>
      <w:r>
        <w:rPr>
          <w:szCs w:val="28"/>
        </w:rPr>
        <w:t xml:space="preserve">Расчет представлен в </w:t>
      </w:r>
      <w:r w:rsidRPr="007B4DCC">
        <w:rPr>
          <w:szCs w:val="28"/>
        </w:rPr>
        <w:t>таблиц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>6</w:t>
      </w:r>
      <w:r w:rsidRPr="007B4DCC">
        <w:rPr>
          <w:szCs w:val="28"/>
        </w:rPr>
        <w:t>.</w:t>
      </w:r>
      <w:r>
        <w:rPr>
          <w:szCs w:val="28"/>
        </w:rPr>
        <w:t>2</w:t>
      </w:r>
      <w:r w:rsidRPr="007B4DCC">
        <w:rPr>
          <w:szCs w:val="28"/>
        </w:rPr>
        <w:t>.</w:t>
      </w:r>
      <w:r>
        <w:rPr>
          <w:szCs w:val="28"/>
        </w:rPr>
        <w:t>1</w:t>
      </w:r>
    </w:p>
    <w:p w:rsidR="00402FF5" w:rsidRDefault="00402FF5" w:rsidP="00402FF5">
      <w:pPr>
        <w:rPr>
          <w:szCs w:val="28"/>
        </w:rPr>
      </w:pPr>
      <w:r>
        <w:rPr>
          <w:szCs w:val="28"/>
        </w:rPr>
        <w:br w:type="page"/>
      </w:r>
    </w:p>
    <w:p w:rsidR="00402FF5" w:rsidRPr="007B4DCC" w:rsidRDefault="00402FF5" w:rsidP="00402FF5">
      <w:pPr>
        <w:spacing w:after="0"/>
        <w:ind w:firstLine="709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>
        <w:rPr>
          <w:szCs w:val="28"/>
        </w:rPr>
        <w:t>6.</w:t>
      </w:r>
      <w:r w:rsidR="00887698">
        <w:rPr>
          <w:szCs w:val="28"/>
        </w:rPr>
        <w:t>2</w:t>
      </w:r>
      <w:r w:rsidRPr="007B4DCC">
        <w:rPr>
          <w:szCs w:val="28"/>
        </w:rPr>
        <w:t>.</w:t>
      </w:r>
      <w:r w:rsidR="00887698">
        <w:rPr>
          <w:szCs w:val="28"/>
        </w:rPr>
        <w:t>1</w:t>
      </w:r>
      <w:r w:rsidRPr="007B4DCC">
        <w:rPr>
          <w:szCs w:val="28"/>
        </w:rPr>
        <w:t xml:space="preserve"> – Расчет затрат на основную заработную плату команды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395"/>
        <w:gridCol w:w="1431"/>
        <w:gridCol w:w="1661"/>
        <w:gridCol w:w="1431"/>
      </w:tblGrid>
      <w:tr w:rsidR="00402FF5" w:rsidRPr="00582D64" w:rsidTr="002053DC">
        <w:tc>
          <w:tcPr>
            <w:tcW w:w="2093" w:type="dxa"/>
          </w:tcPr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Работник</w:t>
            </w:r>
          </w:p>
        </w:tc>
        <w:tc>
          <w:tcPr>
            <w:tcW w:w="1559" w:type="dxa"/>
          </w:tcPr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395" w:type="dxa"/>
          </w:tcPr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Месячная</w:t>
            </w:r>
          </w:p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Часовая</w:t>
            </w:r>
          </w:p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Трудоемкость работ, часов</w:t>
            </w:r>
          </w:p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Основная</w:t>
            </w:r>
          </w:p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заработная</w:t>
            </w:r>
          </w:p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  <w:r w:rsidRPr="00582D64">
              <w:rPr>
                <w:rFonts w:cs="Times New Roman"/>
                <w:sz w:val="24"/>
                <w:szCs w:val="24"/>
              </w:rPr>
              <w:t>плата, р.</w:t>
            </w:r>
          </w:p>
        </w:tc>
      </w:tr>
      <w:tr w:rsidR="00887698" w:rsidRPr="00582D64" w:rsidTr="00252338">
        <w:trPr>
          <w:trHeight w:val="562"/>
        </w:trPr>
        <w:tc>
          <w:tcPr>
            <w:tcW w:w="2093" w:type="dxa"/>
          </w:tcPr>
          <w:p w:rsidR="00887698" w:rsidRPr="00582D64" w:rsidRDefault="00887698" w:rsidP="00E36A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Преподаватель</w:t>
            </w:r>
          </w:p>
        </w:tc>
        <w:tc>
          <w:tcPr>
            <w:tcW w:w="1559" w:type="dxa"/>
          </w:tcPr>
          <w:p w:rsidR="00887698" w:rsidRPr="00582D64" w:rsidRDefault="00887698" w:rsidP="00E36A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методики</w:t>
            </w:r>
          </w:p>
        </w:tc>
        <w:tc>
          <w:tcPr>
            <w:tcW w:w="1395" w:type="dxa"/>
            <w:vAlign w:val="center"/>
          </w:tcPr>
          <w:p w:rsidR="00887698" w:rsidRPr="00582D64" w:rsidRDefault="00887698" w:rsidP="008C5D0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521,10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E36A1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3,10</w:t>
            </w:r>
          </w:p>
        </w:tc>
        <w:tc>
          <w:tcPr>
            <w:tcW w:w="1661" w:type="dxa"/>
            <w:vAlign w:val="center"/>
          </w:tcPr>
          <w:p w:rsidR="00887698" w:rsidRPr="00582D64" w:rsidRDefault="00887698" w:rsidP="00E36A1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31" w:type="dxa"/>
            <w:vAlign w:val="center"/>
          </w:tcPr>
          <w:p w:rsidR="00887698" w:rsidRPr="00582D64" w:rsidRDefault="00887698" w:rsidP="00E36A1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402FF5" w:rsidRPr="00582D64" w:rsidTr="00E36A13">
        <w:tc>
          <w:tcPr>
            <w:tcW w:w="8139" w:type="dxa"/>
            <w:gridSpan w:val="5"/>
          </w:tcPr>
          <w:p w:rsidR="00402FF5" w:rsidRPr="00582D64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ПРЕМИЯ (75%)</w:t>
            </w:r>
          </w:p>
        </w:tc>
        <w:tc>
          <w:tcPr>
            <w:tcW w:w="1431" w:type="dxa"/>
            <w:vAlign w:val="center"/>
          </w:tcPr>
          <w:p w:rsidR="00402FF5" w:rsidRDefault="00887698" w:rsidP="00E36A1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46,5</w:t>
            </w:r>
          </w:p>
        </w:tc>
      </w:tr>
      <w:tr w:rsidR="00402FF5" w:rsidRPr="00582D64" w:rsidTr="00E36A13">
        <w:tc>
          <w:tcPr>
            <w:tcW w:w="8139" w:type="dxa"/>
            <w:gridSpan w:val="5"/>
          </w:tcPr>
          <w:p w:rsidR="00402FF5" w:rsidRPr="00582D64" w:rsidRDefault="00402FF5" w:rsidP="00E36A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431" w:type="dxa"/>
            <w:vAlign w:val="center"/>
          </w:tcPr>
          <w:p w:rsidR="00402FF5" w:rsidRPr="00582D64" w:rsidRDefault="00887698" w:rsidP="00E36A1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108,5</w:t>
            </w:r>
          </w:p>
        </w:tc>
      </w:tr>
    </w:tbl>
    <w:p w:rsidR="00402FF5" w:rsidRDefault="00402FF5" w:rsidP="00402FF5">
      <w:pPr>
        <w:spacing w:after="0"/>
        <w:ind w:firstLine="709"/>
        <w:rPr>
          <w:szCs w:val="28"/>
        </w:rPr>
      </w:pPr>
    </w:p>
    <w:p w:rsidR="008C5D04" w:rsidRDefault="0016451D" w:rsidP="00402FF5">
      <w:pPr>
        <w:spacing w:after="0"/>
        <w:ind w:firstLine="709"/>
        <w:jc w:val="both"/>
        <w:rPr>
          <w:szCs w:val="28"/>
        </w:rPr>
      </w:pPr>
      <w:hyperlink r:id="rId8" w:history="1">
        <w:r w:rsidR="008C5D04" w:rsidRPr="009C16D4">
          <w:rPr>
            <w:rStyle w:val="Hyperlink"/>
            <w:szCs w:val="28"/>
          </w:rPr>
          <w:t>http://www.belstat.gov.by/ofitsialnaya-statistika/solialnaya-sfera/trud/operativnaya-informatsiya_8/nom_zrab_plata-po-kvartalam/nachislennaya-zarabotnaya-plata-po-vidam-ekonomicheskoy-deyatelnosti-po-kvartalam-2016-g/</w:t>
        </w:r>
      </w:hyperlink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t>Затраты на дополнительную заработную плату команды</w:t>
      </w:r>
      <w:r>
        <w:rPr>
          <w:szCs w:val="28"/>
        </w:rPr>
        <w:t xml:space="preserve"> разработчиков включаю</w:t>
      </w:r>
      <w:r w:rsidRPr="007B4DCC">
        <w:rPr>
          <w:szCs w:val="28"/>
        </w:rPr>
        <w:t>т выплаты, предусмотренные законодательством о</w:t>
      </w:r>
      <w:r>
        <w:rPr>
          <w:szCs w:val="28"/>
        </w:rPr>
        <w:t xml:space="preserve"> </w:t>
      </w:r>
      <w:r w:rsidRPr="007B4DCC">
        <w:rPr>
          <w:szCs w:val="28"/>
        </w:rPr>
        <w:t>труде (оплата отпусков, льготных часов, времени выполнения государственных</w:t>
      </w:r>
      <w:r>
        <w:rPr>
          <w:szCs w:val="28"/>
        </w:rPr>
        <w:t xml:space="preserve"> </w:t>
      </w:r>
      <w:r w:rsidRPr="007B4DCC">
        <w:rPr>
          <w:szCs w:val="28"/>
        </w:rPr>
        <w:t>обязанностей и других выплат, не связанных с основной деятельностью</w:t>
      </w:r>
      <w:r>
        <w:rPr>
          <w:szCs w:val="28"/>
        </w:rPr>
        <w:t xml:space="preserve">). Выполняется по формуле 6.2.2 </w:t>
      </w:r>
      <w:r w:rsidRPr="00A12D91">
        <w:rPr>
          <w:szCs w:val="28"/>
        </w:rPr>
        <w:t>[4]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Pr="007B4DCC" w:rsidRDefault="0016451D" w:rsidP="00402FF5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402FF5" w:rsidRPr="00AA7CA4">
        <w:rPr>
          <w:rFonts w:eastAsiaTheme="minorEastAsia" w:cs="Times New Roman"/>
          <w:sz w:val="36"/>
          <w:szCs w:val="28"/>
        </w:rPr>
        <w:t xml:space="preserve">   </w:t>
      </w:r>
      <w:r w:rsidR="00402FF5" w:rsidRPr="00AA7CA4">
        <w:rPr>
          <w:rFonts w:eastAsiaTheme="minorEastAsia"/>
          <w:sz w:val="36"/>
          <w:szCs w:val="28"/>
        </w:rPr>
        <w:t xml:space="preserve">      </w:t>
      </w:r>
      <w:r w:rsidR="00402FF5">
        <w:rPr>
          <w:rFonts w:eastAsiaTheme="minorEastAsia"/>
          <w:sz w:val="36"/>
          <w:szCs w:val="28"/>
        </w:rPr>
        <w:t xml:space="preserve">          </w:t>
      </w:r>
      <w:r w:rsidR="00402FF5" w:rsidRPr="00AA7CA4">
        <w:rPr>
          <w:rFonts w:eastAsiaTheme="minorEastAsia"/>
          <w:sz w:val="36"/>
          <w:szCs w:val="28"/>
        </w:rPr>
        <w:t xml:space="preserve">     </w:t>
      </w:r>
      <w:r w:rsidR="00402FF5" w:rsidRPr="00896BBE">
        <w:rPr>
          <w:szCs w:val="28"/>
        </w:rPr>
        <w:t xml:space="preserve">                      </w:t>
      </w:r>
      <w:r w:rsidR="00402FF5" w:rsidRPr="007B4DCC">
        <w:rPr>
          <w:szCs w:val="28"/>
        </w:rPr>
        <w:t>(</w:t>
      </w:r>
      <w:r w:rsidR="00402FF5">
        <w:rPr>
          <w:szCs w:val="28"/>
        </w:rPr>
        <w:t>6.</w:t>
      </w:r>
      <w:r w:rsidR="00402FF5" w:rsidRPr="007B4DCC">
        <w:rPr>
          <w:szCs w:val="28"/>
        </w:rPr>
        <w:t>2.</w:t>
      </w:r>
      <w:r w:rsidR="00402FF5" w:rsidRPr="00AA7CA4">
        <w:rPr>
          <w:szCs w:val="28"/>
        </w:rPr>
        <w:t>2</w:t>
      </w:r>
      <w:r w:rsidR="00402FF5" w:rsidRPr="007B4DCC">
        <w:rPr>
          <w:szCs w:val="28"/>
        </w:rPr>
        <w:t>)</w:t>
      </w:r>
    </w:p>
    <w:p w:rsidR="00402FF5" w:rsidRDefault="00402FF5" w:rsidP="00402FF5">
      <w:pPr>
        <w:spacing w:after="0"/>
        <w:rPr>
          <w:szCs w:val="28"/>
        </w:rPr>
      </w:pPr>
    </w:p>
    <w:p w:rsidR="00402FF5" w:rsidRPr="007B4DCC" w:rsidRDefault="00402FF5" w:rsidP="00402FF5">
      <w:pPr>
        <w:spacing w:after="0"/>
        <w:rPr>
          <w:szCs w:val="28"/>
        </w:rPr>
      </w:pPr>
      <w:r w:rsidRPr="007B4DCC">
        <w:rPr>
          <w:szCs w:val="28"/>
        </w:rPr>
        <w:t xml:space="preserve">где </w:t>
      </w:r>
      <w:r w:rsidRPr="002D234F">
        <w:rPr>
          <w:i/>
          <w:szCs w:val="28"/>
        </w:rPr>
        <w:t>З</w:t>
      </w:r>
      <w:r w:rsidRPr="002D234F">
        <w:rPr>
          <w:i/>
          <w:szCs w:val="28"/>
          <w:vertAlign w:val="subscript"/>
        </w:rPr>
        <w:t>о</w:t>
      </w:r>
      <w:r w:rsidRPr="007B4DCC">
        <w:rPr>
          <w:szCs w:val="28"/>
        </w:rPr>
        <w:t xml:space="preserve"> – затраты на основную заработную плату с учетом премии (руб.);</w:t>
      </w:r>
    </w:p>
    <w:p w:rsidR="00402FF5" w:rsidRDefault="00402FF5" w:rsidP="00402FF5">
      <w:pPr>
        <w:spacing w:after="0"/>
        <w:rPr>
          <w:szCs w:val="28"/>
        </w:rPr>
      </w:pPr>
      <w:r w:rsidRPr="002D234F">
        <w:rPr>
          <w:i/>
          <w:szCs w:val="28"/>
        </w:rPr>
        <w:t>Н</w:t>
      </w:r>
      <w:r w:rsidRPr="002D234F">
        <w:rPr>
          <w:i/>
          <w:szCs w:val="28"/>
          <w:vertAlign w:val="subscript"/>
        </w:rPr>
        <w:t>д</w:t>
      </w:r>
      <w:r w:rsidRPr="007B4DCC">
        <w:rPr>
          <w:szCs w:val="28"/>
        </w:rPr>
        <w:t xml:space="preserve"> – норматив </w:t>
      </w:r>
      <w:r>
        <w:rPr>
          <w:szCs w:val="28"/>
        </w:rPr>
        <w:t>дополнительной заработной платы</w:t>
      </w:r>
      <w:r w:rsidRPr="00AA7CA4">
        <w:rPr>
          <w:szCs w:val="28"/>
        </w:rPr>
        <w:t xml:space="preserve"> [4]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дополнительной заработной платы на уровне 13% [4]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</w:t>
      </w:r>
      <w:r w:rsidR="00887698">
        <w:rPr>
          <w:szCs w:val="28"/>
        </w:rPr>
        <w:t>108,5</w:t>
      </w:r>
      <w:r>
        <w:rPr>
          <w:szCs w:val="28"/>
        </w:rPr>
        <w:t xml:space="preserve"> руб. з</w:t>
      </w:r>
      <w:r w:rsidRPr="007B4DCC">
        <w:rPr>
          <w:szCs w:val="28"/>
        </w:rPr>
        <w:t>атраты на дополнительную заработную плату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rPr>
          <w:szCs w:val="28"/>
        </w:rPr>
      </w:pPr>
    </w:p>
    <w:p w:rsidR="00402FF5" w:rsidRPr="00057632" w:rsidRDefault="0016451D" w:rsidP="00402FF5">
      <w:pPr>
        <w:spacing w:after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108,5∙13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=14,11 руб.</m:t>
          </m:r>
        </m:oMath>
      </m:oMathPara>
    </w:p>
    <w:p w:rsidR="00402FF5" w:rsidRPr="00B57031" w:rsidRDefault="00402FF5" w:rsidP="00402FF5">
      <w:pPr>
        <w:spacing w:after="0"/>
        <w:ind w:firstLine="709"/>
        <w:rPr>
          <w:rFonts w:cs="Times New Roman"/>
          <w:sz w:val="22"/>
          <w:szCs w:val="28"/>
        </w:rPr>
      </w:pPr>
    </w:p>
    <w:p w:rsidR="00402FF5" w:rsidRDefault="00402FF5" w:rsidP="00402FF5">
      <w:pPr>
        <w:rPr>
          <w:szCs w:val="28"/>
        </w:rPr>
      </w:pPr>
      <w:r>
        <w:rPr>
          <w:szCs w:val="28"/>
        </w:rPr>
        <w:br w:type="page"/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 w:rsidRPr="007B4DCC">
        <w:rPr>
          <w:szCs w:val="28"/>
        </w:rPr>
        <w:lastRenderedPageBreak/>
        <w:t>Отчисления на социальные нужды (в фонд социальной защиты</w:t>
      </w:r>
      <w:r>
        <w:rPr>
          <w:szCs w:val="28"/>
        </w:rPr>
        <w:t xml:space="preserve"> н</w:t>
      </w:r>
      <w:r w:rsidRPr="007B4DCC">
        <w:rPr>
          <w:szCs w:val="28"/>
        </w:rPr>
        <w:t>аселения и на обязательное страхование) определяются в соответствии с</w:t>
      </w:r>
      <w:r>
        <w:rPr>
          <w:szCs w:val="28"/>
        </w:rPr>
        <w:t xml:space="preserve"> </w:t>
      </w:r>
      <w:r w:rsidRPr="007B4DCC">
        <w:rPr>
          <w:szCs w:val="28"/>
        </w:rPr>
        <w:t>действующими законодательными актами по формуле</w:t>
      </w:r>
      <w:r>
        <w:rPr>
          <w:szCs w:val="28"/>
        </w:rPr>
        <w:t xml:space="preserve"> 6.2.3</w:t>
      </w:r>
      <w:r w:rsidRPr="00AA7CA4">
        <w:rPr>
          <w:szCs w:val="28"/>
        </w:rPr>
        <w:t xml:space="preserve"> [4]</w:t>
      </w:r>
      <w:r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Pr="007B4DCC" w:rsidRDefault="0016451D" w:rsidP="00402FF5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)Н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402FF5" w:rsidRPr="00AA7CA4">
        <w:rPr>
          <w:rFonts w:eastAsiaTheme="minorEastAsia" w:cs="Times New Roman"/>
          <w:sz w:val="36"/>
          <w:szCs w:val="28"/>
        </w:rPr>
        <w:t xml:space="preserve">   </w:t>
      </w:r>
      <w:r w:rsidR="00402FF5" w:rsidRPr="00AA7CA4">
        <w:rPr>
          <w:rFonts w:eastAsiaTheme="minorEastAsia"/>
          <w:sz w:val="36"/>
          <w:szCs w:val="28"/>
        </w:rPr>
        <w:t xml:space="preserve">      </w:t>
      </w:r>
      <w:r w:rsidR="00402FF5">
        <w:rPr>
          <w:rFonts w:eastAsiaTheme="minorEastAsia"/>
          <w:sz w:val="36"/>
          <w:szCs w:val="28"/>
        </w:rPr>
        <w:t xml:space="preserve">   </w:t>
      </w:r>
      <w:r w:rsidR="00402FF5" w:rsidRPr="00AA7CA4">
        <w:rPr>
          <w:rFonts w:eastAsiaTheme="minorEastAsia"/>
          <w:sz w:val="36"/>
          <w:szCs w:val="28"/>
        </w:rPr>
        <w:t xml:space="preserve">  </w:t>
      </w:r>
      <w:r w:rsidR="00402FF5" w:rsidRPr="00896BBE">
        <w:rPr>
          <w:szCs w:val="28"/>
        </w:rPr>
        <w:t xml:space="preserve">                      </w:t>
      </w:r>
      <w:r w:rsidR="00402FF5" w:rsidRPr="007B4DCC">
        <w:rPr>
          <w:szCs w:val="28"/>
        </w:rPr>
        <w:t>(</w:t>
      </w:r>
      <w:r w:rsidR="00402FF5">
        <w:rPr>
          <w:szCs w:val="28"/>
        </w:rPr>
        <w:t>6.</w:t>
      </w:r>
      <w:r w:rsidR="00402FF5" w:rsidRPr="007B4DCC">
        <w:rPr>
          <w:szCs w:val="28"/>
        </w:rPr>
        <w:t>2.</w:t>
      </w:r>
      <w:r w:rsidR="00402FF5">
        <w:rPr>
          <w:szCs w:val="28"/>
        </w:rPr>
        <w:t>3</w:t>
      </w:r>
      <w:r w:rsidR="00402FF5" w:rsidRPr="007B4DCC">
        <w:rPr>
          <w:szCs w:val="28"/>
        </w:rPr>
        <w:t>)</w:t>
      </w:r>
    </w:p>
    <w:p w:rsidR="00402FF5" w:rsidRPr="007B4DCC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402FF5" w:rsidP="00402FF5">
      <w:pPr>
        <w:spacing w:after="0"/>
        <w:jc w:val="both"/>
        <w:rPr>
          <w:szCs w:val="28"/>
        </w:rPr>
      </w:pPr>
      <w:r w:rsidRPr="007B4DCC">
        <w:rPr>
          <w:szCs w:val="28"/>
        </w:rPr>
        <w:t>где Н</w:t>
      </w:r>
      <w:r w:rsidRPr="00AA7CA4">
        <w:rPr>
          <w:szCs w:val="28"/>
          <w:vertAlign w:val="subscript"/>
        </w:rPr>
        <w:t xml:space="preserve">соц </w:t>
      </w:r>
      <w:r w:rsidRPr="007B4DCC">
        <w:rPr>
          <w:szCs w:val="28"/>
        </w:rPr>
        <w:t>– норматив отчислений на социальные нужды</w:t>
      </w:r>
      <w:r w:rsidRPr="00AA7CA4">
        <w:rPr>
          <w:szCs w:val="28"/>
        </w:rPr>
        <w:t xml:space="preserve"> [4]</w:t>
      </w:r>
      <w:r w:rsidRPr="007B4DCC">
        <w:rPr>
          <w:szCs w:val="28"/>
        </w:rPr>
        <w:t>.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 </w:t>
      </w:r>
      <w:r w:rsidRPr="007B4DCC">
        <w:rPr>
          <w:szCs w:val="28"/>
        </w:rPr>
        <w:t>норматив</w:t>
      </w:r>
      <w:r>
        <w:rPr>
          <w:szCs w:val="28"/>
        </w:rPr>
        <w:t>е</w:t>
      </w:r>
      <w:r w:rsidRPr="007B4DCC">
        <w:rPr>
          <w:szCs w:val="28"/>
        </w:rPr>
        <w:t xml:space="preserve"> </w:t>
      </w:r>
      <w:r>
        <w:rPr>
          <w:szCs w:val="28"/>
        </w:rPr>
        <w:t xml:space="preserve">отчислений на социальные нужды на уровне 35% по состоянию на 2017 год [5] и </w:t>
      </w:r>
      <w:r w:rsidRPr="007B4DCC">
        <w:rPr>
          <w:szCs w:val="28"/>
        </w:rPr>
        <w:t>затрат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основную заработную плату с учетом премии</w:t>
      </w:r>
      <w:r>
        <w:rPr>
          <w:szCs w:val="28"/>
        </w:rPr>
        <w:t xml:space="preserve"> равных 260,75 рублей, з</w:t>
      </w:r>
      <w:r w:rsidRPr="007B4DCC">
        <w:rPr>
          <w:szCs w:val="28"/>
        </w:rPr>
        <w:t>атрат</w:t>
      </w:r>
      <w:r>
        <w:rPr>
          <w:szCs w:val="28"/>
        </w:rPr>
        <w:t>ах</w:t>
      </w:r>
      <w:r w:rsidRPr="007B4DCC">
        <w:rPr>
          <w:szCs w:val="28"/>
        </w:rPr>
        <w:t xml:space="preserve"> на дополнительную заработную плату </w:t>
      </w:r>
      <w:r>
        <w:rPr>
          <w:szCs w:val="28"/>
        </w:rPr>
        <w:t>равных 33.89 руб. о</w:t>
      </w:r>
      <w:r w:rsidRPr="007B4DCC">
        <w:rPr>
          <w:szCs w:val="28"/>
        </w:rPr>
        <w:t>тчисления на социальные нужды</w:t>
      </w:r>
      <w:r>
        <w:rPr>
          <w:szCs w:val="28"/>
        </w:rPr>
        <w:t xml:space="preserve"> составляют: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16451D" w:rsidP="00402FF5">
      <w:pPr>
        <w:spacing w:after="0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(260, 75+33,89)∙35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=103,12 руб.</m:t>
          </m:r>
        </m:oMath>
      </m:oMathPara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прочих затрат осуществляется в процентах от затрат на основную заработную плату команды разработчиков с учетом премии (табл. 6.2.1) по формуле 6.2.4.</w:t>
      </w:r>
    </w:p>
    <w:p w:rsidR="00402FF5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02FF5" w:rsidRDefault="0016451D" w:rsidP="00402FF5">
      <w:pPr>
        <w:spacing w:after="0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,</m:t>
        </m:r>
      </m:oMath>
      <w:r w:rsidR="00402FF5">
        <w:rPr>
          <w:rFonts w:eastAsiaTheme="minorEastAsia" w:cs="Times New Roman"/>
          <w:sz w:val="36"/>
          <w:szCs w:val="28"/>
        </w:rPr>
        <w:t xml:space="preserve">                                     </w:t>
      </w:r>
      <w:r w:rsidR="00402FF5" w:rsidRPr="007B4DCC">
        <w:rPr>
          <w:szCs w:val="28"/>
        </w:rPr>
        <w:t>(</w:t>
      </w:r>
      <w:r w:rsidR="00402FF5">
        <w:rPr>
          <w:szCs w:val="28"/>
        </w:rPr>
        <w:t>6.</w:t>
      </w:r>
      <w:r w:rsidR="00402FF5" w:rsidRPr="007B4DCC">
        <w:rPr>
          <w:szCs w:val="28"/>
        </w:rPr>
        <w:t>2.</w:t>
      </w:r>
      <w:r w:rsidR="00402FF5">
        <w:rPr>
          <w:szCs w:val="28"/>
        </w:rPr>
        <w:t>4</w:t>
      </w:r>
      <w:r w:rsidR="00402FF5" w:rsidRPr="007B4DCC">
        <w:rPr>
          <w:szCs w:val="28"/>
        </w:rPr>
        <w:t>)</w:t>
      </w:r>
    </w:p>
    <w:p w:rsidR="00402FF5" w:rsidRPr="007B4DCC" w:rsidRDefault="00402FF5" w:rsidP="00402FF5">
      <w:pPr>
        <w:spacing w:after="0"/>
        <w:ind w:firstLine="709"/>
        <w:jc w:val="right"/>
        <w:rPr>
          <w:szCs w:val="28"/>
        </w:rPr>
      </w:pP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где Н</w:t>
      </w:r>
      <w:r>
        <w:rPr>
          <w:rFonts w:cs="Times New Roman"/>
          <w:sz w:val="18"/>
          <w:szCs w:val="18"/>
        </w:rPr>
        <w:t xml:space="preserve">пз </w:t>
      </w:r>
      <w:r>
        <w:rPr>
          <w:rFonts w:cs="Times New Roman"/>
          <w:szCs w:val="28"/>
        </w:rPr>
        <w:t>– норматив прочих затрат</w:t>
      </w:r>
      <w:r w:rsidRPr="000E384A">
        <w:rPr>
          <w:rFonts w:cs="Times New Roman"/>
          <w:szCs w:val="28"/>
        </w:rPr>
        <w:t xml:space="preserve"> [4].</w:t>
      </w:r>
    </w:p>
    <w:p w:rsidR="00402FF5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 </w:t>
      </w:r>
      <w:r>
        <w:rPr>
          <w:rFonts w:cs="Times New Roman"/>
          <w:szCs w:val="28"/>
        </w:rPr>
        <w:t>нормативе прочих затрат</w:t>
      </w:r>
      <w:r w:rsidRPr="000E38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равном 100% от основной заработной платы команды разработчиков с учетом премии, расчет прочих затрат принимает вид:</w:t>
      </w:r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:rsidR="00402FF5" w:rsidRDefault="0016451D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260, 75∙100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=260, 75 руб.</m:t>
          </m:r>
        </m:oMath>
      </m:oMathPara>
    </w:p>
    <w:p w:rsidR="00402FF5" w:rsidRPr="000E384A" w:rsidRDefault="00402FF5" w:rsidP="00402FF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Результат стоимостной оценки затрат представлен в таблице 6.2.2</w:t>
      </w:r>
    </w:p>
    <w:p w:rsidR="00402FF5" w:rsidRPr="007B4DCC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Default="00402FF5" w:rsidP="00402FF5">
      <w:pPr>
        <w:rPr>
          <w:szCs w:val="28"/>
        </w:rPr>
      </w:pPr>
      <w:r>
        <w:rPr>
          <w:szCs w:val="28"/>
        </w:rPr>
        <w:br w:type="page"/>
      </w:r>
    </w:p>
    <w:p w:rsidR="00402FF5" w:rsidRPr="007B4DCC" w:rsidRDefault="00402FF5" w:rsidP="00402FF5">
      <w:pPr>
        <w:spacing w:after="0"/>
        <w:jc w:val="both"/>
        <w:rPr>
          <w:szCs w:val="28"/>
        </w:rPr>
      </w:pPr>
      <w:r w:rsidRPr="007B4DCC">
        <w:rPr>
          <w:szCs w:val="28"/>
        </w:rPr>
        <w:lastRenderedPageBreak/>
        <w:t xml:space="preserve">Таблица </w:t>
      </w:r>
      <w:r>
        <w:rPr>
          <w:szCs w:val="28"/>
        </w:rPr>
        <w:t>6.</w:t>
      </w:r>
      <w:r w:rsidRPr="007B4DCC">
        <w:rPr>
          <w:szCs w:val="28"/>
        </w:rPr>
        <w:t>2.2 – Затраты на разработку программного обеспечения</w:t>
      </w:r>
    </w:p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665"/>
      </w:tblGrid>
      <w:tr w:rsidR="00402FF5" w:rsidTr="00E36A13">
        <w:tc>
          <w:tcPr>
            <w:tcW w:w="790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Сумма, руб.</w:t>
            </w:r>
          </w:p>
        </w:tc>
      </w:tr>
      <w:tr w:rsidR="00402FF5" w:rsidTr="00E36A13">
        <w:tc>
          <w:tcPr>
            <w:tcW w:w="7905" w:type="dxa"/>
          </w:tcPr>
          <w:p w:rsidR="00402FF5" w:rsidRPr="008E23F0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402FF5" w:rsidTr="00E36A13">
        <w:tc>
          <w:tcPr>
            <w:tcW w:w="7905" w:type="dxa"/>
          </w:tcPr>
          <w:p w:rsidR="00402FF5" w:rsidRPr="008E23F0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33,89</w:t>
            </w:r>
          </w:p>
        </w:tc>
      </w:tr>
      <w:tr w:rsidR="00402FF5" w:rsidTr="00E36A13">
        <w:tc>
          <w:tcPr>
            <w:tcW w:w="7905" w:type="dxa"/>
          </w:tcPr>
          <w:p w:rsidR="00402FF5" w:rsidRPr="008E23F0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8E23F0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103,12</w:t>
            </w:r>
          </w:p>
        </w:tc>
      </w:tr>
      <w:tr w:rsidR="00402FF5" w:rsidTr="00E36A13">
        <w:tc>
          <w:tcPr>
            <w:tcW w:w="7905" w:type="dxa"/>
          </w:tcPr>
          <w:p w:rsidR="00402FF5" w:rsidRPr="008E23F0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260,75</w:t>
            </w:r>
          </w:p>
        </w:tc>
      </w:tr>
      <w:tr w:rsidR="00402FF5" w:rsidTr="00E36A13">
        <w:tc>
          <w:tcPr>
            <w:tcW w:w="7905" w:type="dxa"/>
          </w:tcPr>
          <w:p w:rsidR="00402FF5" w:rsidRPr="008E23F0" w:rsidRDefault="00402FF5" w:rsidP="00E36A13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665" w:type="dxa"/>
          </w:tcPr>
          <w:p w:rsidR="00402FF5" w:rsidRDefault="00402FF5" w:rsidP="00E36A1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658,71</w:t>
            </w:r>
          </w:p>
        </w:tc>
      </w:tr>
    </w:tbl>
    <w:p w:rsidR="00402FF5" w:rsidRDefault="00402FF5" w:rsidP="00402FF5">
      <w:pPr>
        <w:spacing w:after="0"/>
        <w:ind w:firstLine="709"/>
        <w:jc w:val="both"/>
        <w:rPr>
          <w:szCs w:val="28"/>
        </w:rPr>
      </w:pPr>
    </w:p>
    <w:p w:rsidR="00402FF5" w:rsidRPr="008545A4" w:rsidRDefault="00402FF5" w:rsidP="00EA761B">
      <w:pPr>
        <w:spacing w:after="0"/>
        <w:ind w:firstLine="709"/>
        <w:jc w:val="both"/>
        <w:rPr>
          <w:szCs w:val="28"/>
        </w:rPr>
      </w:pPr>
    </w:p>
    <w:p w:rsidR="0015159E" w:rsidRDefault="0015159E">
      <w:pPr>
        <w:rPr>
          <w:szCs w:val="28"/>
        </w:rPr>
      </w:pPr>
      <w:r>
        <w:rPr>
          <w:szCs w:val="28"/>
        </w:rPr>
        <w:br w:type="page"/>
      </w:r>
    </w:p>
    <w:sectPr w:rsidR="0015159E" w:rsidSect="00AD4975">
      <w:footerReference w:type="default" r:id="rId9"/>
      <w:pgSz w:w="11906" w:h="16838"/>
      <w:pgMar w:top="1134" w:right="851" w:bottom="1531" w:left="1701" w:header="709" w:footer="737" w:gutter="0"/>
      <w:pgNumType w:start="6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7C" w:rsidRDefault="00EB737C" w:rsidP="00042D71">
      <w:pPr>
        <w:spacing w:after="0" w:line="240" w:lineRule="auto"/>
      </w:pPr>
      <w:r>
        <w:separator/>
      </w:r>
    </w:p>
  </w:endnote>
  <w:endnote w:type="continuationSeparator" w:id="0">
    <w:p w:rsidR="00EB737C" w:rsidRDefault="00EB737C" w:rsidP="0004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1973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74F18" w:rsidRPr="00142DE8" w:rsidRDefault="00F74F18">
        <w:pPr>
          <w:pStyle w:val="Footer"/>
          <w:jc w:val="right"/>
          <w:rPr>
            <w:sz w:val="24"/>
          </w:rPr>
        </w:pPr>
        <w:r w:rsidRPr="00142DE8">
          <w:rPr>
            <w:sz w:val="24"/>
          </w:rPr>
          <w:fldChar w:fldCharType="begin"/>
        </w:r>
        <w:r w:rsidRPr="00142DE8">
          <w:rPr>
            <w:sz w:val="24"/>
          </w:rPr>
          <w:instrText>PAGE   \* MERGEFORMAT</w:instrText>
        </w:r>
        <w:r w:rsidRPr="00142DE8">
          <w:rPr>
            <w:sz w:val="24"/>
          </w:rPr>
          <w:fldChar w:fldCharType="separate"/>
        </w:r>
        <w:r w:rsidR="0016451D">
          <w:rPr>
            <w:noProof/>
            <w:sz w:val="24"/>
          </w:rPr>
          <w:t>67</w:t>
        </w:r>
        <w:r w:rsidRPr="00142DE8">
          <w:rPr>
            <w:sz w:val="24"/>
          </w:rPr>
          <w:fldChar w:fldCharType="end"/>
        </w:r>
      </w:p>
    </w:sdtContent>
  </w:sdt>
  <w:p w:rsidR="00F74F18" w:rsidRDefault="00F74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7C" w:rsidRDefault="00EB737C" w:rsidP="00042D71">
      <w:pPr>
        <w:spacing w:after="0" w:line="240" w:lineRule="auto"/>
      </w:pPr>
      <w:r>
        <w:separator/>
      </w:r>
    </w:p>
  </w:footnote>
  <w:footnote w:type="continuationSeparator" w:id="0">
    <w:p w:rsidR="00EB737C" w:rsidRDefault="00EB737C" w:rsidP="0004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ECB"/>
    <w:multiLevelType w:val="multilevel"/>
    <w:tmpl w:val="6EE84D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6.%2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48733E"/>
    <w:multiLevelType w:val="hybridMultilevel"/>
    <w:tmpl w:val="D80281AE"/>
    <w:lvl w:ilvl="0" w:tplc="35C6669E">
      <w:start w:val="1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9507A7"/>
    <w:multiLevelType w:val="hybridMultilevel"/>
    <w:tmpl w:val="94D67C2C"/>
    <w:lvl w:ilvl="0" w:tplc="FCEC8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688"/>
    <w:multiLevelType w:val="multilevel"/>
    <w:tmpl w:val="B52AB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6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9413CC"/>
    <w:multiLevelType w:val="multilevel"/>
    <w:tmpl w:val="1FD23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5F4C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984CD6"/>
    <w:multiLevelType w:val="multilevel"/>
    <w:tmpl w:val="900A5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suff w:val="space"/>
      <w:lvlText w:val="%3.2.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DB97044"/>
    <w:multiLevelType w:val="hybridMultilevel"/>
    <w:tmpl w:val="56EE59DE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A30F0"/>
    <w:multiLevelType w:val="hybridMultilevel"/>
    <w:tmpl w:val="488CA5AA"/>
    <w:lvl w:ilvl="0" w:tplc="35C6669E">
      <w:start w:val="1"/>
      <w:numFmt w:val="decimal"/>
      <w:lvlText w:val="7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B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977C53"/>
    <w:multiLevelType w:val="hybridMultilevel"/>
    <w:tmpl w:val="00E84708"/>
    <w:lvl w:ilvl="0" w:tplc="EB48C9F2">
      <w:start w:val="1"/>
      <w:numFmt w:val="bullet"/>
      <w:lvlText w:val=""/>
      <w:lvlJc w:val="left"/>
      <w:pPr>
        <w:tabs>
          <w:tab w:val="num" w:pos="1077"/>
        </w:tabs>
        <w:ind w:left="567" w:firstLine="50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C3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F41F61"/>
    <w:multiLevelType w:val="multilevel"/>
    <w:tmpl w:val="007A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35BD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644730"/>
    <w:multiLevelType w:val="multilevel"/>
    <w:tmpl w:val="8A320F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04B6389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B85E60"/>
    <w:multiLevelType w:val="multilevel"/>
    <w:tmpl w:val="0419001F"/>
    <w:numStyleLink w:val="1"/>
  </w:abstractNum>
  <w:abstractNum w:abstractNumId="18">
    <w:nsid w:val="3A3E2A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16C151E"/>
    <w:multiLevelType w:val="multilevel"/>
    <w:tmpl w:val="87B6D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6C3F2B"/>
    <w:multiLevelType w:val="multilevel"/>
    <w:tmpl w:val="C3CE272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6%1.%2.%3.%4.%5.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0841F5F"/>
    <w:multiLevelType w:val="hybridMultilevel"/>
    <w:tmpl w:val="938871C8"/>
    <w:lvl w:ilvl="0" w:tplc="2236F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17457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7A43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9875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A75F0B"/>
    <w:multiLevelType w:val="multilevel"/>
    <w:tmpl w:val="8F400B54"/>
    <w:lvl w:ilvl="0">
      <w:start w:val="1"/>
      <w:numFmt w:val="none"/>
      <w:lvlText w:val="7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7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7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FE35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7164F2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5C744A6"/>
    <w:multiLevelType w:val="multilevel"/>
    <w:tmpl w:val="0419001F"/>
    <w:numStyleLink w:val="1"/>
  </w:abstractNum>
  <w:abstractNum w:abstractNumId="30">
    <w:nsid w:val="68C77432"/>
    <w:multiLevelType w:val="multilevel"/>
    <w:tmpl w:val="028AC76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1">
    <w:nsid w:val="6C3D26AB"/>
    <w:multiLevelType w:val="multilevel"/>
    <w:tmpl w:val="79924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DC8612B"/>
    <w:multiLevelType w:val="multilevel"/>
    <w:tmpl w:val="8F7ACC6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2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20757EF"/>
    <w:multiLevelType w:val="hybridMultilevel"/>
    <w:tmpl w:val="78143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81BD5"/>
    <w:multiLevelType w:val="multilevel"/>
    <w:tmpl w:val="B0A40A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6322A56"/>
    <w:multiLevelType w:val="multilevel"/>
    <w:tmpl w:val="76BEB39C"/>
    <w:lvl w:ilvl="0">
      <w:start w:val="1"/>
      <w:numFmt w:val="none"/>
      <w:suff w:val="space"/>
      <w:lvlText w:val="7.2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37">
    <w:nsid w:val="76381D56"/>
    <w:multiLevelType w:val="multilevel"/>
    <w:tmpl w:val="E9EA74CC"/>
    <w:lvl w:ilvl="0">
      <w:start w:val="6"/>
      <w:numFmt w:val="decimal"/>
      <w:suff w:val="space"/>
      <w:lvlText w:val="%1"/>
      <w:lvlJc w:val="left"/>
      <w:pPr>
        <w:ind w:left="928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38">
    <w:nsid w:val="76FE47F0"/>
    <w:multiLevelType w:val="hybridMultilevel"/>
    <w:tmpl w:val="E6BEBAD0"/>
    <w:lvl w:ilvl="0" w:tplc="9718FC5C">
      <w:start w:val="7"/>
      <w:numFmt w:val="decimal"/>
      <w:lvlText w:val="7.1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2B78D6"/>
    <w:multiLevelType w:val="hybridMultilevel"/>
    <w:tmpl w:val="007A81FA"/>
    <w:lvl w:ilvl="0" w:tplc="6A6C2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9"/>
  </w:num>
  <w:num w:numId="4">
    <w:abstractNumId w:val="2"/>
  </w:num>
  <w:num w:numId="5">
    <w:abstractNumId w:val="16"/>
  </w:num>
  <w:num w:numId="6">
    <w:abstractNumId w:val="21"/>
  </w:num>
  <w:num w:numId="7">
    <w:abstractNumId w:val="5"/>
  </w:num>
  <w:num w:numId="8">
    <w:abstractNumId w:val="17"/>
  </w:num>
  <w:num w:numId="9">
    <w:abstractNumId w:val="20"/>
  </w:num>
  <w:num w:numId="10">
    <w:abstractNumId w:val="24"/>
  </w:num>
  <w:num w:numId="11">
    <w:abstractNumId w:val="4"/>
  </w:num>
  <w:num w:numId="12">
    <w:abstractNumId w:val="27"/>
  </w:num>
  <w:num w:numId="13">
    <w:abstractNumId w:val="37"/>
  </w:num>
  <w:num w:numId="14">
    <w:abstractNumId w:val="31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32"/>
  </w:num>
  <w:num w:numId="20">
    <w:abstractNumId w:val="28"/>
  </w:num>
  <w:num w:numId="21">
    <w:abstractNumId w:val="23"/>
  </w:num>
  <w:num w:numId="22">
    <w:abstractNumId w:val="7"/>
  </w:num>
  <w:num w:numId="23">
    <w:abstractNumId w:val="1"/>
  </w:num>
  <w:num w:numId="24">
    <w:abstractNumId w:val="38"/>
  </w:num>
  <w:num w:numId="25">
    <w:abstractNumId w:val="29"/>
  </w:num>
  <w:num w:numId="26">
    <w:abstractNumId w:val="12"/>
  </w:num>
  <w:num w:numId="27">
    <w:abstractNumId w:val="14"/>
  </w:num>
  <w:num w:numId="28">
    <w:abstractNumId w:val="26"/>
  </w:num>
  <w:num w:numId="29">
    <w:abstractNumId w:val="22"/>
  </w:num>
  <w:num w:numId="30">
    <w:abstractNumId w:val="36"/>
  </w:num>
  <w:num w:numId="31">
    <w:abstractNumId w:val="30"/>
  </w:num>
  <w:num w:numId="32">
    <w:abstractNumId w:val="34"/>
  </w:num>
  <w:num w:numId="33">
    <w:abstractNumId w:val="39"/>
  </w:num>
  <w:num w:numId="34">
    <w:abstractNumId w:val="13"/>
  </w:num>
  <w:num w:numId="35">
    <w:abstractNumId w:val="6"/>
  </w:num>
  <w:num w:numId="36">
    <w:abstractNumId w:val="3"/>
  </w:num>
  <w:num w:numId="37">
    <w:abstractNumId w:val="19"/>
  </w:num>
  <w:num w:numId="38">
    <w:abstractNumId w:val="11"/>
  </w:num>
  <w:num w:numId="39">
    <w:abstractNumId w:val="3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D7"/>
    <w:rsid w:val="00042D71"/>
    <w:rsid w:val="00057632"/>
    <w:rsid w:val="00067895"/>
    <w:rsid w:val="00086EB9"/>
    <w:rsid w:val="000B4CB5"/>
    <w:rsid w:val="000C7072"/>
    <w:rsid w:val="000D7544"/>
    <w:rsid w:val="000E384A"/>
    <w:rsid w:val="001105F7"/>
    <w:rsid w:val="00142DE8"/>
    <w:rsid w:val="0015159E"/>
    <w:rsid w:val="00156AB2"/>
    <w:rsid w:val="0016451D"/>
    <w:rsid w:val="001F3B2D"/>
    <w:rsid w:val="002053DC"/>
    <w:rsid w:val="002065C0"/>
    <w:rsid w:val="00266280"/>
    <w:rsid w:val="002C37B9"/>
    <w:rsid w:val="002D234F"/>
    <w:rsid w:val="00312BFE"/>
    <w:rsid w:val="0031369F"/>
    <w:rsid w:val="003B7B00"/>
    <w:rsid w:val="003C6EAB"/>
    <w:rsid w:val="003D18F0"/>
    <w:rsid w:val="003F1273"/>
    <w:rsid w:val="003F1A3B"/>
    <w:rsid w:val="00402FF5"/>
    <w:rsid w:val="00424AB7"/>
    <w:rsid w:val="00425D7B"/>
    <w:rsid w:val="00431D16"/>
    <w:rsid w:val="0044518F"/>
    <w:rsid w:val="0046518D"/>
    <w:rsid w:val="00482747"/>
    <w:rsid w:val="004B58F2"/>
    <w:rsid w:val="004F4F15"/>
    <w:rsid w:val="00511C90"/>
    <w:rsid w:val="00516E91"/>
    <w:rsid w:val="00521876"/>
    <w:rsid w:val="00582D64"/>
    <w:rsid w:val="005859C0"/>
    <w:rsid w:val="00590F86"/>
    <w:rsid w:val="005B21CC"/>
    <w:rsid w:val="005B28A2"/>
    <w:rsid w:val="005B4BEC"/>
    <w:rsid w:val="005D6332"/>
    <w:rsid w:val="00617217"/>
    <w:rsid w:val="00641741"/>
    <w:rsid w:val="00661D7A"/>
    <w:rsid w:val="006C744D"/>
    <w:rsid w:val="006D6DE7"/>
    <w:rsid w:val="006F16F4"/>
    <w:rsid w:val="0072659D"/>
    <w:rsid w:val="007A0B52"/>
    <w:rsid w:val="007B4DCC"/>
    <w:rsid w:val="007F1138"/>
    <w:rsid w:val="00817CEE"/>
    <w:rsid w:val="0083420A"/>
    <w:rsid w:val="008545A4"/>
    <w:rsid w:val="00877955"/>
    <w:rsid w:val="00884469"/>
    <w:rsid w:val="00887698"/>
    <w:rsid w:val="008964B0"/>
    <w:rsid w:val="00896BBE"/>
    <w:rsid w:val="008B1870"/>
    <w:rsid w:val="008C072A"/>
    <w:rsid w:val="008C5D04"/>
    <w:rsid w:val="008F4B41"/>
    <w:rsid w:val="008F62D5"/>
    <w:rsid w:val="00901324"/>
    <w:rsid w:val="00901B00"/>
    <w:rsid w:val="00901C27"/>
    <w:rsid w:val="00945148"/>
    <w:rsid w:val="00950BD7"/>
    <w:rsid w:val="00982A8C"/>
    <w:rsid w:val="0099226C"/>
    <w:rsid w:val="00994812"/>
    <w:rsid w:val="00997E15"/>
    <w:rsid w:val="009D7FA5"/>
    <w:rsid w:val="009E41D2"/>
    <w:rsid w:val="00A12D91"/>
    <w:rsid w:val="00A33479"/>
    <w:rsid w:val="00A60129"/>
    <w:rsid w:val="00AA7CA4"/>
    <w:rsid w:val="00AD4975"/>
    <w:rsid w:val="00AE7951"/>
    <w:rsid w:val="00B313F9"/>
    <w:rsid w:val="00B467A6"/>
    <w:rsid w:val="00B57031"/>
    <w:rsid w:val="00B82B80"/>
    <w:rsid w:val="00BE0521"/>
    <w:rsid w:val="00BF4395"/>
    <w:rsid w:val="00C14ABC"/>
    <w:rsid w:val="00C3707D"/>
    <w:rsid w:val="00C56FD7"/>
    <w:rsid w:val="00C576C7"/>
    <w:rsid w:val="00C60B29"/>
    <w:rsid w:val="00C908CD"/>
    <w:rsid w:val="00C92CB5"/>
    <w:rsid w:val="00CA58BD"/>
    <w:rsid w:val="00CA7197"/>
    <w:rsid w:val="00CE761E"/>
    <w:rsid w:val="00D32258"/>
    <w:rsid w:val="00D949D7"/>
    <w:rsid w:val="00D94A25"/>
    <w:rsid w:val="00DA6D54"/>
    <w:rsid w:val="00DB4655"/>
    <w:rsid w:val="00DC21FF"/>
    <w:rsid w:val="00DD2804"/>
    <w:rsid w:val="00DD6AA9"/>
    <w:rsid w:val="00DF24C1"/>
    <w:rsid w:val="00E44E32"/>
    <w:rsid w:val="00E811F4"/>
    <w:rsid w:val="00E84282"/>
    <w:rsid w:val="00EA59E1"/>
    <w:rsid w:val="00EA761B"/>
    <w:rsid w:val="00EB423E"/>
    <w:rsid w:val="00EB737C"/>
    <w:rsid w:val="00EC2D8E"/>
    <w:rsid w:val="00ED393C"/>
    <w:rsid w:val="00ED5E76"/>
    <w:rsid w:val="00F317E5"/>
    <w:rsid w:val="00F74F18"/>
    <w:rsid w:val="00FC076D"/>
    <w:rsid w:val="00FC13F1"/>
    <w:rsid w:val="00FE5C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A03EB-D90F-42F6-AB52-9552FB3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5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BD7"/>
    <w:pPr>
      <w:ind w:left="720"/>
      <w:contextualSpacing/>
    </w:pPr>
  </w:style>
  <w:style w:type="numbering" w:customStyle="1" w:styleId="1">
    <w:name w:val="Стиль1"/>
    <w:uiPriority w:val="99"/>
    <w:rsid w:val="00EB423E"/>
    <w:pPr>
      <w:numPr>
        <w:numId w:val="9"/>
      </w:numPr>
    </w:pPr>
  </w:style>
  <w:style w:type="paragraph" w:styleId="BodyTextIndent3">
    <w:name w:val="Body Text Indent 3"/>
    <w:basedOn w:val="Normal"/>
    <w:link w:val="BodyTextIndent3Char"/>
    <w:rsid w:val="00DC21FF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DC21FF"/>
    <w:rPr>
      <w:rFonts w:eastAsia="Times New Roman" w:cs="Times New Roman"/>
      <w:szCs w:val="20"/>
      <w:lang w:eastAsia="ru-RU"/>
    </w:rPr>
  </w:style>
  <w:style w:type="paragraph" w:customStyle="1" w:styleId="10">
    <w:name w:val="Знак Знак1 Знак"/>
    <w:basedOn w:val="Normal"/>
    <w:rsid w:val="00B467A6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71"/>
  </w:style>
  <w:style w:type="paragraph" w:styleId="Footer">
    <w:name w:val="footer"/>
    <w:basedOn w:val="Normal"/>
    <w:link w:val="FooterChar"/>
    <w:uiPriority w:val="99"/>
    <w:unhideWhenUsed/>
    <w:rsid w:val="0004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71"/>
  </w:style>
  <w:style w:type="paragraph" w:customStyle="1" w:styleId="0">
    <w:name w:val="0текст"/>
    <w:basedOn w:val="Normal"/>
    <w:link w:val="00"/>
    <w:qFormat/>
    <w:rsid w:val="007A0B52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7A0B52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C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C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CE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5D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stat.gov.by/ofitsialnaya-statistika/solialnaya-sfera/trud/operativnaya-informatsiya_8/nom_zrab_plata-po-kvartalam/nachislennaya-zarabotnaya-plata-po-vidam-ekonomicheskoy-deyatelnosti-po-kvartalam-2016-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4FAE-71A0-4980-90CD-90A1BD6F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2403</Words>
  <Characters>13703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T I</cp:lastModifiedBy>
  <cp:revision>8</cp:revision>
  <dcterms:created xsi:type="dcterms:W3CDTF">2014-05-12T21:20:00Z</dcterms:created>
  <dcterms:modified xsi:type="dcterms:W3CDTF">2017-05-10T13:43:00Z</dcterms:modified>
</cp:coreProperties>
</file>