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left"/>
      </w:pPr>
      <w:r>
        <w:rPr>
          <w:rFonts w:ascii="Arial" w:cs="Arial" w:eastAsia="Arial" w:hAnsi="Arial"/>
          <w:b/>
          <w:bCs/>
          <w:color w:val="1a6ca8"/>
          <w:sz w:val="48"/>
          <w:szCs w:val="48"/>
        </w:rPr>
        <w:t xml:space="preserve">Advies Voorzieningencatalogus</w:t>
      </w:r>
    </w:p>
    <w:p>
      <w:pPr>
        <w:spacing w:after="40"/>
      </w:pPr>
      <w:r>
        <w:rPr>
          <w:rFonts w:ascii="Arial" w:cs="Arial" w:eastAsia="Arial" w:hAnsi="Arial"/>
          <w:color w:val="666666"/>
          <w:sz w:val="26"/>
          <w:szCs w:val="26"/>
        </w:rPr>
        <w:t xml:space="preserve">Van demonstratie naar verantwoorde productie</w:t>
      </w:r>
    </w:p>
    <w:p>
      <w:pPr>
        <w:spacing w:before="200"/>
      </w:pPr>
    </w:p>
    <w:p>
      <w:pPr>
        <w:spacing w:after="40"/>
      </w:pPr>
      <w:r>
        <w:rPr>
          <w:rFonts w:ascii="Arial" w:cs="Arial" w:eastAsia="Arial" w:hAnsi="Arial"/>
          <w:i/>
          <w:iCs/>
          <w:color w:val="666666"/>
          <w:sz w:val="22"/>
          <w:szCs w:val="22"/>
        </w:rPr>
        <w:t xml:space="preserve">Versie 4.0 — Herzien na doorontwikkeling en GVC-extractie</w:t>
      </w:r>
    </w:p>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6526"/>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Opdrachtgever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VNG (Vereniging van Nederlandse Gemeenten)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Auteur</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ArchiXL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Datum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24 maart 2026</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Versie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Status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Definitief concept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Classificatie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Vertrouwelijk</w:t>
            </w:r>
          </w:p>
        </w:tc>
      </w:tr>
    </w:tbl>
    <w:p>
      <w:r>
        <w:br w:type="page"/>
      </w:r>
    </w:p>
    <w:p>
      <w:pPr>
        <w:pStyle w:val="Heading1"/>
      </w:pPr>
      <w:r>
        <w:rPr>
          <w:rFonts w:ascii="Arial" w:cs="Arial" w:eastAsia="Arial" w:hAnsi="Arial"/>
          <w:b/>
          <w:bCs/>
          <w:color w:val="1a6ca8"/>
          <w:sz w:val="32"/>
          <w:szCs w:val="32"/>
        </w:rPr>
        <w:t xml:space="preserve">1. Inleiding</w:t>
      </w:r>
    </w:p>
    <w:p>
      <w:pPr>
        <w:pStyle w:val="Heading2"/>
        <w:spacing w:after="100" w:before="200"/>
      </w:pPr>
      <w:r>
        <w:rPr>
          <w:rFonts w:ascii="Arial" w:cs="Arial" w:eastAsia="Arial" w:hAnsi="Arial"/>
          <w:b/>
          <w:bCs/>
          <w:color w:val="1a1a1a"/>
          <w:sz w:val="26"/>
          <w:szCs w:val="26"/>
        </w:rPr>
        <w:t xml:space="preserve">1.1 Aanleiding</w:t>
      </w:r>
    </w:p>
    <w:p>
      <w:pPr>
        <w:spacing w:after="120"/>
      </w:pPr>
      <w:r>
        <w:rPr>
          <w:rFonts w:ascii="Arial" w:cs="Arial" w:eastAsia="Arial" w:hAnsi="Arial"/>
          <w:color w:val="1a1a1a"/>
          <w:sz w:val="20"/>
          <w:szCs w:val="20"/>
        </w:rPr>
        <w:t xml:space="preserve">De huidige Voorzieningencatalogus draait op Drupal-technologie die end-of-life is. Een eerder doorlopen vervangingstraject heeft niet tot het gewenste resultaat geleid. ArchiXL heeft in opdracht van VNG een werkend prototype ontwikkeld dat inmiddels is doorontwikkeld tot een functioneel rijke applicatie.</w:t>
      </w:r>
    </w:p>
    <w:p>
      <w:pPr>
        <w:spacing w:after="120"/>
      </w:pPr>
      <w:r>
        <w:rPr>
          <w:rFonts w:ascii="Arial" w:cs="Arial" w:eastAsia="Arial" w:hAnsi="Arial"/>
          <w:color w:val="1a1a1a"/>
          <w:sz w:val="20"/>
          <w:szCs w:val="20"/>
        </w:rPr>
        <w:t xml:space="preserve">Dit document beoordeelt de huidige staat van het platform met bijzondere aandacht voor de risico’s, de resterende werkzaamheden en de randvoorwaarden voor verantwoorde inproductiename. Het schetst een realistisch beeld: het platform demonstreert veel, maar is nog niet productierijp.</w:t>
      </w:r>
    </w:p>
    <w:p>
      <w:pPr>
        <w:pStyle w:val="Heading2"/>
        <w:spacing w:after="100" w:before="200"/>
      </w:pPr>
      <w:r>
        <w:rPr>
          <w:rFonts w:ascii="Arial" w:cs="Arial" w:eastAsia="Arial" w:hAnsi="Arial"/>
          <w:b/>
          <w:bCs/>
          <w:color w:val="1a1a1a"/>
          <w:sz w:val="26"/>
          <w:szCs w:val="26"/>
        </w:rPr>
        <w:t xml:space="preserve">1.2 Positie van dit document</w:t>
      </w:r>
    </w:p>
    <w:p>
      <w:pPr>
        <w:pBdr>
          <w:left w:val="single" w:color="DC2626" w:sz="12" w:space="8"/>
        </w:pBdr>
        <w:spacing w:after="120" w:before="120"/>
        <w:ind w:left="200"/>
      </w:pPr>
      <w:r>
        <w:rPr>
          <w:rFonts w:ascii="Arial" w:cs="Arial" w:eastAsia="Arial" w:hAnsi="Arial"/>
          <w:b/>
          <w:bCs/>
          <w:color w:val="991B1B"/>
          <w:sz w:val="20"/>
          <w:szCs w:val="20"/>
        </w:rPr>
        <w:t xml:space="preserve">Dit is een advies bij een demonstratieversie, geen opleverdocument. Het platform is niet geschikt voor productiegebruik zonder de in dit document beschreven maatregelen.</w:t>
      </w:r>
    </w:p>
    <w:p>
      <w:pPr>
        <w:spacing w:after="120"/>
      </w:pPr>
      <w:r>
        <w:rPr>
          <w:rFonts w:ascii="Arial" w:cs="Arial" w:eastAsia="Arial" w:hAnsi="Arial"/>
          <w:color w:val="1a1a1a"/>
          <w:sz w:val="20"/>
          <w:szCs w:val="20"/>
        </w:rPr>
        <w:t xml:space="preserve">Het platform is ontwikkeld als demonstratie van wat technisch mogelijk is. Het toont de beoogde functionaliteit en de haalbaarheid van de gekozen architectuur. Het is nadrukkelijk geen afgerond product. Voor inproductiename zijn substantiële investeringen nodig in beveiliging, testen, compliance en beheer.</w:t>
      </w:r>
    </w:p>
    <w:p>
      <w:pPr>
        <w:pStyle w:val="Heading2"/>
        <w:spacing w:after="100" w:before="200"/>
      </w:pPr>
      <w:r>
        <w:rPr>
          <w:rFonts w:ascii="Arial" w:cs="Arial" w:eastAsia="Arial" w:hAnsi="Arial"/>
          <w:b/>
          <w:bCs/>
          <w:color w:val="1a1a1a"/>
          <w:sz w:val="26"/>
          <w:szCs w:val="26"/>
        </w:rPr>
        <w:t xml:space="preserve">1.3 Over AI-gestuurde ontwikkeling</w:t>
      </w:r>
    </w:p>
    <w:p>
      <w:pPr>
        <w:spacing w:after="120"/>
      </w:pPr>
      <w:r>
        <w:rPr>
          <w:rFonts w:ascii="Arial" w:cs="Arial" w:eastAsia="Arial" w:hAnsi="Arial"/>
          <w:color w:val="1a1a1a"/>
          <w:sz w:val="20"/>
          <w:szCs w:val="20"/>
        </w:rPr>
        <w:t xml:space="preserve">Het platform is ontwikkeld met behulp van AI-gestuurde softwareontwikkeling. Dit verdient een eerlijke nuancering:</w:t>
      </w:r>
    </w:p>
    <w:p>
      <w:pPr>
        <w:spacing w:after="120"/>
      </w:pPr>
      <w:r>
        <w:rPr>
          <w:rFonts w:ascii="Arial" w:cs="Arial" w:eastAsia="Arial" w:hAnsi="Arial"/>
          <w:b/>
          <w:bCs/>
          <w:color w:val="1a1a1a"/>
          <w:sz w:val="20"/>
          <w:szCs w:val="20"/>
        </w:rPr>
        <w:t xml:space="preserve">Wat AI-gestuurde ontwikkeling wél biedt:</w:t>
      </w:r>
    </w:p>
    <w:p>
      <w:pPr>
        <w:pStyle w:val="ListParagraph"/>
        <w:numPr>
          <w:ilvl w:val="0"/>
          <w:numId w:val="2"/>
        </w:numPr>
        <w:spacing w:after="60"/>
      </w:pPr>
      <w:r>
        <w:rPr>
          <w:rFonts w:ascii="Arial" w:cs="Arial" w:eastAsia="Arial" w:hAnsi="Arial"/>
          <w:color w:val="1a1a1a"/>
          <w:sz w:val="20"/>
          <w:szCs w:val="20"/>
        </w:rPr>
        <w:t xml:space="preserve">Aanzienlijke versnelling van het ontwikkelproces</w:t>
      </w:r>
    </w:p>
    <w:p>
      <w:pPr>
        <w:pStyle w:val="ListParagraph"/>
        <w:numPr>
          <w:ilvl w:val="0"/>
          <w:numId w:val="2"/>
        </w:numPr>
        <w:spacing w:after="60"/>
      </w:pPr>
      <w:r>
        <w:rPr>
          <w:rFonts w:ascii="Arial" w:cs="Arial" w:eastAsia="Arial" w:hAnsi="Arial"/>
          <w:color w:val="1a1a1a"/>
          <w:sz w:val="20"/>
          <w:szCs w:val="20"/>
        </w:rPr>
        <w:t xml:space="preserve">Snel werkende prototypes die de beoogde functionaliteit demonstreren</w:t>
      </w:r>
    </w:p>
    <w:p>
      <w:pPr>
        <w:pStyle w:val="ListParagraph"/>
        <w:numPr>
          <w:ilvl w:val="0"/>
          <w:numId w:val="2"/>
        </w:numPr>
        <w:spacing w:after="60"/>
      </w:pPr>
      <w:r>
        <w:rPr>
          <w:rFonts w:ascii="Arial" w:cs="Arial" w:eastAsia="Arial" w:hAnsi="Arial"/>
          <w:color w:val="1a1a1a"/>
          <w:sz w:val="20"/>
          <w:szCs w:val="20"/>
        </w:rPr>
        <w:t xml:space="preserve">Brede functionaliteit in korte tijd</w:t>
      </w:r>
    </w:p>
    <w:p>
      <w:pPr>
        <w:spacing w:before="80"/>
      </w:pPr>
    </w:p>
    <w:p>
      <w:pPr>
        <w:spacing w:after="120"/>
      </w:pPr>
      <w:r>
        <w:rPr>
          <w:rFonts w:ascii="Arial" w:cs="Arial" w:eastAsia="Arial" w:hAnsi="Arial"/>
          <w:b/>
          <w:bCs/>
          <w:color w:val="1a1a1a"/>
          <w:sz w:val="20"/>
          <w:szCs w:val="20"/>
        </w:rPr>
        <w:t xml:space="preserve">Wat AI-gestuurde ontwikkeling niet biedt:</w:t>
      </w:r>
    </w:p>
    <w:p>
      <w:pPr>
        <w:pStyle w:val="ListParagraph"/>
        <w:numPr>
          <w:ilvl w:val="0"/>
          <w:numId w:val="2"/>
        </w:numPr>
        <w:spacing w:after="60"/>
      </w:pPr>
      <w:r>
        <w:rPr>
          <w:rFonts w:ascii="Arial" w:cs="Arial" w:eastAsia="Arial" w:hAnsi="Arial"/>
          <w:color w:val="1a1a1a"/>
          <w:sz w:val="20"/>
          <w:szCs w:val="20"/>
        </w:rPr>
        <w:t xml:space="preserve">Garantie op productiekwaliteit — gegenereerde code vereist review en hardening</w:t>
      </w:r>
    </w:p>
    <w:p>
      <w:pPr>
        <w:pStyle w:val="ListParagraph"/>
        <w:numPr>
          <w:ilvl w:val="0"/>
          <w:numId w:val="2"/>
        </w:numPr>
        <w:spacing w:after="60"/>
      </w:pPr>
      <w:r>
        <w:rPr>
          <w:rFonts w:ascii="Arial" w:cs="Arial" w:eastAsia="Arial" w:hAnsi="Arial"/>
          <w:color w:val="1a1a1a"/>
          <w:sz w:val="20"/>
          <w:szCs w:val="20"/>
        </w:rPr>
        <w:t xml:space="preserve">Vervanging van architectuurkennis — AI maakt wat je vraagt, niet wat je nodig hebt</w:t>
      </w:r>
    </w:p>
    <w:p>
      <w:pPr>
        <w:pStyle w:val="ListParagraph"/>
        <w:numPr>
          <w:ilvl w:val="0"/>
          <w:numId w:val="2"/>
        </w:numPr>
        <w:spacing w:after="60"/>
      </w:pPr>
      <w:r>
        <w:rPr>
          <w:rFonts w:ascii="Arial" w:cs="Arial" w:eastAsia="Arial" w:hAnsi="Arial"/>
          <w:color w:val="1a1a1a"/>
          <w:sz w:val="20"/>
          <w:szCs w:val="20"/>
        </w:rPr>
        <w:t xml:space="preserve">Automatische naleving van non-functionele eisen (security, privacy, schaalbaarheid, toegankelijkheid)</w:t>
      </w:r>
    </w:p>
    <w:p>
      <w:pPr>
        <w:pStyle w:val="ListParagraph"/>
        <w:numPr>
          <w:ilvl w:val="0"/>
          <w:numId w:val="2"/>
        </w:numPr>
        <w:spacing w:after="60"/>
      </w:pPr>
      <w:r>
        <w:rPr>
          <w:rFonts w:ascii="Arial" w:cs="Arial" w:eastAsia="Arial" w:hAnsi="Arial"/>
          <w:color w:val="1a1a1a"/>
          <w:sz w:val="20"/>
          <w:szCs w:val="20"/>
        </w:rPr>
        <w:t xml:space="preserve">Geautomatiseerde tests — deze moeten apart worden geschreven en onderhouden</w:t>
      </w:r>
    </w:p>
    <w:p>
      <w:pPr>
        <w:pStyle w:val="ListParagraph"/>
        <w:numPr>
          <w:ilvl w:val="0"/>
          <w:numId w:val="2"/>
        </w:numPr>
        <w:spacing w:after="60"/>
      </w:pPr>
      <w:r>
        <w:rPr>
          <w:rFonts w:ascii="Arial" w:cs="Arial" w:eastAsia="Arial" w:hAnsi="Arial"/>
          <w:color w:val="1a1a1a"/>
          <w:sz w:val="20"/>
          <w:szCs w:val="20"/>
        </w:rPr>
        <w:t xml:space="preserve">Compliance — BIO, AVG, WCAG vereisen menselijke beoordeling en externe audits</w:t>
      </w:r>
    </w:p>
    <w:p>
      <w:pPr>
        <w:spacing w:before="80"/>
      </w:pPr>
    </w:p>
    <w:p>
      <w:pPr>
        <w:pBdr>
          <w:left w:val="single" w:color="F59E0B" w:sz="12" w:space="8"/>
        </w:pBdr>
        <w:spacing w:after="120" w:before="120"/>
        <w:ind w:left="200"/>
      </w:pPr>
      <w:r>
        <w:rPr>
          <w:rFonts w:ascii="Arial" w:cs="Arial" w:eastAsia="Arial" w:hAnsi="Arial"/>
          <w:color w:val="9A3412"/>
          <w:sz w:val="20"/>
          <w:szCs w:val="20"/>
        </w:rPr>
        <w:t xml:space="preserve">De snelheid van AI-ontwikkeling kan een vals gevoel van volwassenheid wekken. Een werkende demo is niet hetzelfde als een productierijp systeem. De afstand tussen demonstratie en verantwoorde productie is aanzienlijk.</w:t>
      </w:r>
    </w:p>
    <w:p>
      <w:r>
        <w:br w:type="page"/>
      </w:r>
    </w:p>
    <w:p>
      <w:pPr>
        <w:pStyle w:val="Heading1"/>
      </w:pPr>
      <w:r>
        <w:rPr>
          <w:rFonts w:ascii="Arial" w:cs="Arial" w:eastAsia="Arial" w:hAnsi="Arial"/>
          <w:b/>
          <w:bCs/>
          <w:color w:val="1a6ca8"/>
          <w:sz w:val="32"/>
          <w:szCs w:val="32"/>
        </w:rPr>
        <w:t xml:space="preserve">2. Huidige staat van het platform</w:t>
      </w:r>
    </w:p>
    <w:p>
      <w:pPr>
        <w:spacing w:after="120"/>
      </w:pPr>
      <w:r>
        <w:rPr>
          <w:rFonts w:ascii="Arial" w:cs="Arial" w:eastAsia="Arial" w:hAnsi="Arial"/>
          <w:color w:val="1a1a1a"/>
          <w:sz w:val="20"/>
          <w:szCs w:val="20"/>
        </w:rPr>
        <w:t xml:space="preserve">Het platform bevat uitgebreide functionaliteit die de beoogde werking van de Voorzieningencatalogus demonstreert. Hieronder een samenvatting, gevolgd door een kritische analyse van wat er ontbreekt.</w:t>
      </w:r>
    </w:p>
    <w:p>
      <w:pPr>
        <w:pStyle w:val="Heading2"/>
        <w:spacing w:after="100" w:before="200"/>
      </w:pPr>
      <w:r>
        <w:rPr>
          <w:rFonts w:ascii="Arial" w:cs="Arial" w:eastAsia="Arial" w:hAnsi="Arial"/>
          <w:b/>
          <w:bCs/>
          <w:color w:val="1a1a1a"/>
          <w:sz w:val="26"/>
          <w:szCs w:val="26"/>
        </w:rPr>
        <w:t xml:space="preserve">2.1 Gerealiseerde functionaliteit (demonstratie)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800"/>
      </w:tblGrid>
      <w:tr>
        <w:tc>
          <w:tcPr>
            <w:tcW w:type="dxa" w:w="1800"/>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Categorie</w:t>
            </w:r>
          </w:p>
        </w:tc>
        <w:tc>
          <w:tcPr>
            <w:tcW w:type="dxa" w:w="5426"/>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Onderdelen</w:t>
            </w:r>
          </w:p>
        </w:tc>
        <w:tc>
          <w:tcPr>
            <w:tcW w:type="dxa" w:w="800"/>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Aantal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Datacatalogi</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Pakketten, Pakketversies, Leveranciers, Gemeenten, Standaarden, Referentiecomponenten, Begrippen, Addenda, Applicatiefuncties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9</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Analyse</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Dashboard (KPI’s), AI-adviseur, Compliancy Monitor, Inkoopondersteuning, Gemeenten vergelijken (tot 4), Vergelijkbare gemeenten (Jaccard)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Technisch</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REST API (OpenAPI 3.0), Linked Data (JSON-LD/Turtle/RDF/XML), RSS/Atom, Fuzzy zoeken, Content negotiation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Beheer</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Admin panel (15+ secties), GEMMA-sync, Begrippen-sync (SKOSMOS), Data-import, Anonimisatie, Deploy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UX</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Dark mode, Favorieten, Notificaties, QR-codes, Print styles, Share, Breadcrumbs, Loading skeletons, Keyboard shortcuts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9</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Documentatie</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Demo draaiboek (23 secties), PvE-analyse (29 extra features), Datamodel (MIM), Handleidingen, Regeneratie-prompt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Marktanalyse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Marktverdeling (scatterplot leveranciers), inline bewerken gemeente contactgegevens, npm-health panel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3</w:t>
            </w:r>
          </w:p>
        </w:tc>
      </w:tr>
    </w:tbl>
    <w:p>
      <w:pPr>
        <w:spacing w:before="80"/>
      </w:pPr>
    </w:p>
    <w:p>
      <w:pPr>
        <w:spacing w:after="120"/>
      </w:pPr>
      <w:r>
        <w:rPr>
          <w:rFonts w:ascii="Arial" w:cs="Arial" w:eastAsia="Arial" w:hAnsi="Arial"/>
          <w:i/>
          <w:iCs/>
          <w:color w:val="666666"/>
          <w:sz w:val="20"/>
          <w:szCs w:val="20"/>
        </w:rPr>
        <w:t xml:space="preserve">Totaal: 90+ routes, 30 datamodellen, 26 Playwright tests, 15+ API endpoints, 29 extra features buiten PvE.</w:t>
      </w:r>
    </w:p>
    <w:p>
      <w:pPr>
        <w:pStyle w:val="Heading2"/>
        <w:spacing w:after="100" w:before="200"/>
      </w:pPr>
      <w:r>
        <w:rPr>
          <w:rFonts w:ascii="Arial" w:cs="Arial" w:eastAsia="Arial" w:hAnsi="Arial"/>
          <w:b/>
          <w:bCs/>
          <w:color w:val="1a1a1a"/>
          <w:sz w:val="26"/>
          <w:szCs w:val="26"/>
        </w:rPr>
        <w:t xml:space="preserve">2.2 Kritische tekortkomingen</w:t>
      </w:r>
    </w:p>
    <w:p>
      <w:pPr>
        <w:pBdr>
          <w:left w:val="single" w:color="DC2626" w:sz="12" w:space="8"/>
        </w:pBdr>
        <w:spacing w:after="120" w:before="120"/>
        <w:ind w:left="200"/>
      </w:pPr>
      <w:r>
        <w:rPr>
          <w:rFonts w:ascii="Arial" w:cs="Arial" w:eastAsia="Arial" w:hAnsi="Arial"/>
          <w:b/>
          <w:bCs/>
          <w:color w:val="991B1B"/>
          <w:sz w:val="20"/>
          <w:szCs w:val="20"/>
        </w:rPr>
        <w:t xml:space="preserve">Onderstaande tekortkomingen verhinderen verantwoorde inproductiename. Ze zijn niet cosmetisch maar fundamenteel.</w:t>
      </w:r>
    </w:p>
    <w:p>
      <w:pPr>
        <w:spacing w:after="80" w:before="160"/>
      </w:pPr>
      <w:r>
        <w:rPr>
          <w:rFonts w:ascii="Arial" w:cs="Arial" w:eastAsia="Arial" w:hAnsi="Arial"/>
          <w:b/>
          <w:bCs/>
          <w:color w:val="1a1a1a"/>
          <w:sz w:val="22"/>
          <w:szCs w:val="22"/>
        </w:rPr>
        <w:t xml:space="preserve">Beveiliging</w:t>
      </w:r>
    </w:p>
    <w:p>
      <w:pPr>
        <w:pStyle w:val="ListParagraph"/>
        <w:numPr>
          <w:ilvl w:val="0"/>
          <w:numId w:val="2"/>
        </w:numPr>
        <w:spacing w:after="60"/>
      </w:pPr>
      <w:r>
        <w:rPr>
          <w:rFonts w:ascii="Arial" w:cs="Arial" w:eastAsia="Arial" w:hAnsi="Arial"/>
          <w:color w:val="1a1a1a"/>
          <w:sz w:val="20"/>
          <w:szCs w:val="20"/>
        </w:rPr>
        <w:t xml:space="preserve">Rate limiting is aanwezig maar in-memory — bij herstart verloren, bij meerdere instances niet gedeeld</w:t>
      </w:r>
    </w:p>
    <w:p>
      <w:pPr>
        <w:pStyle w:val="ListParagraph"/>
        <w:numPr>
          <w:ilvl w:val="0"/>
          <w:numId w:val="2"/>
        </w:numPr>
        <w:spacing w:after="60"/>
      </w:pPr>
      <w:r>
        <w:rPr>
          <w:rFonts w:ascii="Arial" w:cs="Arial" w:eastAsia="Arial" w:hAnsi="Arial"/>
          <w:color w:val="1a1a1a"/>
          <w:sz w:val="20"/>
          <w:szCs w:val="20"/>
        </w:rPr>
        <w:t xml:space="preserve">Geen multi-factor authenticatie (MFA) — verplicht voor overheidssystemen</w:t>
      </w:r>
    </w:p>
    <w:p>
      <w:pPr>
        <w:pStyle w:val="ListParagraph"/>
        <w:numPr>
          <w:ilvl w:val="0"/>
          <w:numId w:val="2"/>
        </w:numPr>
        <w:spacing w:after="60"/>
      </w:pPr>
      <w:r>
        <w:rPr>
          <w:rFonts w:ascii="Arial" w:cs="Arial" w:eastAsia="Arial" w:hAnsi="Arial"/>
          <w:color w:val="1a1a1a"/>
          <w:sz w:val="20"/>
          <w:szCs w:val="20"/>
        </w:rPr>
        <w:t xml:space="preserve">Geen wachtwoordbeleid afgedwongen (minimale lengte, complexiteit, hergebruikcontrole)</w:t>
      </w:r>
    </w:p>
    <w:p>
      <w:pPr>
        <w:pStyle w:val="ListParagraph"/>
        <w:numPr>
          <w:ilvl w:val="0"/>
          <w:numId w:val="2"/>
        </w:numPr>
        <w:spacing w:after="60"/>
      </w:pPr>
      <w:r>
        <w:rPr>
          <w:rFonts w:ascii="Arial" w:cs="Arial" w:eastAsia="Arial" w:hAnsi="Arial"/>
          <w:color w:val="1a1a1a"/>
          <w:sz w:val="20"/>
          <w:szCs w:val="20"/>
        </w:rPr>
        <w:t xml:space="preserve">Geen CSRF-bescherming op formulieren</w:t>
      </w:r>
    </w:p>
    <w:p>
      <w:pPr>
        <w:pStyle w:val="ListParagraph"/>
        <w:numPr>
          <w:ilvl w:val="0"/>
          <w:numId w:val="2"/>
        </w:numPr>
        <w:spacing w:after="60"/>
      </w:pPr>
      <w:r>
        <w:rPr>
          <w:rFonts w:ascii="Arial" w:cs="Arial" w:eastAsia="Arial" w:hAnsi="Arial"/>
          <w:color w:val="1a1a1a"/>
          <w:sz w:val="20"/>
          <w:szCs w:val="20"/>
        </w:rPr>
        <w:t xml:space="preserve">dangerouslySetInnerHTML bij AI-adviseur output — XSS-risico als Claude-output wordt gemanipuleerd</w:t>
      </w:r>
    </w:p>
    <w:p>
      <w:pPr>
        <w:pStyle w:val="ListParagraph"/>
        <w:numPr>
          <w:ilvl w:val="0"/>
          <w:numId w:val="2"/>
        </w:numPr>
        <w:spacing w:after="60"/>
      </w:pPr>
      <w:r>
        <w:rPr>
          <w:rFonts w:ascii="Arial" w:cs="Arial" w:eastAsia="Arial" w:hAnsi="Arial"/>
          <w:color w:val="1a1a1a"/>
          <w:sz w:val="20"/>
          <w:szCs w:val="20"/>
        </w:rPr>
        <w:t xml:space="preserve">Geen Content Security Policy (CSP) headers</w:t>
      </w:r>
    </w:p>
    <w:p>
      <w:pPr>
        <w:pStyle w:val="ListParagraph"/>
        <w:numPr>
          <w:ilvl w:val="0"/>
          <w:numId w:val="2"/>
        </w:numPr>
        <w:spacing w:after="60"/>
      </w:pPr>
      <w:r>
        <w:rPr>
          <w:rFonts w:ascii="Arial" w:cs="Arial" w:eastAsia="Arial" w:hAnsi="Arial"/>
          <w:color w:val="1a1a1a"/>
          <w:sz w:val="20"/>
          <w:szCs w:val="20"/>
        </w:rPr>
        <w:t xml:space="preserve">API-sleutels (Anthropic) staan in environment variables zonder rotatiemechanisme</w:t>
      </w:r>
    </w:p>
    <w:p>
      <w:pPr>
        <w:pStyle w:val="ListParagraph"/>
        <w:numPr>
          <w:ilvl w:val="0"/>
          <w:numId w:val="2"/>
        </w:numPr>
        <w:spacing w:after="60"/>
      </w:pPr>
      <w:r>
        <w:rPr>
          <w:rFonts w:ascii="Arial" w:cs="Arial" w:eastAsia="Arial" w:hAnsi="Arial"/>
          <w:color w:val="1a1a1a"/>
          <w:sz w:val="20"/>
          <w:szCs w:val="20"/>
        </w:rPr>
        <w:t xml:space="preserve">@ts-nocheck op enkele grote pagina’s — wordt geleidelijk opgelost (was gemeente detail, nu gedeeltelijk gefixed)</w:t>
      </w:r>
    </w:p>
    <w:p>
      <w:pPr>
        <w:spacing w:after="80" w:before="160"/>
      </w:pPr>
      <w:r>
        <w:rPr>
          <w:rFonts w:ascii="Arial" w:cs="Arial" w:eastAsia="Arial" w:hAnsi="Arial"/>
          <w:b/>
          <w:bCs/>
          <w:color w:val="1a1a1a"/>
          <w:sz w:val="22"/>
          <w:szCs w:val="22"/>
        </w:rPr>
        <w:t xml:space="preserve">Testen en kwaliteitsborging</w:t>
      </w:r>
    </w:p>
    <w:p>
      <w:pPr>
        <w:pStyle w:val="ListParagraph"/>
        <w:numPr>
          <w:ilvl w:val="0"/>
          <w:numId w:val="2"/>
        </w:numPr>
        <w:spacing w:after="60"/>
      </w:pPr>
      <w:r>
        <w:rPr>
          <w:rFonts w:ascii="Arial" w:cs="Arial" w:eastAsia="Arial" w:hAnsi="Arial"/>
          <w:color w:val="1a1a1a"/>
          <w:sz w:val="20"/>
          <w:szCs w:val="20"/>
        </w:rPr>
        <w:t xml:space="preserve">26 E2E tests (Playwright) dekken alleen happy paths — geen edge cases, geen negatieve tests</w:t>
      </w:r>
    </w:p>
    <w:p>
      <w:pPr>
        <w:pStyle w:val="ListParagraph"/>
        <w:numPr>
          <w:ilvl w:val="0"/>
          <w:numId w:val="2"/>
        </w:numPr>
        <w:spacing w:after="60"/>
      </w:pPr>
      <w:r>
        <w:rPr>
          <w:rFonts w:ascii="Arial" w:cs="Arial" w:eastAsia="Arial" w:hAnsi="Arial"/>
          <w:color w:val="1a1a1a"/>
          <w:sz w:val="20"/>
          <w:szCs w:val="20"/>
        </w:rPr>
        <w:t xml:space="preserve">Geen unit tests — 0% unit test coverage</w:t>
      </w:r>
    </w:p>
    <w:p>
      <w:pPr>
        <w:pStyle w:val="ListParagraph"/>
        <w:numPr>
          <w:ilvl w:val="0"/>
          <w:numId w:val="2"/>
        </w:numPr>
        <w:spacing w:after="60"/>
      </w:pPr>
      <w:r>
        <w:rPr>
          <w:rFonts w:ascii="Arial" w:cs="Arial" w:eastAsia="Arial" w:hAnsi="Arial"/>
          <w:color w:val="1a1a1a"/>
          <w:sz w:val="20"/>
          <w:szCs w:val="20"/>
        </w:rPr>
        <w:t xml:space="preserve">Geen integratie tests — database-interacties zijn niet getest</w:t>
      </w:r>
    </w:p>
    <w:p>
      <w:pPr>
        <w:pStyle w:val="ListParagraph"/>
        <w:numPr>
          <w:ilvl w:val="0"/>
          <w:numId w:val="2"/>
        </w:numPr>
        <w:spacing w:after="60"/>
      </w:pPr>
      <w:r>
        <w:rPr>
          <w:rFonts w:ascii="Arial" w:cs="Arial" w:eastAsia="Arial" w:hAnsi="Arial"/>
          <w:color w:val="1a1a1a"/>
          <w:sz w:val="20"/>
          <w:szCs w:val="20"/>
        </w:rPr>
        <w:t xml:space="preserve">Geen load testing — onbekend of het systeem 342 gemeenten gelijktijdig aankan</w:t>
      </w:r>
    </w:p>
    <w:p>
      <w:pPr>
        <w:pStyle w:val="ListParagraph"/>
        <w:numPr>
          <w:ilvl w:val="0"/>
          <w:numId w:val="2"/>
        </w:numPr>
        <w:spacing w:after="60"/>
      </w:pPr>
      <w:r>
        <w:rPr>
          <w:rFonts w:ascii="Arial" w:cs="Arial" w:eastAsia="Arial" w:hAnsi="Arial"/>
          <w:color w:val="1a1a1a"/>
          <w:sz w:val="20"/>
          <w:szCs w:val="20"/>
        </w:rPr>
        <w:t xml:space="preserve">Geen accessibility audit (WCAG 2.1 AA) — wettelijk verplicht voor overheidswebsites</w:t>
      </w:r>
    </w:p>
    <w:p>
      <w:pPr>
        <w:pStyle w:val="ListParagraph"/>
        <w:numPr>
          <w:ilvl w:val="0"/>
          <w:numId w:val="2"/>
        </w:numPr>
        <w:spacing w:after="60"/>
      </w:pPr>
      <w:r>
        <w:rPr>
          <w:rFonts w:ascii="Arial" w:cs="Arial" w:eastAsia="Arial" w:hAnsi="Arial"/>
          <w:color w:val="1a1a1a"/>
          <w:sz w:val="20"/>
          <w:szCs w:val="20"/>
        </w:rPr>
        <w:t xml:space="preserve">Geen code review door onafhankelijke partij</w:t>
      </w:r>
    </w:p>
    <w:p>
      <w:pPr>
        <w:spacing w:after="80" w:before="160"/>
      </w:pPr>
      <w:r>
        <w:rPr>
          <w:rFonts w:ascii="Arial" w:cs="Arial" w:eastAsia="Arial" w:hAnsi="Arial"/>
          <w:b/>
          <w:bCs/>
          <w:color w:val="1a1a1a"/>
          <w:sz w:val="22"/>
          <w:szCs w:val="22"/>
        </w:rPr>
        <w:t xml:space="preserve">Infrastructuur en beheer</w:t>
      </w:r>
    </w:p>
    <w:p>
      <w:pPr>
        <w:pStyle w:val="ListParagraph"/>
        <w:numPr>
          <w:ilvl w:val="0"/>
          <w:numId w:val="2"/>
        </w:numPr>
        <w:spacing w:after="60"/>
      </w:pPr>
      <w:r>
        <w:rPr>
          <w:rFonts w:ascii="Arial" w:cs="Arial" w:eastAsia="Arial" w:hAnsi="Arial"/>
          <w:color w:val="1a1a1a"/>
          <w:sz w:val="20"/>
          <w:szCs w:val="20"/>
        </w:rPr>
        <w:t xml:space="preserve">Geen CI/CD-pipeline — deployment is handmatig via CLI</w:t>
      </w:r>
    </w:p>
    <w:p>
      <w:pPr>
        <w:pStyle w:val="ListParagraph"/>
        <w:numPr>
          <w:ilvl w:val="0"/>
          <w:numId w:val="2"/>
        </w:numPr>
        <w:spacing w:after="60"/>
      </w:pPr>
      <w:r>
        <w:rPr>
          <w:rFonts w:ascii="Arial" w:cs="Arial" w:eastAsia="Arial" w:hAnsi="Arial"/>
          <w:color w:val="1a1a1a"/>
          <w:sz w:val="20"/>
          <w:szCs w:val="20"/>
        </w:rPr>
        <w:t xml:space="preserve">Geen staging-omgeving (OTAP) — wijzigingen gaan direct naar productie</w:t>
      </w:r>
    </w:p>
    <w:p>
      <w:pPr>
        <w:pStyle w:val="ListParagraph"/>
        <w:numPr>
          <w:ilvl w:val="0"/>
          <w:numId w:val="2"/>
        </w:numPr>
        <w:spacing w:after="60"/>
      </w:pPr>
      <w:r>
        <w:rPr>
          <w:rFonts w:ascii="Arial" w:cs="Arial" w:eastAsia="Arial" w:hAnsi="Arial"/>
          <w:color w:val="1a1a1a"/>
          <w:sz w:val="20"/>
          <w:szCs w:val="20"/>
        </w:rPr>
        <w:t xml:space="preserve">Geen monitoring of alerting (geen Sentry, Datadog of equivalent)</w:t>
      </w:r>
    </w:p>
    <w:p>
      <w:pPr>
        <w:pStyle w:val="ListParagraph"/>
        <w:numPr>
          <w:ilvl w:val="0"/>
          <w:numId w:val="2"/>
        </w:numPr>
        <w:spacing w:after="60"/>
      </w:pPr>
      <w:r>
        <w:rPr>
          <w:rFonts w:ascii="Arial" w:cs="Arial" w:eastAsia="Arial" w:hAnsi="Arial"/>
          <w:color w:val="1a1a1a"/>
          <w:sz w:val="20"/>
          <w:szCs w:val="20"/>
        </w:rPr>
        <w:t xml:space="preserve">Vercel als hosting — geen SLA-garantie, beperkte controle over infrastructuur</w:t>
      </w:r>
    </w:p>
    <w:p>
      <w:pPr>
        <w:pStyle w:val="ListParagraph"/>
        <w:numPr>
          <w:ilvl w:val="0"/>
          <w:numId w:val="2"/>
        </w:numPr>
        <w:spacing w:after="60"/>
      </w:pPr>
      <w:r>
        <w:rPr>
          <w:rFonts w:ascii="Arial" w:cs="Arial" w:eastAsia="Arial" w:hAnsi="Arial"/>
          <w:color w:val="1a1a1a"/>
          <w:sz w:val="20"/>
          <w:szCs w:val="20"/>
        </w:rPr>
        <w:t xml:space="preserve">Database schema wijzigingen via db push, niet via versiebeheerde migraties</w:t>
      </w:r>
    </w:p>
    <w:p>
      <w:pPr>
        <w:pStyle w:val="ListParagraph"/>
        <w:numPr>
          <w:ilvl w:val="0"/>
          <w:numId w:val="2"/>
        </w:numPr>
        <w:spacing w:after="60"/>
      </w:pPr>
      <w:r>
        <w:rPr>
          <w:rFonts w:ascii="Arial" w:cs="Arial" w:eastAsia="Arial" w:hAnsi="Arial"/>
          <w:color w:val="1a1a1a"/>
          <w:sz w:val="20"/>
          <w:szCs w:val="20"/>
        </w:rPr>
        <w:t xml:space="preserve">Geen backup-strategie met geteste restore-procedure</w:t>
      </w:r>
    </w:p>
    <w:p>
      <w:pPr>
        <w:pStyle w:val="ListParagraph"/>
        <w:numPr>
          <w:ilvl w:val="0"/>
          <w:numId w:val="2"/>
        </w:numPr>
        <w:spacing w:after="60"/>
      </w:pPr>
      <w:r>
        <w:rPr>
          <w:rFonts w:ascii="Arial" w:cs="Arial" w:eastAsia="Arial" w:hAnsi="Arial"/>
          <w:color w:val="1a1a1a"/>
          <w:sz w:val="20"/>
          <w:szCs w:val="20"/>
        </w:rPr>
        <w:t xml:space="preserve">Geen disaster recovery plan (RPO/RTO ongedefinieerd)</w:t>
      </w:r>
    </w:p>
    <w:p>
      <w:pPr>
        <w:spacing w:after="80" w:before="160"/>
      </w:pPr>
      <w:r>
        <w:rPr>
          <w:rFonts w:ascii="Arial" w:cs="Arial" w:eastAsia="Arial" w:hAnsi="Arial"/>
          <w:b/>
          <w:bCs/>
          <w:color w:val="1a1a1a"/>
          <w:sz w:val="22"/>
          <w:szCs w:val="22"/>
        </w:rPr>
        <w:t xml:space="preserve">Compliance en governance</w:t>
      </w:r>
    </w:p>
    <w:p>
      <w:pPr>
        <w:pStyle w:val="ListParagraph"/>
        <w:numPr>
          <w:ilvl w:val="0"/>
          <w:numId w:val="2"/>
        </w:numPr>
        <w:spacing w:after="60"/>
      </w:pPr>
      <w:r>
        <w:rPr>
          <w:rFonts w:ascii="Arial" w:cs="Arial" w:eastAsia="Arial" w:hAnsi="Arial"/>
          <w:color w:val="1a1a1a"/>
          <w:sz w:val="20"/>
          <w:szCs w:val="20"/>
        </w:rPr>
        <w:t xml:space="preserve">Geen BIO-toetsing (Baseline Informatiebeveiliging Overheid) — verplicht</w:t>
      </w:r>
    </w:p>
    <w:p>
      <w:pPr>
        <w:pStyle w:val="ListParagraph"/>
        <w:numPr>
          <w:ilvl w:val="0"/>
          <w:numId w:val="2"/>
        </w:numPr>
        <w:spacing w:after="60"/>
      </w:pPr>
      <w:r>
        <w:rPr>
          <w:rFonts w:ascii="Arial" w:cs="Arial" w:eastAsia="Arial" w:hAnsi="Arial"/>
          <w:color w:val="1a1a1a"/>
          <w:sz w:val="20"/>
          <w:szCs w:val="20"/>
        </w:rPr>
        <w:t xml:space="preserve">Geen AVG/GDPR-verwerkingsregister</w:t>
      </w:r>
    </w:p>
    <w:p>
      <w:pPr>
        <w:pStyle w:val="ListParagraph"/>
        <w:numPr>
          <w:ilvl w:val="0"/>
          <w:numId w:val="2"/>
        </w:numPr>
        <w:spacing w:after="60"/>
      </w:pPr>
      <w:r>
        <w:rPr>
          <w:rFonts w:ascii="Arial" w:cs="Arial" w:eastAsia="Arial" w:hAnsi="Arial"/>
          <w:color w:val="1a1a1a"/>
          <w:sz w:val="20"/>
          <w:szCs w:val="20"/>
        </w:rPr>
        <w:t xml:space="preserve">Geen Data Protection Impact Assessment (DPIA)</w:t>
      </w:r>
    </w:p>
    <w:p>
      <w:pPr>
        <w:pStyle w:val="ListParagraph"/>
        <w:numPr>
          <w:ilvl w:val="0"/>
          <w:numId w:val="2"/>
        </w:numPr>
        <w:spacing w:after="60"/>
      </w:pPr>
      <w:r>
        <w:rPr>
          <w:rFonts w:ascii="Arial" w:cs="Arial" w:eastAsia="Arial" w:hAnsi="Arial"/>
          <w:color w:val="1a1a1a"/>
          <w:sz w:val="20"/>
          <w:szCs w:val="20"/>
        </w:rPr>
        <w:t xml:space="preserve">Geen cookie-banner of privacyverklaring</w:t>
      </w:r>
    </w:p>
    <w:p>
      <w:pPr>
        <w:pStyle w:val="ListParagraph"/>
        <w:numPr>
          <w:ilvl w:val="0"/>
          <w:numId w:val="2"/>
        </w:numPr>
        <w:spacing w:after="60"/>
      </w:pPr>
      <w:r>
        <w:rPr>
          <w:rFonts w:ascii="Arial" w:cs="Arial" w:eastAsia="Arial" w:hAnsi="Arial"/>
          <w:color w:val="1a1a1a"/>
          <w:sz w:val="20"/>
          <w:szCs w:val="20"/>
        </w:rPr>
        <w:t xml:space="preserve">Geen penetratietest door gecertificeerde partij</w:t>
      </w:r>
    </w:p>
    <w:p>
      <w:pPr>
        <w:pStyle w:val="ListParagraph"/>
        <w:numPr>
          <w:ilvl w:val="0"/>
          <w:numId w:val="2"/>
        </w:numPr>
        <w:spacing w:after="60"/>
      </w:pPr>
      <w:r>
        <w:rPr>
          <w:rFonts w:ascii="Arial" w:cs="Arial" w:eastAsia="Arial" w:hAnsi="Arial"/>
          <w:color w:val="1a1a1a"/>
          <w:sz w:val="20"/>
          <w:szCs w:val="20"/>
        </w:rPr>
        <w:t xml:space="preserve">Geen Archiefwet-compliance voor logging en audit trails</w:t>
      </w:r>
    </w:p>
    <w:p>
      <w:pPr>
        <w:pStyle w:val="ListParagraph"/>
        <w:numPr>
          <w:ilvl w:val="0"/>
          <w:numId w:val="2"/>
        </w:numPr>
        <w:spacing w:after="60"/>
      </w:pPr>
      <w:r>
        <w:rPr>
          <w:rFonts w:ascii="Arial" w:cs="Arial" w:eastAsia="Arial" w:hAnsi="Arial"/>
          <w:color w:val="1a1a1a"/>
          <w:sz w:val="20"/>
          <w:szCs w:val="20"/>
        </w:rPr>
        <w:t xml:space="preserve">Persoonsgegevens van gemeentecontactpersonen zijn geanonimiseerd — maar het anonimisatieproces is niet gevalideerd</w:t>
      </w:r>
    </w:p>
    <w:p>
      <w:pPr>
        <w:spacing w:after="80" w:before="160"/>
      </w:pPr>
      <w:r>
        <w:rPr>
          <w:rFonts w:ascii="Arial" w:cs="Arial" w:eastAsia="Arial" w:hAnsi="Arial"/>
          <w:b/>
          <w:bCs/>
          <w:color w:val="1a1a1a"/>
          <w:sz w:val="22"/>
          <w:szCs w:val="22"/>
        </w:rPr>
        <w:t xml:space="preserve">Architectuur en code</w:t>
      </w:r>
    </w:p>
    <w:p>
      <w:pPr>
        <w:pStyle w:val="ListParagraph"/>
        <w:numPr>
          <w:ilvl w:val="0"/>
          <w:numId w:val="2"/>
        </w:numPr>
        <w:spacing w:after="60"/>
      </w:pPr>
      <w:r>
        <w:rPr>
          <w:rFonts w:ascii="Arial" w:cs="Arial" w:eastAsia="Arial" w:hAnsi="Arial"/>
          <w:color w:val="1a1a1a"/>
          <w:sz w:val="20"/>
          <w:szCs w:val="20"/>
        </w:rPr>
        <w:t xml:space="preserve">Sommige fouten worden stilletjes genegeerd (.catch(() =&gt; {})) — problemen zijn onzichtbaar</w:t>
      </w:r>
    </w:p>
    <w:p>
      <w:pPr>
        <w:pStyle w:val="ListParagraph"/>
        <w:numPr>
          <w:ilvl w:val="0"/>
          <w:numId w:val="2"/>
        </w:numPr>
        <w:spacing w:after="60"/>
      </w:pPr>
      <w:r>
        <w:rPr>
          <w:rFonts w:ascii="Arial" w:cs="Arial" w:eastAsia="Arial" w:hAnsi="Arial"/>
          <w:color w:val="1a1a1a"/>
          <w:sz w:val="20"/>
          <w:szCs w:val="20"/>
        </w:rPr>
        <w:t xml:space="preserve">Begrippen-cache is in-memory — bij schaling naar meerdere instances niet gedeeld</w:t>
      </w:r>
    </w:p>
    <w:p>
      <w:pPr>
        <w:pStyle w:val="ListParagraph"/>
        <w:numPr>
          <w:ilvl w:val="0"/>
          <w:numId w:val="2"/>
        </w:numPr>
        <w:spacing w:after="60"/>
      </w:pPr>
      <w:r>
        <w:rPr>
          <w:rFonts w:ascii="Arial" w:cs="Arial" w:eastAsia="Arial" w:hAnsi="Arial"/>
          <w:color w:val="1a1a1a"/>
          <w:sz w:val="20"/>
          <w:szCs w:val="20"/>
        </w:rPr>
        <w:t xml:space="preserve">Notificaties en favorieten missen validatie en autorisatiecontroles op entity-niveau</w:t>
      </w:r>
    </w:p>
    <w:p>
      <w:pPr>
        <w:pStyle w:val="ListParagraph"/>
        <w:numPr>
          <w:ilvl w:val="0"/>
          <w:numId w:val="2"/>
        </w:numPr>
        <w:spacing w:after="60"/>
      </w:pPr>
      <w:r>
        <w:rPr>
          <w:rFonts w:ascii="Arial" w:cs="Arial" w:eastAsia="Arial" w:hAnsi="Arial"/>
          <w:color w:val="1a1a1a"/>
          <w:sz w:val="20"/>
          <w:szCs w:val="20"/>
        </w:rPr>
        <w:t xml:space="preserve">QR-codes worden gegenereerd via externe API (qrserver.com) — overwegen om lokaal te genereren</w:t>
      </w:r>
    </w:p>
    <w:p>
      <w:pPr>
        <w:pStyle w:val="ListParagraph"/>
        <w:numPr>
          <w:ilvl w:val="0"/>
          <w:numId w:val="2"/>
        </w:numPr>
        <w:spacing w:after="60"/>
      </w:pPr>
      <w:r>
        <w:rPr>
          <w:rFonts w:ascii="Arial" w:cs="Arial" w:eastAsia="Arial" w:hAnsi="Arial"/>
          <w:color w:val="1a1a1a"/>
          <w:sz w:val="20"/>
          <w:szCs w:val="20"/>
        </w:rPr>
        <w:t xml:space="preserve">Geen input sanitization op alle formulieren — XSS-vectoren mogelijk</w:t>
      </w:r>
    </w:p>
    <w:p>
      <w:r>
        <w:br w:type="page"/>
      </w:r>
    </w:p>
    <w:p>
      <w:pPr>
        <w:pStyle w:val="Heading1"/>
      </w:pPr>
      <w:r>
        <w:rPr>
          <w:rFonts w:ascii="Arial" w:cs="Arial" w:eastAsia="Arial" w:hAnsi="Arial"/>
          <w:b/>
          <w:bCs/>
          <w:color w:val="1a6ca8"/>
          <w:sz w:val="32"/>
          <w:szCs w:val="32"/>
        </w:rPr>
        <w:t xml:space="preserve">3. Risicoanalyse</w:t>
      </w:r>
    </w:p>
    <w:p>
      <w:pPr>
        <w:spacing w:after="120"/>
      </w:pPr>
      <w:r>
        <w:rPr>
          <w:rFonts w:ascii="Arial" w:cs="Arial" w:eastAsia="Arial" w:hAnsi="Arial"/>
          <w:color w:val="1a1a1a"/>
          <w:sz w:val="20"/>
          <w:szCs w:val="20"/>
        </w:rPr>
        <w:t xml:space="preserve">Onderstaande tabel beschrijft de belangrijkste risico’s bij inproductiename van het huidige platform zonder verdere maatregelen.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000"/>
        <w:gridCol w:w="1000"/>
        <w:gridCol w:w="3426"/>
      </w:tblGrid>
      <w:tr>
        <w:tc>
          <w:tcPr>
            <w:tcW w:type="dxa" w:w="400"/>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Risico</w:t>
            </w:r>
          </w:p>
        </w:tc>
        <w:tc>
          <w:tcPr>
            <w:tcW w:type="dxa" w:w="1000"/>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1000"/>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Kans</w:t>
            </w:r>
          </w:p>
        </w:tc>
        <w:tc>
          <w:tcPr>
            <w:tcW w:type="dxa" w:w="3426"/>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Mitigatie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Datalek persoonsgegevens door ontbrekende MFA en zwak wachtwoordbeleid</w:t>
            </w:r>
          </w:p>
        </w:tc>
        <w:tc>
          <w:tcPr>
            <w:tcW w:type="dxa" w:w="1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Hoog</w:t>
            </w:r>
          </w:p>
        </w:tc>
        <w:tc>
          <w:tcPr>
            <w:tcW w:type="dxa" w:w="1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Hoog</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MFA implementeren, wachtwoordbeleid afdwingen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XSS-aanval via AI-adviseur output (dangerouslySetInnerHTML)</w:t>
            </w:r>
          </w:p>
        </w:tc>
        <w:tc>
          <w:tcPr>
            <w:tcW w:type="dxa" w:w="1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Hoog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DOMPurify toepassen op alle HTML-output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Systeem onbereikbaar bij Vercel-storing (geen SLA)</w:t>
            </w:r>
          </w:p>
        </w:tc>
        <w:tc>
          <w:tcPr>
            <w:tcW w:type="dxa" w:w="1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Hoog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Laag</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Migratie naar Azure/AWS met SLA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Dataverlies door ontbreken backup/restore</w:t>
            </w:r>
          </w:p>
        </w:tc>
        <w:tc>
          <w:tcPr>
            <w:tcW w:type="dxa" w:w="1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Hoog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Geautomatiseerde backups met geteste restore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Niet-compliance met BIO/AVG bij audit</w:t>
            </w:r>
          </w:p>
        </w:tc>
        <w:tc>
          <w:tcPr>
            <w:tcW w:type="dxa" w:w="1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Hoog</w:t>
            </w:r>
          </w:p>
        </w:tc>
        <w:tc>
          <w:tcPr>
            <w:tcW w:type="dxa" w:w="1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Hoog</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BIO-toetsing, DPIA, verwerkingsregister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WCAG-overtreding (wettelijke verplichting)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1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Hoog</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Externe WCAG-audit en fixes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Regressie door ontbreken tests bij doorontwikkeling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1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Hoog</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Testsuite uitbreiden (&gt;70% coverage)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Performance-problemen bij 342 gemeenten gelijktijdig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Load testing uitvoeren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Vendor lock-in op Vercel en Neon (PostgreSQL)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Laag</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Exit-strategie documenteren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R10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Afhankelijkheid van Anthropic API voor AI-adviseur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Laag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Fallback-mechanisme zonder AI</w:t>
            </w:r>
          </w:p>
        </w:tc>
      </w:tr>
    </w:tbl>
    <w:p>
      <w:r>
        <w:br w:type="page"/>
      </w:r>
    </w:p>
    <w:p>
      <w:pPr>
        <w:pStyle w:val="Heading1"/>
      </w:pPr>
      <w:r>
        <w:rPr>
          <w:rFonts w:ascii="Arial" w:cs="Arial" w:eastAsia="Arial" w:hAnsi="Arial"/>
          <w:b/>
          <w:bCs/>
          <w:color w:val="1a6ca8"/>
          <w:sz w:val="32"/>
          <w:szCs w:val="32"/>
        </w:rPr>
        <w:t xml:space="preserve">4. Benodigde inspanning voor productie</w:t>
      </w:r>
    </w:p>
    <w:p>
      <w:pPr>
        <w:spacing w:after="120"/>
      </w:pPr>
      <w:r>
        <w:rPr>
          <w:rFonts w:ascii="Arial" w:cs="Arial" w:eastAsia="Arial" w:hAnsi="Arial"/>
          <w:color w:val="1a1a1a"/>
          <w:sz w:val="20"/>
          <w:szCs w:val="20"/>
        </w:rPr>
        <w:t xml:space="preserve">De onderstaande tabel categoriseert alle werkzaamheden die nodig zijn om het platform van demonstratie naar verantwoorde productie te brengen. De lijst is bewust uitgebreid — het weglaten van items introduceert risico.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526"/>
        <w:gridCol w:w="2800"/>
      </w:tblGrid>
      <w:tr>
        <w:tc>
          <w:tcPr>
            <w:tcW w:type="dxa" w:w="500"/>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Prio</w:t>
            </w:r>
          </w:p>
        </w:tc>
        <w:tc>
          <w:tcPr>
            <w:tcW w:type="dxa" w:w="2200"/>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Onderdeel</w:t>
            </w:r>
          </w:p>
        </w:tc>
        <w:tc>
          <w:tcPr>
            <w:tcW w:type="dxa" w:w="3526"/>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Toelichting</w:t>
            </w:r>
          </w:p>
        </w:tc>
        <w:tc>
          <w:tcPr>
            <w:tcW w:type="dxa" w:w="2800"/>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Risico bij weglaten</w:t>
            </w:r>
          </w:p>
        </w:tc>
      </w:tr>
      <w:tr>
        <w:tc>
          <w:tcPr>
            <w:tcW w:type="dxa" w:w="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1a1a1a"/>
                <w:sz w:val="18"/>
                <w:szCs w:val="18"/>
              </w:rPr>
              <w:t xml:space="preserve">P1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MFA-ondersteuning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TOTP of WebAuthn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R1: Datalek</w:t>
            </w:r>
          </w:p>
        </w:tc>
      </w:tr>
      <w:tr>
        <w:tc>
          <w:tcPr>
            <w:tcW w:type="dxa" w:w="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1a1a1a"/>
                <w:sz w:val="18"/>
                <w:szCs w:val="18"/>
              </w:rPr>
              <w:t xml:space="preserve">P1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Wachtwoordbeleid</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Lengte, complexiteit, hergebruik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R1: Datalek</w:t>
            </w:r>
          </w:p>
        </w:tc>
      </w:tr>
      <w:tr>
        <w:tc>
          <w:tcPr>
            <w:tcW w:type="dxa" w:w="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1a1a1a"/>
                <w:sz w:val="18"/>
                <w:szCs w:val="18"/>
              </w:rPr>
              <w:t xml:space="preserve">P1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Input sanitization + CSP</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DOMPurify, Content-Security-Policy headers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R2: XSS</w:t>
            </w:r>
          </w:p>
        </w:tc>
      </w:tr>
      <w:tr>
        <w:tc>
          <w:tcPr>
            <w:tcW w:type="dxa" w:w="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1a1a1a"/>
                <w:sz w:val="18"/>
                <w:szCs w:val="18"/>
              </w:rPr>
              <w:t xml:space="preserve">P1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Backup en restore</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Dagelijks, geteste restore-procedure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R4: Dataverlies</w:t>
            </w:r>
          </w:p>
        </w:tc>
      </w:tr>
      <w:tr>
        <w:tc>
          <w:tcPr>
            <w:tcW w:type="dxa" w:w="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1a1a1a"/>
                <w:sz w:val="18"/>
                <w:szCs w:val="18"/>
              </w:rPr>
              <w:t xml:space="preserve">P1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BIO-toetsing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Extern, verplicht voor overheid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R5: Non-compliance</w:t>
            </w:r>
          </w:p>
        </w:tc>
      </w:tr>
      <w:tr>
        <w:tc>
          <w:tcPr>
            <w:tcW w:type="dxa" w:w="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1a1a1a"/>
                <w:sz w:val="18"/>
                <w:szCs w:val="18"/>
              </w:rPr>
              <w:t xml:space="preserve">P1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AVG/DPIA</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Verwerkingsregister, cookie-banner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R5: Non-compliance</w:t>
            </w:r>
          </w:p>
        </w:tc>
      </w:tr>
      <w:tr>
        <w:tc>
          <w:tcPr>
            <w:tcW w:type="dxa" w:w="5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1a"/>
                <w:sz w:val="18"/>
                <w:szCs w:val="18"/>
              </w:rPr>
              <w:t xml:space="preserve">P2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CI/CD-pipeline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Geautomatiseerd: build, lint, test, deploy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R7: Regressie</w:t>
            </w:r>
          </w:p>
        </w:tc>
      </w:tr>
      <w:tr>
        <w:tc>
          <w:tcPr>
            <w:tcW w:type="dxa" w:w="5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1a"/>
                <w:sz w:val="18"/>
                <w:szCs w:val="18"/>
              </w:rPr>
              <w:t xml:space="preserve">P2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Staging-omgeving (OTAP)</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Testen voor productie-deployment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R7: Regressie</w:t>
            </w:r>
          </w:p>
        </w:tc>
      </w:tr>
      <w:tr>
        <w:tc>
          <w:tcPr>
            <w:tcW w:type="dxa" w:w="5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1a"/>
                <w:sz w:val="18"/>
                <w:szCs w:val="18"/>
              </w:rPr>
              <w:t xml:space="preserve">P2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Testsuite uitbreiden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Unit + integratie + E2E, &gt;70% coverage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R7: Regressie</w:t>
            </w:r>
          </w:p>
        </w:tc>
      </w:tr>
      <w:tr>
        <w:tc>
          <w:tcPr>
            <w:tcW w:type="dxa" w:w="5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1a"/>
                <w:sz w:val="18"/>
                <w:szCs w:val="18"/>
              </w:rPr>
              <w:t xml:space="preserve">P2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WCAG-audit (extern)</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Wettelijk verplicht, WCAG 2.1 AA. Basis geïmplementeerd: kleurcontrast, ARIA labels, focus indicators, scope headers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R6: Wettelijk risico (deels gemitigeerd)</w:t>
            </w:r>
          </w:p>
        </w:tc>
      </w:tr>
      <w:tr>
        <w:tc>
          <w:tcPr>
            <w:tcW w:type="dxa" w:w="5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1a"/>
                <w:sz w:val="18"/>
                <w:szCs w:val="18"/>
              </w:rPr>
              <w:t xml:space="preserve">P2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Monitoring en alerting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Sentry/Datadog + on-call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Incidenten onzichtbaar</w:t>
            </w:r>
          </w:p>
        </w:tc>
      </w:tr>
      <w:tr>
        <w:tc>
          <w:tcPr>
            <w:tcW w:type="dxa" w:w="5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1a"/>
                <w:sz w:val="18"/>
                <w:szCs w:val="18"/>
              </w:rPr>
              <w:t xml:space="preserve">P2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Penetratietest</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Door gecertificeerde externe partij</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Onbekende kwetsbaarheden</w:t>
            </w:r>
          </w:p>
        </w:tc>
      </w:tr>
      <w:tr>
        <w:tc>
          <w:tcPr>
            <w:tcW w:type="dxa" w:w="5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1a1a1a"/>
                <w:sz w:val="18"/>
                <w:szCs w:val="18"/>
              </w:rPr>
              <w:t xml:space="preserve">P2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Load testing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342+ gelijktijdige organisaties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R8: Performance</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1a1a"/>
                <w:sz w:val="18"/>
                <w:szCs w:val="18"/>
              </w:rPr>
              <w:t xml:space="preserve">P3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SSO (SAML/OIDC)</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Koppeling gemeentelijke identity providers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Gebruikersgemak</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1a1a"/>
                <w:sz w:val="18"/>
                <w:szCs w:val="18"/>
              </w:rPr>
              <w:t xml:space="preserve">P3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Fijnmazige autorisatie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Rollen en rechten per gemeente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Data-isolatie</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1a1a"/>
                <w:sz w:val="18"/>
                <w:szCs w:val="18"/>
              </w:rPr>
              <w:t xml:space="preserve">P3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SLA-waardige hosting</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Azure/AWS met beschikbaarheidsgarantie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R3: Beschikbaarheid</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1a1a"/>
                <w:sz w:val="18"/>
                <w:szCs w:val="18"/>
              </w:rPr>
              <w:t xml:space="preserve">P3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Database migraties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Versiebeheerd i.p.v. db push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Schema-drift</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1a1a"/>
                <w:sz w:val="18"/>
                <w:szCs w:val="18"/>
              </w:rPr>
              <w:t xml:space="preserve">P3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Code review</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Onafhankelijke review van architectuur en code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Onbekende fouten</w:t>
            </w:r>
          </w:p>
        </w:tc>
      </w:tr>
      <w:tr>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1a1a"/>
                <w:sz w:val="18"/>
                <w:szCs w:val="18"/>
              </w:rPr>
              <w:t xml:space="preserve">P3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Disaster recovery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RPO/RTO, failover, documentatie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R4: Dataverlies</w:t>
            </w:r>
          </w:p>
        </w:tc>
      </w:tr>
    </w:tbl>
    <w:p>
      <w:pPr>
        <w:spacing w:before="120"/>
      </w:pPr>
    </w:p>
    <w:p>
      <w:pPr>
        <w:spacing w:after="120"/>
      </w:pPr>
      <w:r>
        <w:rPr>
          <w:rFonts w:ascii="Arial" w:cs="Arial" w:eastAsia="Arial" w:hAnsi="Arial"/>
          <w:i/>
          <w:iCs/>
          <w:color w:val="666666"/>
          <w:sz w:val="20"/>
          <w:szCs w:val="20"/>
        </w:rPr>
        <w:t xml:space="preserve">P1 = Blocker voor productie (moet vóór go-live). P2 = Noodzakelijk binnen 3 maanden na go-live. P3 = Noodzakelijk voor volwassen platform.</w:t>
      </w:r>
    </w:p>
    <w:p>
      <w:r>
        <w:br w:type="page"/>
      </w:r>
    </w:p>
    <w:p>
      <w:pPr>
        <w:pStyle w:val="Heading1"/>
      </w:pPr>
      <w:r>
        <w:rPr>
          <w:rFonts w:ascii="Arial" w:cs="Arial" w:eastAsia="Arial" w:hAnsi="Arial"/>
          <w:b/>
          <w:bCs/>
          <w:color w:val="1a6ca8"/>
          <w:sz w:val="32"/>
          <w:szCs w:val="32"/>
        </w:rPr>
        <w:t xml:space="preserve">5. Doorlooptijd en fasering</w:t>
      </w:r>
    </w:p>
    <w:p>
      <w:pPr>
        <w:spacing w:after="120"/>
      </w:pPr>
      <w:r>
        <w:rPr>
          <w:rFonts w:ascii="Arial" w:cs="Arial" w:eastAsia="Arial" w:hAnsi="Arial"/>
          <w:color w:val="1a1a1a"/>
          <w:sz w:val="20"/>
          <w:szCs w:val="20"/>
        </w:rPr>
        <w:t xml:space="preserve">De doorontwikkeling naar verantwoorde productie vergt een gefaseerde aanpak. Onderstaande planning is realistisch — niet optimistisch.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226"/>
        <w:gridCol w:w="2500"/>
      </w:tblGrid>
      <w:tr>
        <w:tc>
          <w:tcPr>
            <w:tcW w:type="dxa" w:w="2800"/>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Fase</w:t>
            </w:r>
          </w:p>
        </w:tc>
        <w:tc>
          <w:tcPr>
            <w:tcW w:type="dxa" w:w="1500"/>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Doorlooptijd</w:t>
            </w:r>
          </w:p>
        </w:tc>
        <w:tc>
          <w:tcPr>
            <w:tcW w:type="dxa" w:w="2226"/>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Capaciteit</w:t>
            </w:r>
          </w:p>
        </w:tc>
        <w:tc>
          <w:tcPr>
            <w:tcW w:type="dxa" w:w="2500"/>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Deliverables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Fase 1: Security hardening (P1)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2–4 weken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1 ontwikkelaar + 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MFA, wachtwoordbeleid, sanitization, backups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Fase 2: Kwaliteitsborging (P2)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4–8 weken</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 ontwikkelaar + AI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CI/CD, OTAP, testsuite (&gt;70%), monitoring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Fase 3: Compliance (P1+P2)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2–3 maanden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Extern + VNG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BIO-toetsing, DPIA, WCAG-audit, pentest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Fase 4: Productieniveau (P3)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2–3 maanden</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 ontwikkelaar + AI + extern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SSO, autorisatie, SLA-hosting, DR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Pilotfase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1–2 maanden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Beheerteam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Beperkte uitrol, feedback, stabilisatie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Brede uitrol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1–2 maanden</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Beheerteam + support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342 gemeenten, training, support</w:t>
            </w:r>
          </w:p>
        </w:tc>
      </w:tr>
    </w:tbl>
    <w:p>
      <w:pPr>
        <w:spacing w:before="80"/>
      </w:pPr>
    </w:p>
    <w:p>
      <w:pPr>
        <w:pBdr>
          <w:left w:val="single" w:color="DC2626" w:sz="12" w:space="8"/>
        </w:pBdr>
        <w:spacing w:after="120" w:before="120"/>
        <w:ind w:left="200"/>
      </w:pPr>
      <w:r>
        <w:rPr>
          <w:rFonts w:ascii="Arial" w:cs="Arial" w:eastAsia="Arial" w:hAnsi="Arial"/>
          <w:b/>
          <w:bCs/>
          <w:color w:val="991B1B"/>
          <w:sz w:val="20"/>
          <w:szCs w:val="20"/>
        </w:rPr>
        <w:t xml:space="preserve">Totale doorlooptijd: 8–14 maanden. De bottleneck is niet ontwikkeling maar externe afhankelijkheden (BIO, WCAG-audit, penetratietest) en de pilotfase.</w:t>
      </w:r>
    </w:p>
    <w:p>
      <w:pPr>
        <w:pStyle w:val="Heading1"/>
      </w:pPr>
      <w:r>
        <w:rPr>
          <w:rFonts w:ascii="Arial" w:cs="Arial" w:eastAsia="Arial" w:hAnsi="Arial"/>
          <w:b/>
          <w:bCs/>
          <w:color w:val="1a6ca8"/>
          <w:sz w:val="32"/>
          <w:szCs w:val="32"/>
        </w:rPr>
        <w:t xml:space="preserve">6. Scenario A — MVP (Noodvervanging Drupal)</w:t>
      </w:r>
    </w:p>
    <w:p>
      <w:pPr>
        <w:pBdr>
          <w:left w:val="single" w:color="F59E0B" w:sz="12" w:space="8"/>
        </w:pBdr>
        <w:spacing w:after="120" w:before="120"/>
        <w:ind w:left="200"/>
      </w:pPr>
      <w:r>
        <w:rPr>
          <w:rFonts w:ascii="Arial" w:cs="Arial" w:eastAsia="Arial" w:hAnsi="Arial"/>
          <w:color w:val="9A3412"/>
          <w:sz w:val="20"/>
          <w:szCs w:val="20"/>
        </w:rPr>
        <w:t xml:space="preserve">Scenario A is een noodoplossing die de directe continuïteitsbehoefte adresseert. Het is uitdrukkelijk geen structurele oplossing en brengt bewuste risico’s met zich mee.</w:t>
      </w:r>
    </w:p>
    <w:p>
      <w:pPr>
        <w:spacing w:after="120"/>
      </w:pPr>
      <w:r>
        <w:rPr>
          <w:rFonts w:ascii="Arial" w:cs="Arial" w:eastAsia="Arial" w:hAnsi="Arial"/>
          <w:color w:val="1a1a1a"/>
          <w:sz w:val="20"/>
          <w:szCs w:val="20"/>
        </w:rPr>
        <w:t xml:space="preserve">Dit scenario bouwt voort op het bestaande platform en voegt uitsluitend de P1-items toe (security hardening en compliance-basis). Het MVP is bedoeld als tijdelijke oplossing totdat het volledige productieplatform gereed is.</w:t>
      </w:r>
    </w:p>
    <w:p>
      <w:pPr>
        <w:pStyle w:val="Heading2"/>
        <w:spacing w:after="100" w:before="200"/>
      </w:pPr>
      <w:r>
        <w:rPr>
          <w:rFonts w:ascii="Arial" w:cs="Arial" w:eastAsia="Arial" w:hAnsi="Arial"/>
          <w:b/>
          <w:bCs/>
          <w:color w:val="1a1a1a"/>
          <w:sz w:val="26"/>
          <w:szCs w:val="26"/>
        </w:rPr>
        <w:t xml:space="preserve">6.1 Scope en bewuste beperkingen</w:t>
      </w:r>
    </w:p>
    <w:p>
      <w:pPr>
        <w:spacing w:after="120"/>
      </w:pPr>
      <w:r>
        <w:rPr>
          <w:rFonts w:ascii="Arial" w:cs="Arial" w:eastAsia="Arial" w:hAnsi="Arial"/>
          <w:b/>
          <w:bCs/>
          <w:color w:val="1a1a1a"/>
          <w:sz w:val="20"/>
          <w:szCs w:val="20"/>
        </w:rPr>
        <w:t xml:space="preserve">Binnen scope:</w:t>
      </w:r>
    </w:p>
    <w:p>
      <w:pPr>
        <w:pStyle w:val="ListParagraph"/>
        <w:numPr>
          <w:ilvl w:val="0"/>
          <w:numId w:val="2"/>
        </w:numPr>
        <w:spacing w:after="60"/>
      </w:pPr>
      <w:r>
        <w:rPr>
          <w:rFonts w:ascii="Arial" w:cs="Arial" w:eastAsia="Arial" w:hAnsi="Arial"/>
          <w:color w:val="1a1a1a"/>
          <w:sz w:val="20"/>
          <w:szCs w:val="20"/>
        </w:rPr>
        <w:t xml:space="preserve">Alle bestaande demonstratie-functionaliteit</w:t>
      </w:r>
    </w:p>
    <w:p>
      <w:pPr>
        <w:pStyle w:val="ListParagraph"/>
        <w:numPr>
          <w:ilvl w:val="0"/>
          <w:numId w:val="2"/>
        </w:numPr>
        <w:spacing w:after="60"/>
      </w:pPr>
      <w:r>
        <w:rPr>
          <w:rFonts w:ascii="Arial" w:cs="Arial" w:eastAsia="Arial" w:hAnsi="Arial"/>
          <w:color w:val="1a1a1a"/>
          <w:sz w:val="20"/>
          <w:szCs w:val="20"/>
        </w:rPr>
        <w:t xml:space="preserve">Security hardening: MFA, wachtwoordbeleid, input sanitization, CSP headers</w:t>
      </w:r>
    </w:p>
    <w:p>
      <w:pPr>
        <w:pStyle w:val="ListParagraph"/>
        <w:numPr>
          <w:ilvl w:val="0"/>
          <w:numId w:val="2"/>
        </w:numPr>
        <w:spacing w:after="60"/>
      </w:pPr>
      <w:r>
        <w:rPr>
          <w:rFonts w:ascii="Arial" w:cs="Arial" w:eastAsia="Arial" w:hAnsi="Arial"/>
          <w:color w:val="1a1a1a"/>
          <w:sz w:val="20"/>
          <w:szCs w:val="20"/>
        </w:rPr>
        <w:t xml:space="preserve">Basisinfrastructuur: Vercel Pro, eenvoudige monitoring</w:t>
      </w:r>
    </w:p>
    <w:p>
      <w:pPr>
        <w:pStyle w:val="ListParagraph"/>
        <w:numPr>
          <w:ilvl w:val="0"/>
          <w:numId w:val="2"/>
        </w:numPr>
        <w:spacing w:after="60"/>
      </w:pPr>
      <w:r>
        <w:rPr>
          <w:rFonts w:ascii="Arial" w:cs="Arial" w:eastAsia="Arial" w:hAnsi="Arial"/>
          <w:color w:val="1a1a1a"/>
          <w:sz w:val="20"/>
          <w:szCs w:val="20"/>
        </w:rPr>
        <w:t xml:space="preserve">Datamigratie vanuit Drupal</w:t>
      </w:r>
    </w:p>
    <w:p>
      <w:pPr>
        <w:pStyle w:val="ListParagraph"/>
        <w:numPr>
          <w:ilvl w:val="0"/>
          <w:numId w:val="2"/>
        </w:numPr>
        <w:spacing w:after="60"/>
      </w:pPr>
      <w:r>
        <w:rPr>
          <w:rFonts w:ascii="Arial" w:cs="Arial" w:eastAsia="Arial" w:hAnsi="Arial"/>
          <w:color w:val="1a1a1a"/>
          <w:sz w:val="20"/>
          <w:szCs w:val="20"/>
        </w:rPr>
        <w:t xml:space="preserve">Backup-strategie</w:t>
      </w:r>
    </w:p>
    <w:p>
      <w:pPr>
        <w:pStyle w:val="ListParagraph"/>
        <w:numPr>
          <w:ilvl w:val="0"/>
          <w:numId w:val="2"/>
        </w:numPr>
        <w:spacing w:after="60"/>
      </w:pPr>
      <w:r>
        <w:rPr>
          <w:rFonts w:ascii="Arial" w:cs="Arial" w:eastAsia="Arial" w:hAnsi="Arial"/>
          <w:color w:val="1a1a1a"/>
          <w:sz w:val="20"/>
          <w:szCs w:val="20"/>
        </w:rPr>
        <w:t xml:space="preserve">29 extra features buiten oorspronkelijk PvE (dark mode, marktverdeling, Linked Data, demo-speler, etc.)</w:t>
      </w:r>
    </w:p>
    <w:p>
      <w:pPr>
        <w:pStyle w:val="ListParagraph"/>
        <w:numPr>
          <w:ilvl w:val="0"/>
          <w:numId w:val="2"/>
        </w:numPr>
        <w:spacing w:after="60"/>
      </w:pPr>
      <w:r>
        <w:rPr>
          <w:rFonts w:ascii="Arial" w:cs="Arial" w:eastAsia="Arial" w:hAnsi="Arial"/>
          <w:color w:val="1a1a1a"/>
          <w:sz w:val="20"/>
          <w:szCs w:val="20"/>
        </w:rPr>
        <w:t xml:space="preserve">Basis WCAG-compliance (kleurcontrast, ARIA labels, focus indicators, tabel-scope headers)</w:t>
      </w:r>
    </w:p>
    <w:p>
      <w:pPr>
        <w:pStyle w:val="ListParagraph"/>
        <w:numPr>
          <w:ilvl w:val="0"/>
          <w:numId w:val="2"/>
        </w:numPr>
        <w:spacing w:after="60"/>
      </w:pPr>
      <w:r>
        <w:rPr>
          <w:rFonts w:ascii="Arial" w:cs="Arial" w:eastAsia="Arial" w:hAnsi="Arial"/>
          <w:color w:val="1a1a1a"/>
          <w:sz w:val="20"/>
          <w:szCs w:val="20"/>
        </w:rPr>
        <w:t xml:space="preserve">Generieke Voorzieningencatalogus (GVC) library voor multi-tenant hergebruik (waterschappen, provincies)</w:t>
      </w:r>
    </w:p>
    <w:p>
      <w:pPr>
        <w:spacing w:before="60"/>
      </w:pPr>
    </w:p>
    <w:p>
      <w:pPr>
        <w:spacing w:after="120"/>
      </w:pPr>
      <w:r>
        <w:rPr>
          <w:rFonts w:ascii="Arial" w:cs="Arial" w:eastAsia="Arial" w:hAnsi="Arial"/>
          <w:b/>
          <w:bCs/>
          <w:color w:val="1a1a1a"/>
          <w:sz w:val="20"/>
          <w:szCs w:val="20"/>
        </w:rPr>
        <w:t xml:space="preserve">Bewust buiten scope (met bijbehorend risico):</w:t>
      </w:r>
    </w:p>
    <w:p>
      <w:pPr>
        <w:pStyle w:val="ListParagraph"/>
        <w:numPr>
          <w:ilvl w:val="0"/>
          <w:numId w:val="2"/>
        </w:numPr>
        <w:spacing w:after="60"/>
      </w:pPr>
      <w:r>
        <w:rPr>
          <w:rFonts w:ascii="Arial" w:cs="Arial" w:eastAsia="Arial" w:hAnsi="Arial"/>
          <w:color w:val="1a1a1a"/>
          <w:sz w:val="20"/>
          <w:szCs w:val="20"/>
        </w:rPr>
        <w:t xml:space="preserve">Geen BIO-toetsing — risico op non-compliance bij audit</w:t>
      </w:r>
    </w:p>
    <w:p>
      <w:pPr>
        <w:pStyle w:val="ListParagraph"/>
        <w:numPr>
          <w:ilvl w:val="0"/>
          <w:numId w:val="2"/>
        </w:numPr>
        <w:spacing w:after="60"/>
      </w:pPr>
      <w:r>
        <w:rPr>
          <w:rFonts w:ascii="Arial" w:cs="Arial" w:eastAsia="Arial" w:hAnsi="Arial"/>
          <w:color w:val="1a1a1a"/>
          <w:sz w:val="20"/>
          <w:szCs w:val="20"/>
        </w:rPr>
        <w:t xml:space="preserve">Geen WCAG-audit — risico op wettelijke overtreding</w:t>
      </w:r>
    </w:p>
    <w:p>
      <w:pPr>
        <w:pStyle w:val="ListParagraph"/>
        <w:numPr>
          <w:ilvl w:val="0"/>
          <w:numId w:val="2"/>
        </w:numPr>
        <w:spacing w:after="60"/>
      </w:pPr>
      <w:r>
        <w:rPr>
          <w:rFonts w:ascii="Arial" w:cs="Arial" w:eastAsia="Arial" w:hAnsi="Arial"/>
          <w:color w:val="1a1a1a"/>
          <w:sz w:val="20"/>
          <w:szCs w:val="20"/>
        </w:rPr>
        <w:t xml:space="preserve">Geen penetratietest — onbekende kwetsbaarheden</w:t>
      </w:r>
    </w:p>
    <w:p>
      <w:pPr>
        <w:pStyle w:val="ListParagraph"/>
        <w:numPr>
          <w:ilvl w:val="0"/>
          <w:numId w:val="2"/>
        </w:numPr>
        <w:spacing w:after="60"/>
      </w:pPr>
      <w:r>
        <w:rPr>
          <w:rFonts w:ascii="Arial" w:cs="Arial" w:eastAsia="Arial" w:hAnsi="Arial"/>
          <w:color w:val="1a1a1a"/>
          <w:sz w:val="20"/>
          <w:szCs w:val="20"/>
        </w:rPr>
        <w:t xml:space="preserve">Geen OTAP — wijzigingen gaan direct naar productie</w:t>
      </w:r>
    </w:p>
    <w:p>
      <w:pPr>
        <w:pStyle w:val="ListParagraph"/>
        <w:numPr>
          <w:ilvl w:val="0"/>
          <w:numId w:val="2"/>
        </w:numPr>
        <w:spacing w:after="60"/>
      </w:pPr>
      <w:r>
        <w:rPr>
          <w:rFonts w:ascii="Arial" w:cs="Arial" w:eastAsia="Arial" w:hAnsi="Arial"/>
          <w:color w:val="1a1a1a"/>
          <w:sz w:val="20"/>
          <w:szCs w:val="20"/>
        </w:rPr>
        <w:t xml:space="preserve">Geen uitgebreide testsuite — risico op regressie bij updates</w:t>
      </w:r>
    </w:p>
    <w:p>
      <w:pPr>
        <w:pStyle w:val="ListParagraph"/>
        <w:numPr>
          <w:ilvl w:val="0"/>
          <w:numId w:val="2"/>
        </w:numPr>
        <w:spacing w:after="60"/>
      </w:pPr>
      <w:r>
        <w:rPr>
          <w:rFonts w:ascii="Arial" w:cs="Arial" w:eastAsia="Arial" w:hAnsi="Arial"/>
          <w:color w:val="1a1a1a"/>
          <w:sz w:val="20"/>
          <w:szCs w:val="20"/>
        </w:rPr>
        <w:t xml:space="preserve">Geen SSO — gemeenten moeten apart inloggen</w:t>
      </w:r>
    </w:p>
    <w:p>
      <w:pPr>
        <w:pStyle w:val="Heading2"/>
        <w:spacing w:after="100" w:before="200"/>
      </w:pPr>
      <w:r>
        <w:rPr>
          <w:rFonts w:ascii="Arial" w:cs="Arial" w:eastAsia="Arial" w:hAnsi="Arial"/>
          <w:b/>
          <w:bCs/>
          <w:color w:val="1a1a1a"/>
          <w:sz w:val="26"/>
          <w:szCs w:val="26"/>
        </w:rPr>
        <w:t xml:space="preserve">6.2 Kosten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Kostenpost</w:t>
            </w:r>
          </w:p>
        </w:tc>
        <w:tc>
          <w:tcPr>
            <w:tcW w:type="dxa" w:w="2763"/>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Eenmalig</w:t>
            </w:r>
          </w:p>
        </w:tc>
        <w:tc>
          <w:tcPr>
            <w:tcW w:type="dxa" w:w="2763"/>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Structureel / jaar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ArchiXL: hardening en migratie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€ 15.000 – 25.000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ArchiXL: hosting (Vercel Pro)</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€ 3.000 – 6.000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ArchiXL: technisch beheer</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€ 24.000 – 36.000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VNG: functioneel beheer</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€ 15.000 – 25.000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Totaal eenmalig</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€ 15.000 – 25.000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Totaal structureel / jaar</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€ 42.000 – 67.000</w:t>
            </w:r>
          </w:p>
        </w:tc>
      </w:tr>
    </w:tbl>
    <w:p>
      <w:pPr>
        <w:spacing w:after="120"/>
      </w:pPr>
      <w:r>
        <w:rPr>
          <w:rFonts w:ascii="Arial" w:cs="Arial" w:eastAsia="Arial" w:hAnsi="Arial"/>
          <w:i/>
          <w:iCs/>
          <w:color w:val="666666"/>
          <w:sz w:val="20"/>
          <w:szCs w:val="20"/>
        </w:rPr>
        <w:t xml:space="preserve">Doorlooptijd MVP: 3–5 weken.</w:t>
      </w:r>
    </w:p>
    <w:p>
      <w:r>
        <w:br w:type="page"/>
      </w:r>
    </w:p>
    <w:p>
      <w:pPr>
        <w:pStyle w:val="Heading1"/>
      </w:pPr>
      <w:r>
        <w:rPr>
          <w:rFonts w:ascii="Arial" w:cs="Arial" w:eastAsia="Arial" w:hAnsi="Arial"/>
          <w:b/>
          <w:bCs/>
          <w:color w:val="1a6ca8"/>
          <w:sz w:val="32"/>
          <w:szCs w:val="32"/>
        </w:rPr>
        <w:t xml:space="preserve">7. Scenario B — Volledig productieplatform</w:t>
      </w:r>
    </w:p>
    <w:p>
      <w:pPr>
        <w:spacing w:after="120"/>
      </w:pPr>
      <w:r>
        <w:rPr>
          <w:rFonts w:ascii="Arial" w:cs="Arial" w:eastAsia="Arial" w:hAnsi="Arial"/>
          <w:color w:val="1a1a1a"/>
          <w:sz w:val="20"/>
          <w:szCs w:val="20"/>
        </w:rPr>
        <w:t xml:space="preserve">Dit scenario beschrijft de volledige doorontwikkeling naar een productierijp, compliance-conform platform voor alle 342 gemeenten.</w:t>
      </w:r>
    </w:p>
    <w:p>
      <w:pPr>
        <w:pStyle w:val="Heading2"/>
        <w:spacing w:after="100" w:before="200"/>
      </w:pPr>
      <w:r>
        <w:rPr>
          <w:rFonts w:ascii="Arial" w:cs="Arial" w:eastAsia="Arial" w:hAnsi="Arial"/>
          <w:b/>
          <w:bCs/>
          <w:color w:val="1a1a1a"/>
          <w:sz w:val="26"/>
          <w:szCs w:val="26"/>
        </w:rPr>
        <w:t xml:space="preserve">7.1 Totaaloverzicht kosten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Partij</w:t>
            </w:r>
          </w:p>
        </w:tc>
        <w:tc>
          <w:tcPr>
            <w:tcW w:type="dxa" w:w="2763"/>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Eenmalig</w:t>
            </w:r>
          </w:p>
        </w:tc>
        <w:tc>
          <w:tcPr>
            <w:tcW w:type="dxa" w:w="2763"/>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Structureel / jaar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ArchiXL: ontwikkeling (fase 1–4)</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€ 80.000 – 140.000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ArchiXL: beheer en hosting</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€ 126.000 – 204.000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VNG: compliance (BIO, DPIA, WCAG, pentest)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€ 45.000 – 75.000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€ 15.000 – 25.000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VNG: functioneel beheer en support</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€ 60.000 – 96.000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Totaal</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€ 125.000 – 215.000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€ 201.000 – 325.000</w:t>
            </w:r>
          </w:p>
        </w:tc>
      </w:tr>
    </w:tbl>
    <w:p>
      <w:pPr>
        <w:pStyle w:val="Heading2"/>
        <w:spacing w:after="100" w:before="200"/>
      </w:pPr>
      <w:r>
        <w:rPr>
          <w:rFonts w:ascii="Arial" w:cs="Arial" w:eastAsia="Arial" w:hAnsi="Arial"/>
          <w:b/>
          <w:bCs/>
          <w:color w:val="1a1a1a"/>
          <w:sz w:val="26"/>
          <w:szCs w:val="26"/>
        </w:rPr>
        <w:t xml:space="preserve">7.2 Scenariovergelijking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263"/>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Scenario A: MVP</w:t>
            </w:r>
          </w:p>
        </w:tc>
        <w:tc>
          <w:tcPr>
            <w:tcW w:type="dxa" w:w="3263"/>
            <w:tcBorders>
              <w:top w:val="single" w:color="CCCCCC" w:sz="1"/>
              <w:left w:val="single" w:color="CCCCCC" w:sz="1"/>
              <w:bottom w:val="single" w:color="CCCCCC" w:sz="1"/>
              <w:right w:val="single" w:color="CCCCCC" w:sz="1"/>
            </w:tcBorders>
            <w:shd w:fill="1a6ca8" w:val="clear"/>
            <w:tcMar>
              <w:top w:type="dxa" w:w="80"/>
              <w:left w:type="dxa" w:w="120"/>
              <w:bottom w:type="dxa" w:w="80"/>
              <w:right w:type="dxa" w:w="120"/>
            </w:tcMar>
          </w:tcPr>
          <w:p>
            <w:r>
              <w:rPr>
                <w:rFonts w:ascii="Arial" w:cs="Arial" w:eastAsia="Arial" w:hAnsi="Arial"/>
                <w:b/>
                <w:bCs/>
                <w:color w:val="FFFFFF"/>
                <w:sz w:val="18"/>
                <w:szCs w:val="18"/>
              </w:rPr>
              <w:t xml:space="preserve">Scenario B: Volledig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Doel</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Noodvervanging Drupal</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Volwaardig platform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Doorlooptijd</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3–5 weken</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8–14 maanden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Eenmalig</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€ 15.000 – 25.000</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€ 125.000 – 215.000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Structureel / jaar</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€ 42.000 – 67.000</w:t>
            </w:r>
          </w:p>
        </w:tc>
        <w:tc>
          <w:tcPr>
            <w:tcW w:type="dxa" w:w="3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€ 201.000 – 325.000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BIO-compliance</w:t>
            </w:r>
          </w:p>
        </w:tc>
        <w:tc>
          <w:tcPr>
            <w:tcW w:type="dxa" w:w="3263"/>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991B1B"/>
                <w:sz w:val="18"/>
                <w:szCs w:val="18"/>
              </w:rPr>
              <w:t xml:space="preserve">Nee</w:t>
            </w:r>
          </w:p>
        </w:tc>
        <w:tc>
          <w:tcPr>
            <w:tcW w:type="dxa" w:w="3263"/>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66534"/>
                <w:sz w:val="18"/>
                <w:szCs w:val="18"/>
              </w:rPr>
              <w:t xml:space="preserve">Ja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WCAG-compliance</w:t>
            </w:r>
          </w:p>
        </w:tc>
        <w:tc>
          <w:tcPr>
            <w:tcW w:type="dxa" w:w="3263"/>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991B1B"/>
                <w:sz w:val="18"/>
                <w:szCs w:val="18"/>
              </w:rPr>
              <w:t xml:space="preserve">Nee</w:t>
            </w:r>
          </w:p>
        </w:tc>
        <w:tc>
          <w:tcPr>
            <w:tcW w:type="dxa" w:w="3263"/>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66534"/>
                <w:sz w:val="18"/>
                <w:szCs w:val="18"/>
              </w:rPr>
              <w:t xml:space="preserve">Ja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Penetratietest</w:t>
            </w:r>
          </w:p>
        </w:tc>
        <w:tc>
          <w:tcPr>
            <w:tcW w:type="dxa" w:w="3263"/>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991B1B"/>
                <w:sz w:val="18"/>
                <w:szCs w:val="18"/>
              </w:rPr>
              <w:t xml:space="preserve">Nee</w:t>
            </w:r>
          </w:p>
        </w:tc>
        <w:tc>
          <w:tcPr>
            <w:tcW w:type="dxa" w:w="3263"/>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66534"/>
                <w:sz w:val="18"/>
                <w:szCs w:val="18"/>
              </w:rPr>
              <w:t xml:space="preserve">Ja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SLA</w:t>
            </w:r>
          </w:p>
        </w:tc>
        <w:tc>
          <w:tcPr>
            <w:tcW w:type="dxa" w:w="3263"/>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color w:val="991B1B"/>
                <w:sz w:val="18"/>
                <w:szCs w:val="18"/>
              </w:rPr>
              <w:t xml:space="preserve">Nee</w:t>
            </w:r>
          </w:p>
        </w:tc>
        <w:tc>
          <w:tcPr>
            <w:tcW w:type="dxa" w:w="3263"/>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color w:val="166534"/>
                <w:sz w:val="18"/>
                <w:szCs w:val="18"/>
              </w:rPr>
              <w:t xml:space="preserve">99,5%+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Risicoprofiel</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91B1B"/>
                <w:sz w:val="18"/>
                <w:szCs w:val="18"/>
              </w:rPr>
              <w:t xml:space="preserve">Substantieel</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6534"/>
                <w:sz w:val="18"/>
                <w:szCs w:val="18"/>
              </w:rPr>
              <w:t xml:space="preserve">Beheersbaar</w:t>
            </w:r>
          </w:p>
        </w:tc>
      </w:tr>
    </w:tbl>
    <w:p>
      <w:r>
        <w:br w:type="page"/>
      </w:r>
    </w:p>
    <w:p>
      <w:pPr>
        <w:pStyle w:val="Heading1"/>
      </w:pPr>
      <w:r>
        <w:rPr>
          <w:rFonts w:ascii="Arial" w:cs="Arial" w:eastAsia="Arial" w:hAnsi="Arial"/>
          <w:b/>
          <w:bCs/>
          <w:color w:val="1a6ca8"/>
          <w:sz w:val="32"/>
          <w:szCs w:val="32"/>
        </w:rPr>
        <w:t xml:space="preserve">8. Conclusie en aanbevelingen</w:t>
      </w:r>
    </w:p>
    <w:p>
      <w:pPr>
        <w:spacing w:after="120"/>
      </w:pPr>
      <w:r>
        <w:rPr>
          <w:rFonts w:ascii="Arial" w:cs="Arial" w:eastAsia="Arial" w:hAnsi="Arial"/>
          <w:color w:val="1a1a1a"/>
          <w:sz w:val="20"/>
          <w:szCs w:val="20"/>
        </w:rPr>
        <w:t xml:space="preserve">Het platform van de Voorzieningencatalogus demonstreert op overtuigende wijze dat de beoogde functionaliteit technisch haalbaar is. De breedte van de gerealiseerde functionaliteit is indrukwekkend en biedt een solide basis voor verdere ontwikkeling.</w:t>
      </w:r>
    </w:p>
    <w:p>
      <w:pPr>
        <w:spacing w:before="80"/>
      </w:pPr>
    </w:p>
    <w:p>
      <w:pPr>
        <w:pBdr>
          <w:left w:val="single" w:color="DC2626" w:sz="12" w:space="8"/>
        </w:pBdr>
        <w:spacing w:after="120" w:before="120"/>
        <w:ind w:left="200"/>
      </w:pPr>
      <w:r>
        <w:rPr>
          <w:rFonts w:ascii="Arial" w:cs="Arial" w:eastAsia="Arial" w:hAnsi="Arial"/>
          <w:b/>
          <w:bCs/>
          <w:color w:val="991B1B"/>
          <w:sz w:val="20"/>
          <w:szCs w:val="20"/>
        </w:rPr>
        <w:t xml:space="preserve">Een werkende demonstratie is echter geen productierijp systeem. De afstand tussen de huidige staat en verantwoorde inproductiename is substantieel en mag niet worden onderschat.</w:t>
      </w:r>
    </w:p>
    <w:p>
      <w:pPr>
        <w:spacing w:before="80"/>
      </w:pPr>
    </w:p>
    <w:p>
      <w:pPr>
        <w:spacing w:after="120"/>
      </w:pPr>
      <w:r>
        <w:rPr>
          <w:rFonts w:ascii="Arial" w:cs="Arial" w:eastAsia="Arial" w:hAnsi="Arial"/>
          <w:color w:val="1a1a1a"/>
          <w:sz w:val="20"/>
          <w:szCs w:val="20"/>
        </w:rPr>
        <w:t xml:space="preserve">De belangrijkste risico’s — ontbrekende MFA, geen BIO-toetsing, geen penetratietest, geen WCAG-audit, geen backupstrategie — zijn elk op zichzelf voldoende reden om niet in productie te gaan. Gezamenlijk vormen ze een onacceptabel risicoprofiel voor een systeem dat door honderden overheidsorganisaties wordt gebruikt.</w:t>
      </w:r>
    </w:p>
    <w:p>
      <w:pPr>
        <w:pStyle w:val="Heading2"/>
        <w:spacing w:after="100" w:before="200"/>
      </w:pPr>
      <w:r>
        <w:rPr>
          <w:rFonts w:ascii="Arial" w:cs="Arial" w:eastAsia="Arial" w:hAnsi="Arial"/>
          <w:b/>
          <w:bCs/>
          <w:color w:val="1a1a1a"/>
          <w:sz w:val="26"/>
          <w:szCs w:val="26"/>
        </w:rPr>
        <w:t xml:space="preserve">8.1 Aanbeveling</w:t>
      </w:r>
    </w:p>
    <w:p>
      <w:pPr>
        <w:spacing w:after="120"/>
      </w:pPr>
      <w:r>
        <w:rPr>
          <w:rFonts w:ascii="Arial" w:cs="Arial" w:eastAsia="Arial" w:hAnsi="Arial"/>
          <w:color w:val="1a1a1a"/>
          <w:sz w:val="20"/>
          <w:szCs w:val="20"/>
        </w:rPr>
        <w:t xml:space="preserve">ArchiXL adviseert de volgende aanpak:</w:t>
      </w:r>
    </w:p>
    <w:p>
      <w:pPr>
        <w:pStyle w:val="ListParagraph"/>
        <w:numPr>
          <w:ilvl w:val="0"/>
          <w:numId w:val="3"/>
        </w:numPr>
        <w:spacing w:after="80"/>
      </w:pPr>
      <w:r>
        <w:rPr>
          <w:rFonts w:ascii="Arial" w:cs="Arial" w:eastAsia="Arial" w:hAnsi="Arial"/>
          <w:sz w:val="20"/>
          <w:szCs w:val="20"/>
        </w:rPr>
        <w:t xml:space="preserve">Start met Scenario A (MVP) om de acute Drupal-vervanging te realiseren, maar communiceer helder naar stakeholders dat dit een noodoplossing is met een bewust geaccepteerd risicoprofiel.</w:t>
      </w:r>
    </w:p>
    <w:p>
      <w:pPr>
        <w:pStyle w:val="ListParagraph"/>
        <w:numPr>
          <w:ilvl w:val="0"/>
          <w:numId w:val="3"/>
        </w:numPr>
        <w:spacing w:after="80"/>
      </w:pPr>
      <w:r>
        <w:rPr>
          <w:rFonts w:ascii="Arial" w:cs="Arial" w:eastAsia="Arial" w:hAnsi="Arial"/>
          <w:sz w:val="20"/>
          <w:szCs w:val="20"/>
        </w:rPr>
        <w:t xml:space="preserve">Plan direct door naar Scenario B. Begin met security hardening (P1) en compliance-trajecten (BIO, DPIA) parallel aan het MVP. Deze trajecten hebben de langste doorlooptijd en zijn niet afhankelijk van de ontwikkeling.</w:t>
      </w:r>
    </w:p>
    <w:p>
      <w:pPr>
        <w:pStyle w:val="ListParagraph"/>
        <w:numPr>
          <w:ilvl w:val="0"/>
          <w:numId w:val="3"/>
        </w:numPr>
        <w:spacing w:after="80"/>
      </w:pPr>
      <w:r>
        <w:rPr>
          <w:rFonts w:ascii="Arial" w:cs="Arial" w:eastAsia="Arial" w:hAnsi="Arial"/>
          <w:sz w:val="20"/>
          <w:szCs w:val="20"/>
        </w:rPr>
        <w:t xml:space="preserve">Investeer in kwaliteitsborging vóór doorontwikkeling. Nieuwe functionaliteit toevoegen zonder testsuite en CI/CD vergroot de technische schuld exponentieel.</w:t>
      </w:r>
    </w:p>
    <w:p>
      <w:pPr>
        <w:pStyle w:val="ListParagraph"/>
        <w:numPr>
          <w:ilvl w:val="0"/>
          <w:numId w:val="3"/>
        </w:numPr>
        <w:spacing w:after="80"/>
      </w:pPr>
      <w:r>
        <w:rPr>
          <w:rFonts w:ascii="Arial" w:cs="Arial" w:eastAsia="Arial" w:hAnsi="Arial"/>
          <w:sz w:val="20"/>
          <w:szCs w:val="20"/>
        </w:rPr>
        <w:t xml:space="preserve">Laat een onafhankelijke code review uitvoeren voordat het systeem in productie gaat. Dit is geen wantrouwen naar de ontwikkelaars, maar een kwaliteitswaarborg die bij elk professioneel softwareproject hoort.</w:t>
      </w:r>
    </w:p>
    <w:p>
      <w:pPr>
        <w:spacing w:before="120"/>
      </w:pPr>
    </w:p>
    <w:p>
      <w:pPr>
        <w:pBdr>
          <w:left w:val="single" w:color="F59E0B" w:sz="12" w:space="8"/>
        </w:pBdr>
        <w:spacing w:after="120" w:before="120"/>
        <w:ind w:left="200"/>
      </w:pPr>
      <w:r>
        <w:rPr>
          <w:rFonts w:ascii="Arial" w:cs="Arial" w:eastAsia="Arial" w:hAnsi="Arial"/>
          <w:color w:val="9A3412"/>
          <w:sz w:val="20"/>
          <w:szCs w:val="20"/>
        </w:rPr>
        <w:t xml:space="preserve">De kracht van dit traject is de snelheid waarmee functionaliteit is gerealiseerd. Het risico is dat diezelfde snelheid leidt tot het overslaan van stappen die essentieel zijn voor een verantwoord productiesysteem. Dit advies pleit voor het benutten van de snelheid én het respecteren van het proces.</w:t>
      </w:r>
    </w:p>
    <w:p>
      <w:pPr>
        <w:pStyle w:val="Heading2"/>
        <w:spacing w:after="100" w:before="200"/>
      </w:pPr>
      <w:r>
        <w:rPr>
          <w:rFonts w:ascii="Arial" w:cs="Arial" w:eastAsia="Arial" w:hAnsi="Arial"/>
          <w:b/>
          <w:bCs/>
          <w:color w:val="1a1a1a"/>
          <w:sz w:val="26"/>
          <w:szCs w:val="26"/>
        </w:rPr>
        <w:t xml:space="preserve">8.2 Generieke Voorzieningencatalogus (GVC)</w:t>
      </w:r>
    </w:p>
    <w:p>
      <w:pPr>
        <w:spacing w:after="120"/>
      </w:pPr>
      <w:r>
        <w:rPr>
          <w:rFonts w:ascii="Arial" w:cs="Arial" w:eastAsia="Arial" w:hAnsi="Arial"/>
          <w:color w:val="1a1a1a"/>
          <w:sz w:val="20"/>
          <w:szCs w:val="20"/>
        </w:rPr>
        <w:t xml:space="preserve">De codebase is geëxtraheerd naar een generieke library (GVC) met 219 bestanden. Deze library maakt het mogelijk om de Voorzieningencatalogus in te zetten voor andere publieke sectoren — waterschappen (Het Waterschapshuis), provincies, onderwijs — door alleen een tenant-configuratie en branding aan te passen. De GVC ondersteunt multi-tenant architectuur met configureerbare rollen, architectuurmodel-sync (GEMMA/WILMA) en domein-specifieke routes.</w:t>
      </w:r>
    </w:p>
    <w:p>
      <w:pPr>
        <w:spacing w:after="120"/>
      </w:pPr>
      <w:r>
        <w:rPr>
          <w:rFonts w:ascii="Arial" w:cs="Arial" w:eastAsia="Arial" w:hAnsi="Arial"/>
          <w:color w:val="1a1a1a"/>
          <w:sz w:val="20"/>
          <w:szCs w:val="20"/>
        </w:rPr>
        <w:t xml:space="preserve">Een eerste waterschappen-variant (HWH) is als proof-of-concept operationeel.</w:t>
      </w:r>
    </w:p>
    <w:p>
      <w:pPr>
        <w:pStyle w:val="Heading2"/>
        <w:spacing w:after="100" w:before="200"/>
      </w:pPr>
      <w:r>
        <w:rPr>
          <w:rFonts w:ascii="Arial" w:cs="Arial" w:eastAsia="Arial" w:hAnsi="Arial"/>
          <w:b/>
          <w:bCs/>
          <w:color w:val="1a1a1a"/>
          <w:sz w:val="26"/>
          <w:szCs w:val="26"/>
        </w:rPr>
        <w:t xml:space="preserve">8.3 Intellectueel eigendom</w:t>
      </w:r>
    </w:p>
    <w:p>
      <w:pPr>
        <w:spacing w:after="120"/>
      </w:pPr>
      <w:r>
        <w:rPr>
          <w:rFonts w:ascii="Arial" w:cs="Arial" w:eastAsia="Arial" w:hAnsi="Arial"/>
          <w:color w:val="1a1a1a"/>
          <w:sz w:val="20"/>
          <w:szCs w:val="20"/>
        </w:rPr>
        <w:t xml:space="preserve">ArchiXL behoudt als ontwikkelaar de intellectuele eigendomsrechten op het platform. VNG verkrijgt een gebruiksrecht voor de gemeentelijke sector. ArchiXL heeft het recht om het platform ook in te zetten in andere publieke sectoren (onderwijs, waterschappen), wat voordelen biedt in termen van gedeelde ontwikkelkosten, kennisdeling en continuïteit.</w:t>
      </w:r>
    </w:p>
    <w:p>
      <w:pPr>
        <w:spacing w:before="400"/>
      </w:pPr>
    </w:p>
    <w:p>
      <w:pPr>
        <w:jc w:val="center"/>
      </w:pPr>
      <w:r>
        <w:rPr>
          <w:rFonts w:ascii="Arial" w:cs="Arial" w:eastAsia="Arial" w:hAnsi="Arial"/>
          <w:i/>
          <w:iCs/>
          <w:color w:val="666666"/>
          <w:sz w:val="18"/>
          <w:szCs w:val="18"/>
        </w:rPr>
        <w:t xml:space="preserve">— Einde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pPr>
    <w:r>
      <w:rPr>
        <w:rFonts w:ascii="Arial" w:cs="Arial" w:eastAsia="Arial" w:hAnsi="Arial"/>
        <w:color w:val="666666"/>
        <w:sz w:val="16"/>
        <w:szCs w:val="16"/>
      </w:rPr>
      <w:t xml:space="preserve">ArchiXL — VNG Voorzieningencatalogus</w:t>
    </w:r>
    <w:r>
      <w:rPr>
        <w:rFonts w:ascii="Arial" w:cs="Arial" w:eastAsia="Arial" w:hAnsi="Arial"/>
        <w:color w:val="666666"/>
        <w:sz w:val="16"/>
        <w:szCs w:val="16"/>
      </w:rPr>
      <w:t xml:space="preserve">	Pagina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ca8" w:sz="2" w:space="4"/>
      </w:pBdr>
    </w:pPr>
    <w:r>
      <w:rPr>
        <w:rFonts w:ascii="Arial" w:cs="Arial" w:eastAsia="Arial" w:hAnsi="Arial"/>
        <w:color w:val="666666"/>
        <w:sz w:val="16"/>
        <w:szCs w:val="16"/>
      </w:rPr>
      <w:t xml:space="preserve">Advies Voorzieningencatalogus v4.0 —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6ca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2026-03-25T09:31:30.251Z</dcterms:created>
  <dcterms:modified xsi:type="dcterms:W3CDTF">2026-03-25T09:31:30.251Z</dcterms:modified>
</cp:coreProperties>
</file>

<file path=docProps/custom.xml><?xml version="1.0" encoding="utf-8"?>
<Properties xmlns="http://schemas.openxmlformats.org/officeDocument/2006/custom-properties" xmlns:vt="http://schemas.openxmlformats.org/officeDocument/2006/docPropsVTypes"/>
</file>