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A6CA8"/>
          <w:sz w:val="52"/>
          <w:szCs w:val="52"/>
        </w:rPr>
        <w:t xml:space="preserve">Advies Voorzieningencatalogus</w:t>
      </w:r>
    </w:p>
    <w:p>
      <w:pPr>
        <w:spacing w:after="100"/>
        <w:jc w:val="center"/>
      </w:pPr>
      <w:r>
        <w:rPr>
          <w:rFonts w:ascii="Arial" w:cs="Arial" w:eastAsia="Arial" w:hAnsi="Arial"/>
          <w:color w:val="666666"/>
          <w:sz w:val="28"/>
          <w:szCs w:val="28"/>
        </w:rPr>
        <w:t xml:space="preserve">Van prototype naar productierijp platform</w:t>
      </w:r>
    </w:p>
    <w:p>
      <w:pPr>
        <w:spacing w:after="600"/>
        <w:jc w:val="center"/>
      </w:pPr>
      <w:r>
        <w:rPr>
          <w:rFonts w:ascii="Arial" w:cs="Arial" w:eastAsia="Arial" w:hAnsi="Arial"/>
          <w:color w:val="999999"/>
          <w:sz w:val="24"/>
          <w:szCs w:val="24"/>
        </w:rPr>
        <w:t xml:space="preserve">Herziene versie — maart 2026</w:t>
      </w:r>
    </w:p>
    <w:p>
      <w:pPr>
        <w:spacing w:before="4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1A6CA8" w:val="clear"/>
            <w:tcMar>
              <w:top w:type="dxa" w:w="60"/>
              <w:left w:type="dxa" w:w="100"/>
              <w:bottom w:type="dxa" w:w="60"/>
              <w:right w:type="dxa" w:w="100"/>
            </w:tcMar>
          </w:tcPr>
          <w:p>
            <w:r>
              <w:rPr>
                <w:rFonts w:ascii="Arial" w:cs="Arial" w:eastAsia="Arial" w:hAnsi="Arial"/>
                <w:b/>
                <w:bCs/>
                <w:color w:val="FFFFFF"/>
                <w:sz w:val="20"/>
                <w:szCs w:val="20"/>
              </w:rPr>
              <w:t xml:space="preserve"/>
            </w:r>
          </w:p>
        </w:tc>
        <w:tc>
          <w:tcPr>
            <w:tcW w:type="dxa" w:w="6026"/>
            <w:tcBorders>
              <w:top w:val="single" w:color="CCCCCC" w:sz="1"/>
              <w:left w:val="single" w:color="CCCCCC" w:sz="1"/>
              <w:bottom w:val="single" w:color="CCCCCC" w:sz="1"/>
              <w:right w:val="single" w:color="CCCCCC" w:sz="1"/>
            </w:tcBorders>
            <w:shd w:fill="1A6CA8" w:val="clear"/>
            <w:tcMar>
              <w:top w:type="dxa" w:w="60"/>
              <w:left w:type="dxa" w:w="100"/>
              <w:bottom w:type="dxa" w:w="60"/>
              <w:right w:type="dxa" w:w="100"/>
            </w:tcMar>
          </w:tcPr>
          <w:p>
            <w:r>
              <w:rPr>
                <w:rFonts w:ascii="Arial" w:cs="Arial" w:eastAsia="Arial" w:hAnsi="Arial"/>
                <w:b/>
                <w:bCs/>
                <w:color w:val="FFFFFF"/>
                <w:sz w:val="20"/>
                <w:szCs w:val="20"/>
              </w:rPr>
              <w:t xml:space="preserve"/>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Opdrachtgever</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VNG (Vereniging van Nederlandse Gemeenten)</w:t>
            </w:r>
          </w:p>
        </w:tc>
      </w:tr>
      <w:tr>
        <w:tc>
          <w:tcPr>
            <w:tcW w:type="dxa" w:w="300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b/>
                <w:bCs/>
                <w:sz w:val="20"/>
                <w:szCs w:val="20"/>
              </w:rPr>
              <w:t xml:space="preserve">Auteur</w:t>
            </w:r>
          </w:p>
        </w:tc>
        <w:tc>
          <w:tcPr>
            <w:tcW w:type="dxa" w:w="6026"/>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b w:val="false"/>
                <w:bCs w:val="false"/>
                <w:sz w:val="20"/>
                <w:szCs w:val="20"/>
              </w:rPr>
              <w:t xml:space="preserve">ArchiXL</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Datum</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18 maart 2026</w:t>
            </w:r>
          </w:p>
        </w:tc>
      </w:tr>
      <w:tr>
        <w:tc>
          <w:tcPr>
            <w:tcW w:type="dxa" w:w="300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b/>
                <w:bCs/>
                <w:sz w:val="20"/>
                <w:szCs w:val="20"/>
              </w:rPr>
              <w:t xml:space="preserve">Versie</w:t>
            </w:r>
          </w:p>
        </w:tc>
        <w:tc>
          <w:tcPr>
            <w:tcW w:type="dxa" w:w="6026"/>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b w:val="false"/>
                <w:bCs w:val="false"/>
                <w:sz w:val="20"/>
                <w:szCs w:val="20"/>
              </w:rPr>
              <w:t xml:space="preserve">2.0</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Status</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Herzien concept</w:t>
            </w:r>
          </w:p>
        </w:tc>
      </w:tr>
    </w:tbl>
    <w:p>
      <w:pPr>
        <w:sectPr>
          <w:pgSz w:w="11906" w:h="16838" w:orient="portrait"/>
          <w:pgMar w:top="1440" w:right="1440" w:bottom="1440" w:left="1440" w:header="708" w:footer="708" w:gutter="0"/>
          <w:pgNumType/>
          <w:docGrid w:linePitch="360"/>
        </w:sectPr>
      </w:pPr>
    </w:p>
    <w:p>
      <w:pPr>
        <w:spacing w:after="400"/>
      </w:pPr>
      <w:r>
        <w:rPr>
          <w:rFonts w:ascii="Arial" w:cs="Arial" w:eastAsia="Arial" w:hAnsi="Arial"/>
          <w:b/>
          <w:bCs/>
          <w:color w:val="1A6CA8"/>
          <w:sz w:val="32"/>
          <w:szCs w:val="32"/>
        </w:rPr>
        <w:t xml:space="preserve">Inhoudsopgave</w:t>
      </w:r>
    </w:p>
    <w:sdt>
      <w:sdtPr>
        <w:alias w:val="Inhoudsopgave"/>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Arial" w:cs="Arial" w:eastAsia="Arial" w:hAnsi="Arial"/>
          <w:b/>
          <w:bCs/>
          <w:color w:val="1A6CA8"/>
          <w:sz w:val="32"/>
          <w:szCs w:val="32"/>
        </w:rPr>
        <w:t xml:space="preserve">1. Inleiding</w:t>
      </w:r>
    </w:p>
    <w:p>
      <w:pPr>
        <w:pStyle w:val="Heading2"/>
        <w:spacing w:after="160" w:before="280"/>
      </w:pPr>
      <w:r>
        <w:rPr>
          <w:rFonts w:ascii="Arial" w:cs="Arial" w:eastAsia="Arial" w:hAnsi="Arial"/>
          <w:b/>
          <w:bCs/>
          <w:color w:val="1A6CA8"/>
          <w:sz w:val="26"/>
          <w:szCs w:val="26"/>
        </w:rPr>
        <w:t xml:space="preserve">1.1 Aanleiding</w:t>
      </w:r>
    </w:p>
    <w:p>
      <w:pPr>
        <w:spacing w:after="120"/>
      </w:pPr>
      <w:r>
        <w:rPr>
          <w:rFonts w:ascii="Arial" w:cs="Arial" w:eastAsia="Arial" w:hAnsi="Arial"/>
          <w:b w:val="false"/>
          <w:bCs w:val="false"/>
          <w:i w:val="false"/>
          <w:iCs w:val="false"/>
          <w:sz w:val="21"/>
          <w:szCs w:val="21"/>
        </w:rPr>
        <w:t xml:space="preserve">De huidige Voorzieningencatalogus draait op Drupal-technologie die end-of-life is. Een eerder doorlopen vervangingstraject heeft niet tot het gewenste resultaat geleid. Daarmee is er een urgente behoefte aan een werkend alternatief dat de continuïteit van de catalogus waarborgt.</w:t>
      </w:r>
    </w:p>
    <w:p>
      <w:pPr>
        <w:spacing w:after="120"/>
      </w:pPr>
      <w:r>
        <w:rPr>
          <w:rFonts w:ascii="Arial" w:cs="Arial" w:eastAsia="Arial" w:hAnsi="Arial"/>
          <w:b w:val="false"/>
          <w:bCs w:val="false"/>
          <w:i w:val="false"/>
          <w:iCs w:val="false"/>
          <w:sz w:val="21"/>
          <w:szCs w:val="21"/>
        </w:rPr>
        <w:t xml:space="preserve">ArchiXL heeft in opdracht van VNG een werkend prototype ontwikkeld van de nieuwe Voorzieningencatalogus. Dit prototype is inmiddels doorontwikkeld tot een functioneel rijke applicatie met 17 hoofdfuncties, een REST API, Linked Data-publicatie, AI-gestuurde adviesfunctie en een begrippenkader dat live wordt opgehaald uit SKOSMOS.</w:t>
      </w:r>
    </w:p>
    <w:p>
      <w:pPr>
        <w:pStyle w:val="Heading2"/>
        <w:spacing w:after="160" w:before="280"/>
      </w:pPr>
      <w:r>
        <w:rPr>
          <w:rFonts w:ascii="Arial" w:cs="Arial" w:eastAsia="Arial" w:hAnsi="Arial"/>
          <w:b/>
          <w:bCs/>
          <w:color w:val="1A6CA8"/>
          <w:sz w:val="26"/>
          <w:szCs w:val="26"/>
        </w:rPr>
        <w:t xml:space="preserve">1.2 Doel van dit document</w:t>
      </w:r>
    </w:p>
    <w:p>
      <w:pPr>
        <w:spacing w:after="120"/>
      </w:pPr>
      <w:r>
        <w:rPr>
          <w:rFonts w:ascii="Arial" w:cs="Arial" w:eastAsia="Arial" w:hAnsi="Arial"/>
          <w:b w:val="false"/>
          <w:bCs w:val="false"/>
          <w:i w:val="false"/>
          <w:iCs w:val="false"/>
          <w:sz w:val="21"/>
          <w:szCs w:val="21"/>
        </w:rPr>
        <w:t xml:space="preserve">Dit herziene adviesdocument beoordeelt de huidige staat van het platform na de doorontwikkeling en beschrijft twee scenario’s om het systeem naar productie te brengen:</w:t>
      </w:r>
    </w:p>
    <w:p>
      <w:pPr>
        <w:pStyle w:val="ListParagraph"/>
        <w:numPr>
          <w:ilvl w:val="0"/>
          <w:numId w:val="2"/>
        </w:numPr>
        <w:spacing w:after="60"/>
      </w:pPr>
      <w:r>
        <w:rPr>
          <w:rFonts w:ascii="Arial" w:cs="Arial" w:eastAsia="Arial" w:hAnsi="Arial"/>
          <w:sz w:val="21"/>
          <w:szCs w:val="21"/>
        </w:rPr>
        <w:t xml:space="preserve">Scenario A — MVP: minimale vervanging van het huidige Drupal-systeem</w:t>
      </w:r>
    </w:p>
    <w:p>
      <w:pPr>
        <w:pStyle w:val="ListParagraph"/>
        <w:numPr>
          <w:ilvl w:val="0"/>
          <w:numId w:val="2"/>
        </w:numPr>
        <w:spacing w:after="60"/>
      </w:pPr>
      <w:r>
        <w:rPr>
          <w:rFonts w:ascii="Arial" w:cs="Arial" w:eastAsia="Arial" w:hAnsi="Arial"/>
          <w:sz w:val="21"/>
          <w:szCs w:val="21"/>
        </w:rPr>
        <w:t xml:space="preserve">Scenario B — Volledig: doorontwikkeling naar een volwaardig productieplatform voor alle gemeenten</w:t>
      </w:r>
    </w:p>
    <w:p>
      <w:pPr>
        <w:pStyle w:val="Heading2"/>
        <w:spacing w:after="160" w:before="280"/>
      </w:pPr>
      <w:r>
        <w:rPr>
          <w:rFonts w:ascii="Arial" w:cs="Arial" w:eastAsia="Arial" w:hAnsi="Arial"/>
          <w:b/>
          <w:bCs/>
          <w:color w:val="1A6CA8"/>
          <w:sz w:val="26"/>
          <w:szCs w:val="26"/>
        </w:rPr>
        <w:t xml:space="preserve">1.3 Over AI-gestuurde ontwikkeling</w:t>
      </w:r>
    </w:p>
    <w:p>
      <w:pPr>
        <w:spacing w:after="120"/>
      </w:pPr>
      <w:r>
        <w:rPr>
          <w:rFonts w:ascii="Arial" w:cs="Arial" w:eastAsia="Arial" w:hAnsi="Arial"/>
          <w:b w:val="false"/>
          <w:bCs w:val="false"/>
          <w:i w:val="false"/>
          <w:iCs w:val="false"/>
          <w:sz w:val="21"/>
          <w:szCs w:val="21"/>
        </w:rPr>
        <w:t xml:space="preserve">Het platform is ontwikkeld met behulp van AI-gestuurde softwareontwikkeling (Claude Code). Dit verdient een nuancering die essentieel is voor de juiste verwachtingen:</w:t>
      </w:r>
    </w:p>
    <w:p>
      <w:pPr>
        <w:spacing w:after="120"/>
      </w:pPr>
      <w:r>
        <w:rPr>
          <w:rFonts w:ascii="Arial" w:cs="Arial" w:eastAsia="Arial" w:hAnsi="Arial"/>
          <w:b/>
          <w:bCs/>
          <w:i w:val="false"/>
          <w:iCs w:val="false"/>
          <w:sz w:val="21"/>
          <w:szCs w:val="21"/>
        </w:rPr>
        <w:t xml:space="preserve">AI-gestuurde ontwikkeling versnelt het ontwikkelproces enorm. Wat traditioneel maanden kost, kan in dagen worden gerealiseerd. Dit is echter alleen mogelijk wanneer de ontwikkelaar beschikt over diepgaande kennis van:</w:t>
      </w:r>
    </w:p>
    <w:p>
      <w:pPr>
        <w:pStyle w:val="ListParagraph"/>
        <w:numPr>
          <w:ilvl w:val="0"/>
          <w:numId w:val="2"/>
        </w:numPr>
        <w:spacing w:after="60"/>
      </w:pPr>
      <w:r>
        <w:rPr>
          <w:rFonts w:ascii="Arial" w:cs="Arial" w:eastAsia="Arial" w:hAnsi="Arial"/>
          <w:sz w:val="21"/>
          <w:szCs w:val="21"/>
        </w:rPr>
        <w:t xml:space="preserve">Softwarearchitectuur — gelaagdheid, scheiding van verantwoordelijkheden, design patterns</w:t>
      </w:r>
    </w:p>
    <w:p>
      <w:pPr>
        <w:pStyle w:val="ListParagraph"/>
        <w:numPr>
          <w:ilvl w:val="0"/>
          <w:numId w:val="2"/>
        </w:numPr>
        <w:spacing w:after="60"/>
      </w:pPr>
      <w:r>
        <w:rPr>
          <w:rFonts w:ascii="Arial" w:cs="Arial" w:eastAsia="Arial" w:hAnsi="Arial"/>
          <w:sz w:val="21"/>
          <w:szCs w:val="21"/>
        </w:rPr>
        <w:t xml:space="preserve">Softwareontwikkeling — frameworks, talen, tooling, versiebeheer, CI/CD</w:t>
      </w:r>
    </w:p>
    <w:p>
      <w:pPr>
        <w:pStyle w:val="ListParagraph"/>
        <w:numPr>
          <w:ilvl w:val="0"/>
          <w:numId w:val="2"/>
        </w:numPr>
        <w:spacing w:after="60"/>
      </w:pPr>
      <w:r>
        <w:rPr>
          <w:rFonts w:ascii="Arial" w:cs="Arial" w:eastAsia="Arial" w:hAnsi="Arial"/>
          <w:sz w:val="21"/>
          <w:szCs w:val="21"/>
        </w:rPr>
        <w:t xml:space="preserve">Usability en UX-design — gebruikersinteractie, toegankelijkheid, responsive design</w:t>
      </w:r>
    </w:p>
    <w:p>
      <w:pPr>
        <w:pStyle w:val="ListParagraph"/>
        <w:numPr>
          <w:ilvl w:val="0"/>
          <w:numId w:val="2"/>
        </w:numPr>
        <w:spacing w:after="60"/>
      </w:pPr>
      <w:r>
        <w:rPr>
          <w:rFonts w:ascii="Arial" w:cs="Arial" w:eastAsia="Arial" w:hAnsi="Arial"/>
          <w:sz w:val="21"/>
          <w:szCs w:val="21"/>
        </w:rPr>
        <w:t xml:space="preserve">Non-functionele eisen — schaalbaarheid, performance, security, privacy, beschikbaarheid</w:t>
      </w:r>
    </w:p>
    <w:p>
      <w:pPr>
        <w:pStyle w:val="ListParagraph"/>
        <w:numPr>
          <w:ilvl w:val="0"/>
          <w:numId w:val="2"/>
        </w:numPr>
        <w:spacing w:after="60"/>
      </w:pPr>
      <w:r>
        <w:rPr>
          <w:rFonts w:ascii="Arial" w:cs="Arial" w:eastAsia="Arial" w:hAnsi="Arial"/>
          <w:sz w:val="21"/>
          <w:szCs w:val="21"/>
        </w:rPr>
        <w:t xml:space="preserve">Domeinkennis — GEMMA-architectuur, gemeentelijke ICT, standaarden, begrippenkaders</w:t>
      </w:r>
    </w:p>
    <w:p>
      <w:pPr>
        <w:pStyle w:val="ListParagraph"/>
        <w:numPr>
          <w:ilvl w:val="0"/>
          <w:numId w:val="2"/>
        </w:numPr>
        <w:spacing w:after="60"/>
      </w:pPr>
      <w:r>
        <w:rPr>
          <w:rFonts w:ascii="Arial" w:cs="Arial" w:eastAsia="Arial" w:hAnsi="Arial"/>
          <w:sz w:val="21"/>
          <w:szCs w:val="21"/>
        </w:rPr>
        <w:t xml:space="preserve">Open standaarden — Linked Data, REST API-design, NL-SBB, SKOS, DCAT, MIM</w:t>
      </w:r>
    </w:p>
    <w:p>
      <w:pPr>
        <w:spacing w:after="120"/>
      </w:pPr>
      <w:r>
        <w:rPr>
          <w:rFonts w:ascii="Arial" w:cs="Arial" w:eastAsia="Arial" w:hAnsi="Arial"/>
          <w:b w:val="false"/>
          <w:bCs w:val="false"/>
          <w:i w:val="false"/>
          <w:iCs w:val="false"/>
          <w:sz w:val="21"/>
          <w:szCs w:val="21"/>
        </w:rPr>
        <w:t xml:space="preserve">AI is een krachtig gereedschap, maar geen vervanging voor vakmanschap. De kwaliteit van het eindresultaat wordt bepaald door de kwaliteit van de architectuurbeslissingen, de kennis van non-functionals en het vermogen om de juiste vragen te stellen. Zonder deze expertise levert AI-ontwikkeling weliswaar snel code op, maar niet noodzakelijk de juiste oplossing.</w:t>
      </w:r>
    </w:p>
    <w:p>
      <w:pPr>
        <w:spacing w:after="120"/>
      </w:pPr>
      <w:r>
        <w:rPr>
          <w:rFonts w:ascii="Arial" w:cs="Arial" w:eastAsia="Arial" w:hAnsi="Arial"/>
          <w:b w:val="false"/>
          <w:bCs w:val="false"/>
          <w:i w:val="false"/>
          <w:iCs w:val="false"/>
          <w:sz w:val="21"/>
          <w:szCs w:val="21"/>
        </w:rPr>
        <w:t xml:space="preserve">De meerwaarde van de AI-gestuurde aanpak zit in de combinatie: een ervaren architect die weet wat er gebouwd moet worden, ondersteund door AI die het bouwproces versnelt. Dit verklaart waarom het platform in korte tijd zoveel functionaliteit bevat én waarom de architecturele kwaliteit (gelaagdheid, API-design, datamodel) op niveau is.</w:t>
      </w:r>
    </w:p>
    <w:p>
      <w:r>
        <w:br w:type="page"/>
      </w:r>
    </w:p>
    <w:p>
      <w:pPr>
        <w:pStyle w:val="Heading1"/>
        <w:spacing w:after="200" w:before="360"/>
      </w:pPr>
      <w:r>
        <w:rPr>
          <w:rFonts w:ascii="Arial" w:cs="Arial" w:eastAsia="Arial" w:hAnsi="Arial"/>
          <w:b/>
          <w:bCs/>
          <w:color w:val="1A6CA8"/>
          <w:sz w:val="32"/>
          <w:szCs w:val="32"/>
        </w:rPr>
        <w:t xml:space="preserve">2. Huidige staat van het platform</w:t>
      </w:r>
    </w:p>
    <w:p>
      <w:pPr>
        <w:spacing w:after="120"/>
      </w:pPr>
      <w:r>
        <w:rPr>
          <w:rFonts w:ascii="Arial" w:cs="Arial" w:eastAsia="Arial" w:hAnsi="Arial"/>
          <w:b w:val="false"/>
          <w:bCs w:val="false"/>
          <w:i w:val="false"/>
          <w:iCs w:val="false"/>
          <w:sz w:val="21"/>
          <w:szCs w:val="21"/>
        </w:rPr>
        <w:t xml:space="preserve">Het platform is doorontwikkeld van een basisprototype naar een functioneel rijke applicatie. Hieronder een overzicht van de gerealiseerde functionaliteit en de resterende aandachtspunten.</w:t>
      </w:r>
    </w:p>
    <w:p>
      <w:pPr>
        <w:pStyle w:val="Heading2"/>
        <w:spacing w:after="160" w:before="280"/>
      </w:pPr>
      <w:r>
        <w:rPr>
          <w:rFonts w:ascii="Arial" w:cs="Arial" w:eastAsia="Arial" w:hAnsi="Arial"/>
          <w:b/>
          <w:bCs/>
          <w:color w:val="1A6CA8"/>
          <w:sz w:val="26"/>
          <w:szCs w:val="26"/>
        </w:rPr>
        <w:t xml:space="preserve">2.1 Gerealiseerde functionaliteit</w:t>
      </w:r>
    </w:p>
    <w:p>
      <w:pPr>
        <w:spacing w:after="120"/>
      </w:pPr>
      <w:r>
        <w:rPr>
          <w:rFonts w:ascii="Arial" w:cs="Arial" w:eastAsia="Arial" w:hAnsi="Arial"/>
          <w:b w:val="false"/>
          <w:bCs w:val="false"/>
          <w:i w:val="false"/>
          <w:iCs w:val="false"/>
          <w:sz w:val="21"/>
          <w:szCs w:val="21"/>
        </w:rPr>
        <w:t xml:space="preserve">Het platform bevat inmiddels de volgende hoofdfuncties:</w:t>
      </w:r>
    </w:p>
    <w:p>
      <w:pPr>
        <w:pStyle w:val="Heading3"/>
        <w:spacing w:after="120" w:before="200"/>
      </w:pPr>
      <w:r>
        <w:rPr>
          <w:rFonts w:ascii="Arial" w:cs="Arial" w:eastAsia="Arial" w:hAnsi="Arial"/>
          <w:b/>
          <w:bCs/>
          <w:color w:val="333333"/>
          <w:sz w:val="22"/>
          <w:szCs w:val="22"/>
        </w:rPr>
        <w:t xml:space="preserve">Datacatalogi</w:t>
      </w:r>
    </w:p>
    <w:p>
      <w:pPr>
        <w:pStyle w:val="ListParagraph"/>
        <w:numPr>
          <w:ilvl w:val="0"/>
          <w:numId w:val="2"/>
        </w:numPr>
        <w:spacing w:after="60"/>
      </w:pPr>
      <w:r>
        <w:rPr>
          <w:rFonts w:ascii="Arial" w:cs="Arial" w:eastAsia="Arial" w:hAnsi="Arial"/>
          <w:sz w:val="21"/>
          <w:szCs w:val="21"/>
        </w:rPr>
        <w:t xml:space="preserve">Pakketten — overzicht met zoeken, filteren, paginering en CSV-export</w:t>
      </w:r>
    </w:p>
    <w:p>
      <w:pPr>
        <w:pStyle w:val="ListParagraph"/>
        <w:numPr>
          <w:ilvl w:val="0"/>
          <w:numId w:val="2"/>
        </w:numPr>
        <w:spacing w:after="60"/>
      </w:pPr>
      <w:r>
        <w:rPr>
          <w:rFonts w:ascii="Arial" w:cs="Arial" w:eastAsia="Arial" w:hAnsi="Arial"/>
          <w:sz w:val="21"/>
          <w:szCs w:val="21"/>
        </w:rPr>
        <w:t xml:space="preserve">Leveranciers — met contactgegevens, pakketaanbod en CSV-export</w:t>
      </w:r>
    </w:p>
    <w:p>
      <w:pPr>
        <w:pStyle w:val="ListParagraph"/>
        <w:numPr>
          <w:ilvl w:val="0"/>
          <w:numId w:val="2"/>
        </w:numPr>
        <w:spacing w:after="60"/>
      </w:pPr>
      <w:r>
        <w:rPr>
          <w:rFonts w:ascii="Arial" w:cs="Arial" w:eastAsia="Arial" w:hAnsi="Arial"/>
          <w:sz w:val="21"/>
          <w:szCs w:val="21"/>
        </w:rPr>
        <w:t xml:space="preserve">Gemeenten — 389 gemeenten met voortgangsindicator (sterren), CSV-export en anonimisatietool</w:t>
      </w:r>
    </w:p>
    <w:p>
      <w:pPr>
        <w:pStyle w:val="ListParagraph"/>
        <w:numPr>
          <w:ilvl w:val="0"/>
          <w:numId w:val="2"/>
        </w:numPr>
        <w:spacing w:after="60"/>
      </w:pPr>
      <w:r>
        <w:rPr>
          <w:rFonts w:ascii="Arial" w:cs="Arial" w:eastAsia="Arial" w:hAnsi="Arial"/>
          <w:sz w:val="21"/>
          <w:szCs w:val="21"/>
        </w:rPr>
        <w:t xml:space="preserve">Standaarden — met versies en pakketdekking</w:t>
      </w:r>
    </w:p>
    <w:p>
      <w:pPr>
        <w:pStyle w:val="ListParagraph"/>
        <w:numPr>
          <w:ilvl w:val="0"/>
          <w:numId w:val="2"/>
        </w:numPr>
        <w:spacing w:after="60"/>
      </w:pPr>
      <w:r>
        <w:rPr>
          <w:rFonts w:ascii="Arial" w:cs="Arial" w:eastAsia="Arial" w:hAnsi="Arial"/>
          <w:sz w:val="21"/>
          <w:szCs w:val="21"/>
        </w:rPr>
        <w:t xml:space="preserve">Referentiecomponenten — gekoppeld aan GEMMA Online</w:t>
      </w:r>
    </w:p>
    <w:p>
      <w:pPr>
        <w:pStyle w:val="ListParagraph"/>
        <w:numPr>
          <w:ilvl w:val="0"/>
          <w:numId w:val="2"/>
        </w:numPr>
        <w:spacing w:after="60"/>
      </w:pPr>
      <w:r>
        <w:rPr>
          <w:rFonts w:ascii="Arial" w:cs="Arial" w:eastAsia="Arial" w:hAnsi="Arial"/>
          <w:sz w:val="21"/>
          <w:szCs w:val="21"/>
        </w:rPr>
        <w:t xml:space="preserve">Begrippenkader — live opgehaald uit SKOSMOS (NL-SBB), configureerbare vocabulaires</w:t>
      </w:r>
    </w:p>
    <w:p>
      <w:pPr>
        <w:pStyle w:val="Heading3"/>
        <w:spacing w:after="120" w:before="200"/>
      </w:pPr>
      <w:r>
        <w:rPr>
          <w:rFonts w:ascii="Arial" w:cs="Arial" w:eastAsia="Arial" w:hAnsi="Arial"/>
          <w:b/>
          <w:bCs/>
          <w:color w:val="333333"/>
          <w:sz w:val="22"/>
          <w:szCs w:val="22"/>
        </w:rPr>
        <w:t xml:space="preserve">Analyse en beslissingsondersteuning</w:t>
      </w:r>
    </w:p>
    <w:p>
      <w:pPr>
        <w:pStyle w:val="ListParagraph"/>
        <w:numPr>
          <w:ilvl w:val="0"/>
          <w:numId w:val="2"/>
        </w:numPr>
        <w:spacing w:after="60"/>
      </w:pPr>
      <w:r>
        <w:rPr>
          <w:rFonts w:ascii="Arial" w:cs="Arial" w:eastAsia="Arial" w:hAnsi="Arial"/>
          <w:sz w:val="21"/>
          <w:szCs w:val="21"/>
        </w:rPr>
        <w:t xml:space="preserve">Persoonlijk dashboard — 5 tabbladen met KPI-kaarten, pakketten, koppelingen, suggesties</w:t>
      </w:r>
    </w:p>
    <w:p>
      <w:pPr>
        <w:pStyle w:val="ListParagraph"/>
        <w:numPr>
          <w:ilvl w:val="0"/>
          <w:numId w:val="2"/>
        </w:numPr>
        <w:spacing w:after="60"/>
      </w:pPr>
      <w:r>
        <w:rPr>
          <w:rFonts w:ascii="Arial" w:cs="Arial" w:eastAsia="Arial" w:hAnsi="Arial"/>
          <w:sz w:val="21"/>
          <w:szCs w:val="21"/>
        </w:rPr>
        <w:t xml:space="preserve">AI-adviseur — Claude-gestuurde analyse van applicatieportfolio’s met HTML-geformateerd advies</w:t>
      </w:r>
    </w:p>
    <w:p>
      <w:pPr>
        <w:pStyle w:val="ListParagraph"/>
        <w:numPr>
          <w:ilvl w:val="0"/>
          <w:numId w:val="2"/>
        </w:numPr>
        <w:spacing w:after="60"/>
      </w:pPr>
      <w:r>
        <w:rPr>
          <w:rFonts w:ascii="Arial" w:cs="Arial" w:eastAsia="Arial" w:hAnsi="Arial"/>
          <w:sz w:val="21"/>
          <w:szCs w:val="21"/>
        </w:rPr>
        <w:t xml:space="preserve">Compliancy Monitor — matrix van pakketten versus standaarden</w:t>
      </w:r>
    </w:p>
    <w:p>
      <w:pPr>
        <w:pStyle w:val="ListParagraph"/>
        <w:numPr>
          <w:ilvl w:val="0"/>
          <w:numId w:val="2"/>
        </w:numPr>
        <w:spacing w:after="60"/>
      </w:pPr>
      <w:r>
        <w:rPr>
          <w:rFonts w:ascii="Arial" w:cs="Arial" w:eastAsia="Arial" w:hAnsi="Arial"/>
          <w:sz w:val="21"/>
          <w:szCs w:val="21"/>
        </w:rPr>
        <w:t xml:space="preserve">Inkoopondersteuning — selectie van referentiecomponenten met pakketaanbevelingen</w:t>
      </w:r>
    </w:p>
    <w:p>
      <w:pPr>
        <w:pStyle w:val="ListParagraph"/>
        <w:numPr>
          <w:ilvl w:val="0"/>
          <w:numId w:val="2"/>
        </w:numPr>
        <w:spacing w:after="60"/>
      </w:pPr>
      <w:r>
        <w:rPr>
          <w:rFonts w:ascii="Arial" w:cs="Arial" w:eastAsia="Arial" w:hAnsi="Arial"/>
          <w:sz w:val="21"/>
          <w:szCs w:val="21"/>
        </w:rPr>
        <w:t xml:space="preserve">Gemeenten vergelijken — zij-aan-zij vergelijking van applicatieportfolio’s</w:t>
      </w:r>
    </w:p>
    <w:p>
      <w:pPr>
        <w:pStyle w:val="ListParagraph"/>
        <w:numPr>
          <w:ilvl w:val="0"/>
          <w:numId w:val="2"/>
        </w:numPr>
        <w:spacing w:after="60"/>
      </w:pPr>
      <w:r>
        <w:rPr>
          <w:rFonts w:ascii="Arial" w:cs="Arial" w:eastAsia="Arial" w:hAnsi="Arial"/>
          <w:sz w:val="21"/>
          <w:szCs w:val="21"/>
        </w:rPr>
        <w:t xml:space="preserve">Interactieve kaart — kaart van Nederland met gemeenten en applicatielandschap</w:t>
      </w:r>
    </w:p>
    <w:p>
      <w:pPr>
        <w:pStyle w:val="Heading3"/>
        <w:spacing w:after="120" w:before="200"/>
      </w:pPr>
      <w:r>
        <w:rPr>
          <w:rFonts w:ascii="Arial" w:cs="Arial" w:eastAsia="Arial" w:hAnsi="Arial"/>
          <w:b/>
          <w:bCs/>
          <w:color w:val="333333"/>
          <w:sz w:val="22"/>
          <w:szCs w:val="22"/>
        </w:rPr>
        <w:t xml:space="preserve">Technische mogelijkheden</w:t>
      </w:r>
    </w:p>
    <w:p>
      <w:pPr>
        <w:pStyle w:val="ListParagraph"/>
        <w:numPr>
          <w:ilvl w:val="0"/>
          <w:numId w:val="2"/>
        </w:numPr>
        <w:spacing w:after="60"/>
      </w:pPr>
      <w:r>
        <w:rPr>
          <w:rFonts w:ascii="Arial" w:cs="Arial" w:eastAsia="Arial" w:hAnsi="Arial"/>
          <w:sz w:val="21"/>
          <w:szCs w:val="21"/>
        </w:rPr>
        <w:t xml:space="preserve">REST API — OpenAPI 3.0 met Swagger UI, paginatie, zoeken en include-parameters</w:t>
      </w:r>
    </w:p>
    <w:p>
      <w:pPr>
        <w:pStyle w:val="ListParagraph"/>
        <w:numPr>
          <w:ilvl w:val="0"/>
          <w:numId w:val="2"/>
        </w:numPr>
        <w:spacing w:after="60"/>
      </w:pPr>
      <w:r>
        <w:rPr>
          <w:rFonts w:ascii="Arial" w:cs="Arial" w:eastAsia="Arial" w:hAnsi="Arial"/>
          <w:sz w:val="21"/>
          <w:szCs w:val="21"/>
        </w:rPr>
        <w:t xml:space="preserve">Linked Data — publicatie als JSON-LD, Turtle en RDF/XML met DCAT-catalogus</w:t>
      </w:r>
    </w:p>
    <w:p>
      <w:pPr>
        <w:pStyle w:val="ListParagraph"/>
        <w:numPr>
          <w:ilvl w:val="0"/>
          <w:numId w:val="2"/>
        </w:numPr>
        <w:spacing w:after="60"/>
      </w:pPr>
      <w:r>
        <w:rPr>
          <w:rFonts w:ascii="Arial" w:cs="Arial" w:eastAsia="Arial" w:hAnsi="Arial"/>
          <w:sz w:val="21"/>
          <w:szCs w:val="21"/>
        </w:rPr>
        <w:t xml:space="preserve">Content negotiation — via Accept header of ?format= parameter</w:t>
      </w:r>
    </w:p>
    <w:p>
      <w:pPr>
        <w:pStyle w:val="ListParagraph"/>
        <w:numPr>
          <w:ilvl w:val="0"/>
          <w:numId w:val="2"/>
        </w:numPr>
        <w:spacing w:after="60"/>
      </w:pPr>
      <w:r>
        <w:rPr>
          <w:rFonts w:ascii="Arial" w:cs="Arial" w:eastAsia="Arial" w:hAnsi="Arial"/>
          <w:sz w:val="21"/>
          <w:szCs w:val="21"/>
        </w:rPr>
        <w:t xml:space="preserve">Fuzzy zoeken — globale zoekmachine over 6 contenttypen met pg_trgm</w:t>
      </w:r>
    </w:p>
    <w:p>
      <w:pPr>
        <w:pStyle w:val="ListParagraph"/>
        <w:numPr>
          <w:ilvl w:val="0"/>
          <w:numId w:val="2"/>
        </w:numPr>
        <w:spacing w:after="60"/>
      </w:pPr>
      <w:r>
        <w:rPr>
          <w:rFonts w:ascii="Arial" w:cs="Arial" w:eastAsia="Arial" w:hAnsi="Arial"/>
          <w:sz w:val="21"/>
          <w:szCs w:val="21"/>
        </w:rPr>
        <w:t xml:space="preserve">Begrippen tooltips — automatische markering in teksten met live SKOSMOS-definities</w:t>
      </w:r>
    </w:p>
    <w:p>
      <w:pPr>
        <w:pStyle w:val="Heading3"/>
        <w:spacing w:after="120" w:before="200"/>
      </w:pPr>
      <w:r>
        <w:rPr>
          <w:rFonts w:ascii="Arial" w:cs="Arial" w:eastAsia="Arial" w:hAnsi="Arial"/>
          <w:b/>
          <w:bCs/>
          <w:color w:val="333333"/>
          <w:sz w:val="22"/>
          <w:szCs w:val="22"/>
        </w:rPr>
        <w:t xml:space="preserve">Beheer en documentatie</w:t>
      </w:r>
    </w:p>
    <w:p>
      <w:pPr>
        <w:pStyle w:val="ListParagraph"/>
        <w:numPr>
          <w:ilvl w:val="0"/>
          <w:numId w:val="2"/>
        </w:numPr>
        <w:spacing w:after="60"/>
      </w:pPr>
      <w:r>
        <w:rPr>
          <w:rFonts w:ascii="Arial" w:cs="Arial" w:eastAsia="Arial" w:hAnsi="Arial"/>
          <w:sz w:val="21"/>
          <w:szCs w:val="21"/>
        </w:rPr>
        <w:t xml:space="preserve">Beheerdashboard — gebruikersbeheer, registraties, audit log, statistieken</w:t>
      </w:r>
    </w:p>
    <w:p>
      <w:pPr>
        <w:pStyle w:val="ListParagraph"/>
        <w:numPr>
          <w:ilvl w:val="0"/>
          <w:numId w:val="2"/>
        </w:numPr>
        <w:spacing w:after="60"/>
      </w:pPr>
      <w:r>
        <w:rPr>
          <w:rFonts w:ascii="Arial" w:cs="Arial" w:eastAsia="Arial" w:hAnsi="Arial"/>
          <w:sz w:val="21"/>
          <w:szCs w:val="21"/>
        </w:rPr>
        <w:t xml:space="preserve">Data-import — CSV, JSON en Excel upload</w:t>
      </w:r>
    </w:p>
    <w:p>
      <w:pPr>
        <w:pStyle w:val="ListParagraph"/>
        <w:numPr>
          <w:ilvl w:val="0"/>
          <w:numId w:val="2"/>
        </w:numPr>
        <w:spacing w:after="60"/>
      </w:pPr>
      <w:r>
        <w:rPr>
          <w:rFonts w:ascii="Arial" w:cs="Arial" w:eastAsia="Arial" w:hAnsi="Arial"/>
          <w:sz w:val="21"/>
          <w:szCs w:val="21"/>
        </w:rPr>
        <w:t xml:space="preserve">GEMMA-synchronisatie — automatische import van GEMMA-data</w:t>
      </w:r>
    </w:p>
    <w:p>
      <w:pPr>
        <w:pStyle w:val="ListParagraph"/>
        <w:numPr>
          <w:ilvl w:val="0"/>
          <w:numId w:val="2"/>
        </w:numPr>
        <w:spacing w:after="60"/>
      </w:pPr>
      <w:r>
        <w:rPr>
          <w:rFonts w:ascii="Arial" w:cs="Arial" w:eastAsia="Arial" w:hAnsi="Arial"/>
          <w:sz w:val="21"/>
          <w:szCs w:val="21"/>
        </w:rPr>
        <w:t xml:space="preserve">Demo draaiboek — 17 secties met links en toelichting per onderdeel</w:t>
      </w:r>
    </w:p>
    <w:p>
      <w:pPr>
        <w:pStyle w:val="ListParagraph"/>
        <w:numPr>
          <w:ilvl w:val="0"/>
          <w:numId w:val="2"/>
        </w:numPr>
        <w:spacing w:after="60"/>
      </w:pPr>
      <w:r>
        <w:rPr>
          <w:rFonts w:ascii="Arial" w:cs="Arial" w:eastAsia="Arial" w:hAnsi="Arial"/>
          <w:sz w:val="21"/>
          <w:szCs w:val="21"/>
        </w:rPr>
        <w:t xml:space="preserve">PvE-analyse — 104 eisen geanalyseerd, dynamisch dekkingspercentage</w:t>
      </w:r>
    </w:p>
    <w:p>
      <w:pPr>
        <w:pStyle w:val="ListParagraph"/>
        <w:numPr>
          <w:ilvl w:val="0"/>
          <w:numId w:val="2"/>
        </w:numPr>
        <w:spacing w:after="60"/>
      </w:pPr>
      <w:r>
        <w:rPr>
          <w:rFonts w:ascii="Arial" w:cs="Arial" w:eastAsia="Arial" w:hAnsi="Arial"/>
          <w:sz w:val="21"/>
          <w:szCs w:val="21"/>
        </w:rPr>
        <w:t xml:space="preserve">Datamodel (MIM 1.2) — 21 objecttypen, volledig gedocumenteerd</w:t>
      </w:r>
    </w:p>
    <w:p>
      <w:pPr>
        <w:pStyle w:val="ListParagraph"/>
        <w:numPr>
          <w:ilvl w:val="0"/>
          <w:numId w:val="2"/>
        </w:numPr>
        <w:spacing w:after="60"/>
      </w:pPr>
      <w:r>
        <w:rPr>
          <w:rFonts w:ascii="Arial" w:cs="Arial" w:eastAsia="Arial" w:hAnsi="Arial"/>
          <w:sz w:val="21"/>
          <w:szCs w:val="21"/>
        </w:rPr>
        <w:t xml:space="preserve">Regeneratie-prompt — volledige instructieset voor AI-regeneratie van de applicatie</w:t>
      </w:r>
    </w:p>
    <w:p>
      <w:pPr>
        <w:pStyle w:val="ListParagraph"/>
        <w:numPr>
          <w:ilvl w:val="0"/>
          <w:numId w:val="2"/>
        </w:numPr>
        <w:spacing w:after="60"/>
      </w:pPr>
      <w:r>
        <w:rPr>
          <w:rFonts w:ascii="Arial" w:cs="Arial" w:eastAsia="Arial" w:hAnsi="Arial"/>
          <w:sz w:val="21"/>
          <w:szCs w:val="21"/>
        </w:rPr>
        <w:t xml:space="preserve">Deploy naar productie — één-klik deployment met live terminal output</w:t>
      </w:r>
    </w:p>
    <w:p>
      <w:pPr>
        <w:pStyle w:val="Heading3"/>
        <w:spacing w:after="120" w:before="200"/>
      </w:pPr>
      <w:r>
        <w:rPr>
          <w:rFonts w:ascii="Arial" w:cs="Arial" w:eastAsia="Arial" w:hAnsi="Arial"/>
          <w:b/>
          <w:bCs/>
          <w:color w:val="333333"/>
          <w:sz w:val="22"/>
          <w:szCs w:val="22"/>
        </w:rPr>
        <w:t xml:space="preserve">UX en toegankelijkheid</w:t>
      </w:r>
    </w:p>
    <w:p>
      <w:pPr>
        <w:pStyle w:val="ListParagraph"/>
        <w:numPr>
          <w:ilvl w:val="0"/>
          <w:numId w:val="2"/>
        </w:numPr>
        <w:spacing w:after="60"/>
      </w:pPr>
      <w:r>
        <w:rPr>
          <w:rFonts w:ascii="Arial" w:cs="Arial" w:eastAsia="Arial" w:hAnsi="Arial"/>
          <w:sz w:val="21"/>
          <w:szCs w:val="21"/>
        </w:rPr>
        <w:t xml:space="preserve">Loading skeletons — animated loading states op alle lijstpagina’s</w:t>
      </w:r>
    </w:p>
    <w:p>
      <w:pPr>
        <w:pStyle w:val="ListParagraph"/>
        <w:numPr>
          <w:ilvl w:val="0"/>
          <w:numId w:val="2"/>
        </w:numPr>
        <w:spacing w:after="60"/>
      </w:pPr>
      <w:r>
        <w:rPr>
          <w:rFonts w:ascii="Arial" w:cs="Arial" w:eastAsia="Arial" w:hAnsi="Arial"/>
          <w:sz w:val="21"/>
          <w:szCs w:val="21"/>
        </w:rPr>
        <w:t xml:space="preserve">Keyboard shortcuts — / voor zoeken, Escape voor sluiten</w:t>
      </w:r>
    </w:p>
    <w:p>
      <w:pPr>
        <w:pStyle w:val="ListParagraph"/>
        <w:numPr>
          <w:ilvl w:val="0"/>
          <w:numId w:val="2"/>
        </w:numPr>
        <w:spacing w:after="60"/>
      </w:pPr>
      <w:r>
        <w:rPr>
          <w:rFonts w:ascii="Arial" w:cs="Arial" w:eastAsia="Arial" w:hAnsi="Arial"/>
          <w:sz w:val="21"/>
          <w:szCs w:val="21"/>
        </w:rPr>
        <w:t xml:space="preserve">Breadcrumbs — navigatiepaden op alle detailpagina’s</w:t>
      </w:r>
    </w:p>
    <w:p>
      <w:pPr>
        <w:pStyle w:val="ListParagraph"/>
        <w:numPr>
          <w:ilvl w:val="0"/>
          <w:numId w:val="2"/>
        </w:numPr>
        <w:spacing w:after="60"/>
      </w:pPr>
      <w:r>
        <w:rPr>
          <w:rFonts w:ascii="Arial" w:cs="Arial" w:eastAsia="Arial" w:hAnsi="Arial"/>
          <w:sz w:val="21"/>
          <w:szCs w:val="21"/>
        </w:rPr>
        <w:t xml:space="preserve">Responsive design — mobiel, tablet en desktop</w:t>
      </w:r>
    </w:p>
    <w:p>
      <w:pPr>
        <w:pStyle w:val="ListParagraph"/>
        <w:numPr>
          <w:ilvl w:val="0"/>
          <w:numId w:val="2"/>
        </w:numPr>
        <w:spacing w:after="60"/>
      </w:pPr>
      <w:r>
        <w:rPr>
          <w:rFonts w:ascii="Arial" w:cs="Arial" w:eastAsia="Arial" w:hAnsi="Arial"/>
          <w:sz w:val="21"/>
          <w:szCs w:val="21"/>
        </w:rPr>
        <w:t xml:space="preserve">Dark mode ondersteuning</w:t>
      </w:r>
    </w:p>
    <w:p>
      <w:pPr>
        <w:pStyle w:val="Heading2"/>
        <w:spacing w:after="160" w:before="280"/>
      </w:pPr>
      <w:r>
        <w:rPr>
          <w:rFonts w:ascii="Arial" w:cs="Arial" w:eastAsia="Arial" w:hAnsi="Arial"/>
          <w:b/>
          <w:bCs/>
          <w:color w:val="1A6CA8"/>
          <w:sz w:val="26"/>
          <w:szCs w:val="26"/>
        </w:rPr>
        <w:t xml:space="preserve">2.2 Resterende aandachtspunten</w:t>
      </w:r>
    </w:p>
    <w:p>
      <w:pPr>
        <w:spacing w:after="120"/>
      </w:pPr>
      <w:r>
        <w:rPr>
          <w:rFonts w:ascii="Arial" w:cs="Arial" w:eastAsia="Arial" w:hAnsi="Arial"/>
          <w:b w:val="false"/>
          <w:bCs w:val="false"/>
          <w:i w:val="false"/>
          <w:iCs w:val="false"/>
          <w:sz w:val="21"/>
          <w:szCs w:val="21"/>
        </w:rPr>
        <w:t xml:space="preserve">Ondanks de uitgebreide functionaliteit mist het platform nog enkele essentiële lagen voor productiegebruik:</w:t>
      </w:r>
    </w:p>
    <w:p>
      <w:pPr>
        <w:pStyle w:val="Heading3"/>
        <w:spacing w:after="120" w:before="200"/>
      </w:pPr>
      <w:r>
        <w:rPr>
          <w:rFonts w:ascii="Arial" w:cs="Arial" w:eastAsia="Arial" w:hAnsi="Arial"/>
          <w:b/>
          <w:bCs/>
          <w:color w:val="333333"/>
          <w:sz w:val="22"/>
          <w:szCs w:val="22"/>
        </w:rPr>
        <w:t xml:space="preserve">Beveiliging</w:t>
      </w:r>
    </w:p>
    <w:p>
      <w:pPr>
        <w:pStyle w:val="ListParagraph"/>
        <w:numPr>
          <w:ilvl w:val="0"/>
          <w:numId w:val="2"/>
        </w:numPr>
        <w:spacing w:after="60"/>
      </w:pPr>
      <w:r>
        <w:rPr>
          <w:rFonts w:ascii="Arial" w:cs="Arial" w:eastAsia="Arial" w:hAnsi="Arial"/>
          <w:sz w:val="21"/>
          <w:szCs w:val="21"/>
        </w:rPr>
        <w:t xml:space="preserve">Geen rate limiting op API-endpoints en loginpagina</w:t>
      </w:r>
    </w:p>
    <w:p>
      <w:pPr>
        <w:pStyle w:val="ListParagraph"/>
        <w:numPr>
          <w:ilvl w:val="0"/>
          <w:numId w:val="2"/>
        </w:numPr>
        <w:spacing w:after="60"/>
      </w:pPr>
      <w:r>
        <w:rPr>
          <w:rFonts w:ascii="Arial" w:cs="Arial" w:eastAsia="Arial" w:hAnsi="Arial"/>
          <w:sz w:val="21"/>
          <w:szCs w:val="21"/>
        </w:rPr>
        <w:t xml:space="preserve">Geen multi-factor authenticatie (MFA)</w:t>
      </w:r>
    </w:p>
    <w:p>
      <w:pPr>
        <w:pStyle w:val="ListParagraph"/>
        <w:numPr>
          <w:ilvl w:val="0"/>
          <w:numId w:val="2"/>
        </w:numPr>
        <w:spacing w:after="60"/>
      </w:pPr>
      <w:r>
        <w:rPr>
          <w:rFonts w:ascii="Arial" w:cs="Arial" w:eastAsia="Arial" w:hAnsi="Arial"/>
          <w:sz w:val="21"/>
          <w:szCs w:val="21"/>
        </w:rPr>
        <w:t xml:space="preserve">Geen wachtwoordbeleid (minimale lengte, complexiteit)</w:t>
      </w:r>
    </w:p>
    <w:p>
      <w:pPr>
        <w:pStyle w:val="Heading3"/>
        <w:spacing w:after="120" w:before="200"/>
      </w:pPr>
      <w:r>
        <w:rPr>
          <w:rFonts w:ascii="Arial" w:cs="Arial" w:eastAsia="Arial" w:hAnsi="Arial"/>
          <w:b/>
          <w:bCs/>
          <w:color w:val="333333"/>
          <w:sz w:val="22"/>
          <w:szCs w:val="22"/>
        </w:rPr>
        <w:t xml:space="preserve">Infrastructuur</w:t>
      </w:r>
    </w:p>
    <w:p>
      <w:pPr>
        <w:pStyle w:val="ListParagraph"/>
        <w:numPr>
          <w:ilvl w:val="0"/>
          <w:numId w:val="2"/>
        </w:numPr>
        <w:spacing w:after="60"/>
      </w:pPr>
      <w:r>
        <w:rPr>
          <w:rFonts w:ascii="Arial" w:cs="Arial" w:eastAsia="Arial" w:hAnsi="Arial"/>
          <w:sz w:val="21"/>
          <w:szCs w:val="21"/>
        </w:rPr>
        <w:t xml:space="preserve">Geen CI/CD-pipeline: deployment via CLI of admin-dashboard</w:t>
      </w:r>
    </w:p>
    <w:p>
      <w:pPr>
        <w:pStyle w:val="ListParagraph"/>
        <w:numPr>
          <w:ilvl w:val="0"/>
          <w:numId w:val="2"/>
        </w:numPr>
        <w:spacing w:after="60"/>
      </w:pPr>
      <w:r>
        <w:rPr>
          <w:rFonts w:ascii="Arial" w:cs="Arial" w:eastAsia="Arial" w:hAnsi="Arial"/>
          <w:sz w:val="21"/>
          <w:szCs w:val="21"/>
        </w:rPr>
        <w:t xml:space="preserve">Geen staging-omgeving (OTAP)</w:t>
      </w:r>
    </w:p>
    <w:p>
      <w:pPr>
        <w:pStyle w:val="ListParagraph"/>
        <w:numPr>
          <w:ilvl w:val="0"/>
          <w:numId w:val="2"/>
        </w:numPr>
        <w:spacing w:after="60"/>
      </w:pPr>
      <w:r>
        <w:rPr>
          <w:rFonts w:ascii="Arial" w:cs="Arial" w:eastAsia="Arial" w:hAnsi="Arial"/>
          <w:sz w:val="21"/>
          <w:szCs w:val="21"/>
        </w:rPr>
        <w:t xml:space="preserve">Geen monitoring of alerting (Sentry, Datadog)</w:t>
      </w:r>
    </w:p>
    <w:p>
      <w:pPr>
        <w:pStyle w:val="Heading3"/>
        <w:spacing w:after="120" w:before="200"/>
      </w:pPr>
      <w:r>
        <w:rPr>
          <w:rFonts w:ascii="Arial" w:cs="Arial" w:eastAsia="Arial" w:hAnsi="Arial"/>
          <w:b/>
          <w:bCs/>
          <w:color w:val="333333"/>
          <w:sz w:val="22"/>
          <w:szCs w:val="22"/>
        </w:rPr>
        <w:t xml:space="preserve">Kwaliteit</w:t>
      </w:r>
    </w:p>
    <w:p>
      <w:pPr>
        <w:pStyle w:val="ListParagraph"/>
        <w:numPr>
          <w:ilvl w:val="0"/>
          <w:numId w:val="2"/>
        </w:numPr>
        <w:spacing w:after="60"/>
      </w:pPr>
      <w:r>
        <w:rPr>
          <w:rFonts w:ascii="Arial" w:cs="Arial" w:eastAsia="Arial" w:hAnsi="Arial"/>
          <w:sz w:val="21"/>
          <w:szCs w:val="21"/>
        </w:rPr>
        <w:t xml:space="preserve">Geen geautomatiseerde tests (unit, integratie, end-to-end)</w:t>
      </w:r>
    </w:p>
    <w:p>
      <w:pPr>
        <w:pStyle w:val="ListParagraph"/>
        <w:numPr>
          <w:ilvl w:val="0"/>
          <w:numId w:val="2"/>
        </w:numPr>
        <w:spacing w:after="60"/>
      </w:pPr>
      <w:r>
        <w:rPr>
          <w:rFonts w:ascii="Arial" w:cs="Arial" w:eastAsia="Arial" w:hAnsi="Arial"/>
          <w:sz w:val="21"/>
          <w:szCs w:val="21"/>
        </w:rPr>
        <w:t xml:space="preserve">Geen accessibility audit (WCAG 2.1 AA)</w:t>
      </w:r>
    </w:p>
    <w:p>
      <w:pPr>
        <w:pStyle w:val="Heading3"/>
        <w:spacing w:after="120" w:before="200"/>
      </w:pPr>
      <w:r>
        <w:rPr>
          <w:rFonts w:ascii="Arial" w:cs="Arial" w:eastAsia="Arial" w:hAnsi="Arial"/>
          <w:b/>
          <w:bCs/>
          <w:color w:val="333333"/>
          <w:sz w:val="22"/>
          <w:szCs w:val="22"/>
        </w:rPr>
        <w:t xml:space="preserve">Compliance</w:t>
      </w:r>
    </w:p>
    <w:p>
      <w:pPr>
        <w:pStyle w:val="ListParagraph"/>
        <w:numPr>
          <w:ilvl w:val="0"/>
          <w:numId w:val="2"/>
        </w:numPr>
        <w:spacing w:after="60"/>
      </w:pPr>
      <w:r>
        <w:rPr>
          <w:rFonts w:ascii="Arial" w:cs="Arial" w:eastAsia="Arial" w:hAnsi="Arial"/>
          <w:sz w:val="21"/>
          <w:szCs w:val="21"/>
        </w:rPr>
        <w:t xml:space="preserve">Geen AVG/GDPR-verwerkingsregister</w:t>
      </w:r>
    </w:p>
    <w:p>
      <w:pPr>
        <w:pStyle w:val="ListParagraph"/>
        <w:numPr>
          <w:ilvl w:val="0"/>
          <w:numId w:val="2"/>
        </w:numPr>
        <w:spacing w:after="60"/>
      </w:pPr>
      <w:r>
        <w:rPr>
          <w:rFonts w:ascii="Arial" w:cs="Arial" w:eastAsia="Arial" w:hAnsi="Arial"/>
          <w:sz w:val="21"/>
          <w:szCs w:val="21"/>
        </w:rPr>
        <w:t xml:space="preserve">Geen cookie-banner of privacyverklaring</w:t>
      </w:r>
    </w:p>
    <w:p>
      <w:pPr>
        <w:pStyle w:val="ListParagraph"/>
        <w:numPr>
          <w:ilvl w:val="0"/>
          <w:numId w:val="2"/>
        </w:numPr>
        <w:spacing w:after="60"/>
      </w:pPr>
      <w:r>
        <w:rPr>
          <w:rFonts w:ascii="Arial" w:cs="Arial" w:eastAsia="Arial" w:hAnsi="Arial"/>
          <w:sz w:val="21"/>
          <w:szCs w:val="21"/>
        </w:rPr>
        <w:t xml:space="preserve">Geen penetratietest uitgevoerd</w:t>
      </w:r>
    </w:p>
    <w:p>
      <w:pPr>
        <w:pStyle w:val="ListParagraph"/>
        <w:numPr>
          <w:ilvl w:val="0"/>
          <w:numId w:val="2"/>
        </w:numPr>
        <w:spacing w:after="60"/>
      </w:pPr>
      <w:r>
        <w:rPr>
          <w:rFonts w:ascii="Arial" w:cs="Arial" w:eastAsia="Arial" w:hAnsi="Arial"/>
          <w:sz w:val="21"/>
          <w:szCs w:val="21"/>
        </w:rPr>
        <w:t xml:space="preserve">Geen BIO-toetsing</w:t>
      </w:r>
    </w:p>
    <w:p>
      <w:r>
        <w:br w:type="page"/>
      </w:r>
    </w:p>
    <w:p>
      <w:pPr>
        <w:pStyle w:val="Heading1"/>
        <w:spacing w:after="200" w:before="360"/>
      </w:pPr>
      <w:r>
        <w:rPr>
          <w:rFonts w:ascii="Arial" w:cs="Arial" w:eastAsia="Arial" w:hAnsi="Arial"/>
          <w:b/>
          <w:bCs/>
          <w:color w:val="1A6CA8"/>
          <w:sz w:val="32"/>
          <w:szCs w:val="32"/>
        </w:rPr>
        <w:t xml:space="preserve">3. Benodigde inspanning</w:t>
      </w:r>
    </w:p>
    <w:p>
      <w:pPr>
        <w:spacing w:after="120"/>
      </w:pPr>
      <w:r>
        <w:rPr>
          <w:rFonts w:ascii="Arial" w:cs="Arial" w:eastAsia="Arial" w:hAnsi="Arial"/>
          <w:b w:val="false"/>
          <w:bCs w:val="false"/>
          <w:i w:val="false"/>
          <w:iCs w:val="false"/>
          <w:sz w:val="21"/>
          <w:szCs w:val="21"/>
        </w:rPr>
        <w:t xml:space="preserve">De onderstaande tabel categoriseert de resterende werkzaamheden. Door de reeds gerealiseerde functionaliteit is de lijst korter dan in de oorspronkelijke versie van dit advies.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626"/>
      </w:tblGrid>
      <w:tr>
        <w:tc>
          <w:tcPr>
            <w:tcW w:type="dxa" w:w="1200"/>
            <w:tcBorders>
              <w:top w:val="single" w:color="CCCCCC" w:sz="1"/>
              <w:left w:val="single" w:color="CCCCCC" w:sz="1"/>
              <w:bottom w:val="single" w:color="CCCCCC" w:sz="1"/>
              <w:right w:val="single" w:color="CCCCCC" w:sz="1"/>
            </w:tcBorders>
            <w:shd w:fill="1A6CA8" w:val="clear"/>
            <w:tcMar>
              <w:top w:type="dxa" w:w="60"/>
              <w:left w:type="dxa" w:w="100"/>
              <w:bottom w:type="dxa" w:w="60"/>
              <w:right w:type="dxa" w:w="100"/>
            </w:tcMar>
          </w:tcPr>
          <w:p>
            <w:r>
              <w:rPr>
                <w:rFonts w:ascii="Arial" w:cs="Arial" w:eastAsia="Arial" w:hAnsi="Arial"/>
                <w:b/>
                <w:bCs/>
                <w:color w:val="FFFFFF"/>
                <w:sz w:val="20"/>
                <w:szCs w:val="20"/>
              </w:rPr>
              <w:t xml:space="preserve">Omvang</w:t>
            </w:r>
          </w:p>
        </w:tc>
        <w:tc>
          <w:tcPr>
            <w:tcW w:type="dxa" w:w="3200"/>
            <w:tcBorders>
              <w:top w:val="single" w:color="CCCCCC" w:sz="1"/>
              <w:left w:val="single" w:color="CCCCCC" w:sz="1"/>
              <w:bottom w:val="single" w:color="CCCCCC" w:sz="1"/>
              <w:right w:val="single" w:color="CCCCCC" w:sz="1"/>
            </w:tcBorders>
            <w:shd w:fill="1A6CA8" w:val="clear"/>
            <w:tcMar>
              <w:top w:type="dxa" w:w="60"/>
              <w:left w:type="dxa" w:w="100"/>
              <w:bottom w:type="dxa" w:w="60"/>
              <w:right w:type="dxa" w:w="100"/>
            </w:tcMar>
          </w:tcPr>
          <w:p>
            <w:r>
              <w:rPr>
                <w:rFonts w:ascii="Arial" w:cs="Arial" w:eastAsia="Arial" w:hAnsi="Arial"/>
                <w:b/>
                <w:bCs/>
                <w:color w:val="FFFFFF"/>
                <w:sz w:val="20"/>
                <w:szCs w:val="20"/>
              </w:rPr>
              <w:t xml:space="preserve">Onderdeel</w:t>
            </w:r>
          </w:p>
        </w:tc>
        <w:tc>
          <w:tcPr>
            <w:tcW w:type="dxa" w:w="4626"/>
            <w:tcBorders>
              <w:top w:val="single" w:color="CCCCCC" w:sz="1"/>
              <w:left w:val="single" w:color="CCCCCC" w:sz="1"/>
              <w:bottom w:val="single" w:color="CCCCCC" w:sz="1"/>
              <w:right w:val="single" w:color="CCCCCC" w:sz="1"/>
            </w:tcBorders>
            <w:shd w:fill="1A6CA8" w:val="clear"/>
            <w:tcMar>
              <w:top w:type="dxa" w:w="60"/>
              <w:left w:type="dxa" w:w="100"/>
              <w:bottom w:type="dxa" w:w="60"/>
              <w:right w:type="dxa" w:w="100"/>
            </w:tcMar>
          </w:tcPr>
          <w:p>
            <w:r>
              <w:rPr>
                <w:rFonts w:ascii="Arial" w:cs="Arial" w:eastAsia="Arial" w:hAnsi="Arial"/>
                <w:b/>
                <w:bCs/>
                <w:color w:val="FFFFFF"/>
                <w:sz w:val="20"/>
                <w:szCs w:val="20"/>
              </w:rPr>
              <w:t xml:space="preserve">Toelichting</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Wachtwoordbeleid</w:t>
            </w:r>
          </w:p>
        </w:tc>
        <w:tc>
          <w:tcPr>
            <w:tcW w:type="dxa" w:w="46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Minimale lengte, complexiteitseisen</w:t>
            </w:r>
          </w:p>
        </w:tc>
      </w:tr>
      <w:tr>
        <w:tc>
          <w:tcPr>
            <w:tcW w:type="dxa" w:w="120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b/>
                <w:bCs/>
                <w:sz w:val="20"/>
                <w:szCs w:val="20"/>
              </w:rPr>
              <w:t xml:space="preserve">S</w:t>
            </w:r>
          </w:p>
        </w:tc>
        <w:tc>
          <w:tcPr>
            <w:tcW w:type="dxa" w:w="320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b w:val="false"/>
                <w:bCs w:val="false"/>
                <w:sz w:val="20"/>
                <w:szCs w:val="20"/>
              </w:rPr>
              <w:t xml:space="preserve">Rate limiting</w:t>
            </w:r>
          </w:p>
        </w:tc>
        <w:tc>
          <w:tcPr>
            <w:tcW w:type="dxa" w:w="4626"/>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b w:val="false"/>
                <w:bCs w:val="false"/>
                <w:sz w:val="20"/>
                <w:szCs w:val="20"/>
              </w:rPr>
              <w:t xml:space="preserve">Bescherming tegen brute-force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Cookie-banner</w:t>
            </w:r>
          </w:p>
        </w:tc>
        <w:tc>
          <w:tcPr>
            <w:tcW w:type="dxa" w:w="46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AVG-conforme cookiemelding</w:t>
            </w:r>
          </w:p>
        </w:tc>
      </w:tr>
      <w:tr>
        <w:tc>
          <w:tcPr>
            <w:tcW w:type="dxa" w:w="120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b/>
                <w:bCs/>
                <w:sz w:val="20"/>
                <w:szCs w:val="20"/>
              </w:rPr>
              <w:t xml:space="preserve">S</w:t>
            </w:r>
          </w:p>
        </w:tc>
        <w:tc>
          <w:tcPr>
            <w:tcW w:type="dxa" w:w="320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b w:val="false"/>
                <w:bCs w:val="false"/>
                <w:sz w:val="20"/>
                <w:szCs w:val="20"/>
              </w:rPr>
              <w:t xml:space="preserve">Error boundaries</w:t>
            </w:r>
          </w:p>
        </w:tc>
        <w:tc>
          <w:tcPr>
            <w:tcW w:type="dxa" w:w="4626"/>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b w:val="false"/>
                <w:bCs w:val="false"/>
                <w:sz w:val="20"/>
                <w:szCs w:val="20"/>
              </w:rPr>
              <w:t xml:space="preserve">Graceful error handling in de UI</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M</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CI/CD-pipeline</w:t>
            </w:r>
          </w:p>
        </w:tc>
        <w:tc>
          <w:tcPr>
            <w:tcW w:type="dxa" w:w="46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Geautomatiseerde build, lint en typecheck</w:t>
            </w:r>
          </w:p>
        </w:tc>
      </w:tr>
      <w:tr>
        <w:tc>
          <w:tcPr>
            <w:tcW w:type="dxa" w:w="120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b/>
                <w:bCs/>
                <w:sz w:val="20"/>
                <w:szCs w:val="20"/>
              </w:rPr>
              <w:t xml:space="preserve">M</w:t>
            </w:r>
          </w:p>
        </w:tc>
        <w:tc>
          <w:tcPr>
            <w:tcW w:type="dxa" w:w="320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b w:val="false"/>
                <w:bCs w:val="false"/>
                <w:sz w:val="20"/>
                <w:szCs w:val="20"/>
              </w:rPr>
              <w:t xml:space="preserve">Staging-omgeving</w:t>
            </w:r>
          </w:p>
        </w:tc>
        <w:tc>
          <w:tcPr>
            <w:tcW w:type="dxa" w:w="4626"/>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b w:val="false"/>
                <w:bCs w:val="false"/>
                <w:sz w:val="20"/>
                <w:szCs w:val="20"/>
              </w:rPr>
              <w:t xml:space="preserve">OTAP voor testen voor deployment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M</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Basis e2e-tests</w:t>
            </w:r>
          </w:p>
        </w:tc>
        <w:tc>
          <w:tcPr>
            <w:tcW w:type="dxa" w:w="46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10-15 happy path tests (Playwright)</w:t>
            </w:r>
          </w:p>
        </w:tc>
      </w:tr>
      <w:tr>
        <w:tc>
          <w:tcPr>
            <w:tcW w:type="dxa" w:w="120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b/>
                <w:bCs/>
                <w:sz w:val="20"/>
                <w:szCs w:val="20"/>
              </w:rPr>
              <w:t xml:space="preserve">M</w:t>
            </w:r>
          </w:p>
        </w:tc>
        <w:tc>
          <w:tcPr>
            <w:tcW w:type="dxa" w:w="320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b w:val="false"/>
                <w:bCs w:val="false"/>
                <w:sz w:val="20"/>
                <w:szCs w:val="20"/>
              </w:rPr>
              <w:t xml:space="preserve">MFA-ondersteuning</w:t>
            </w:r>
          </w:p>
        </w:tc>
        <w:tc>
          <w:tcPr>
            <w:tcW w:type="dxa" w:w="4626"/>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b w:val="false"/>
                <w:bCs w:val="false"/>
                <w:sz w:val="20"/>
                <w:szCs w:val="20"/>
              </w:rPr>
              <w:t xml:space="preserve">TOTP-gebaseerde tweede factor</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M</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Monitoring en alerting</w:t>
            </w:r>
          </w:p>
        </w:tc>
        <w:tc>
          <w:tcPr>
            <w:tcW w:type="dxa" w:w="46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Sentry of Datadog + alerting</w:t>
            </w:r>
          </w:p>
        </w:tc>
      </w:tr>
      <w:tr>
        <w:tc>
          <w:tcPr>
            <w:tcW w:type="dxa" w:w="120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b/>
                <w:bCs/>
                <w:sz w:val="20"/>
                <w:szCs w:val="20"/>
              </w:rPr>
              <w:t xml:space="preserve">M</w:t>
            </w:r>
          </w:p>
        </w:tc>
        <w:tc>
          <w:tcPr>
            <w:tcW w:type="dxa" w:w="320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b w:val="false"/>
                <w:bCs w:val="false"/>
                <w:sz w:val="20"/>
                <w:szCs w:val="20"/>
              </w:rPr>
              <w:t xml:space="preserve">WCAG-audit</w:t>
            </w:r>
          </w:p>
        </w:tc>
        <w:tc>
          <w:tcPr>
            <w:tcW w:type="dxa" w:w="4626"/>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b w:val="false"/>
                <w:bCs w:val="false"/>
                <w:sz w:val="20"/>
                <w:szCs w:val="20"/>
              </w:rPr>
              <w:t xml:space="preserve">Toegankelijkheidstoets en fixes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L</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Uitgebreide testsuite</w:t>
            </w:r>
          </w:p>
        </w:tc>
        <w:tc>
          <w:tcPr>
            <w:tcW w:type="dxa" w:w="46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Unit, integratie, e2e (&gt;70% coverage)</w:t>
            </w:r>
          </w:p>
        </w:tc>
      </w:tr>
      <w:tr>
        <w:tc>
          <w:tcPr>
            <w:tcW w:type="dxa" w:w="120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b/>
                <w:bCs/>
                <w:sz w:val="20"/>
                <w:szCs w:val="20"/>
              </w:rPr>
              <w:t xml:space="preserve">L</w:t>
            </w:r>
          </w:p>
        </w:tc>
        <w:tc>
          <w:tcPr>
            <w:tcW w:type="dxa" w:w="320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b w:val="false"/>
                <w:bCs w:val="false"/>
                <w:sz w:val="20"/>
                <w:szCs w:val="20"/>
              </w:rPr>
              <w:t xml:space="preserve">Penetratietest</w:t>
            </w:r>
          </w:p>
        </w:tc>
        <w:tc>
          <w:tcPr>
            <w:tcW w:type="dxa" w:w="4626"/>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b w:val="false"/>
                <w:bCs w:val="false"/>
                <w:sz w:val="20"/>
                <w:szCs w:val="20"/>
              </w:rPr>
              <w:t xml:space="preserve">Door gecertificeerde externe partij</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L</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AVG/GDPR-compliance</w:t>
            </w:r>
          </w:p>
        </w:tc>
        <w:tc>
          <w:tcPr>
            <w:tcW w:type="dxa" w:w="46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Verwerkingsregister en DPIA</w:t>
            </w:r>
          </w:p>
        </w:tc>
      </w:tr>
      <w:tr>
        <w:tc>
          <w:tcPr>
            <w:tcW w:type="dxa" w:w="120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b/>
                <w:bCs/>
                <w:sz w:val="20"/>
                <w:szCs w:val="20"/>
              </w:rPr>
              <w:t xml:space="preserve">L</w:t>
            </w:r>
          </w:p>
        </w:tc>
        <w:tc>
          <w:tcPr>
            <w:tcW w:type="dxa" w:w="320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b w:val="false"/>
                <w:bCs w:val="false"/>
                <w:sz w:val="20"/>
                <w:szCs w:val="20"/>
              </w:rPr>
              <w:t xml:space="preserve">Fijnmazige autorisatie</w:t>
            </w:r>
          </w:p>
        </w:tc>
        <w:tc>
          <w:tcPr>
            <w:tcW w:type="dxa" w:w="4626"/>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b w:val="false"/>
                <w:bCs w:val="false"/>
                <w:sz w:val="20"/>
                <w:szCs w:val="20"/>
              </w:rPr>
              <w:t xml:space="preserve">Rollen en rechten per gemeente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L</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Backup en disaster recovery</w:t>
            </w:r>
          </w:p>
        </w:tc>
        <w:tc>
          <w:tcPr>
            <w:tcW w:type="dxa" w:w="46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Geteste restore met RPO/RTO</w:t>
            </w:r>
          </w:p>
        </w:tc>
      </w:tr>
      <w:tr>
        <w:tc>
          <w:tcPr>
            <w:tcW w:type="dxa" w:w="120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b/>
                <w:bCs/>
                <w:sz w:val="20"/>
                <w:szCs w:val="20"/>
              </w:rPr>
              <w:t xml:space="preserve">L</w:t>
            </w:r>
          </w:p>
        </w:tc>
        <w:tc>
          <w:tcPr>
            <w:tcW w:type="dxa" w:w="320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b w:val="false"/>
                <w:bCs w:val="false"/>
                <w:sz w:val="20"/>
                <w:szCs w:val="20"/>
              </w:rPr>
              <w:t xml:space="preserve">SLA-waardige hosting</w:t>
            </w:r>
          </w:p>
        </w:tc>
        <w:tc>
          <w:tcPr>
            <w:tcW w:type="dxa" w:w="4626"/>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b w:val="false"/>
                <w:bCs w:val="false"/>
                <w:sz w:val="20"/>
                <w:szCs w:val="20"/>
              </w:rPr>
              <w:t xml:space="preserve">Professionele hosting met SLA</w:t>
            </w:r>
          </w:p>
        </w:tc>
      </w:tr>
    </w:tbl>
    <w:p>
      <w:pPr>
        <w:spacing w:after="120"/>
      </w:pPr>
      <w:r>
        <w:rPr>
          <w:rFonts w:ascii="Arial" w:cs="Arial" w:eastAsia="Arial" w:hAnsi="Arial"/>
          <w:b w:val="false"/>
          <w:bCs w:val="false"/>
          <w:i w:val="false"/>
          <w:iCs w:val="false"/>
          <w:sz w:val="21"/>
          <w:szCs w:val="21"/>
        </w:rPr>
        <w:t xml:space="preserve"/>
      </w:r>
    </w:p>
    <w:p>
      <w:pPr>
        <w:spacing w:after="120"/>
      </w:pPr>
      <w:r>
        <w:rPr>
          <w:rFonts w:ascii="Arial" w:cs="Arial" w:eastAsia="Arial" w:hAnsi="Arial"/>
          <w:b w:val="false"/>
          <w:bCs w:val="false"/>
          <w:i/>
          <w:iCs/>
          <w:sz w:val="21"/>
          <w:szCs w:val="21"/>
        </w:rPr>
        <w:t xml:space="preserve">Opmerking: items zoals REST API, Linked Data, documentatie, zoeken, CSV-export, loading states en keyboard shortcuts zijn reeds gerealiseerd en niet meer opgenomen in deze lijst.</w:t>
      </w:r>
    </w:p>
    <w:p>
      <w:pPr>
        <w:pStyle w:val="Heading2"/>
        <w:spacing w:after="160" w:before="280"/>
      </w:pPr>
      <w:r>
        <w:rPr>
          <w:rFonts w:ascii="Arial" w:cs="Arial" w:eastAsia="Arial" w:hAnsi="Arial"/>
          <w:b/>
          <w:bCs/>
          <w:color w:val="1A6CA8"/>
          <w:sz w:val="26"/>
          <w:szCs w:val="26"/>
        </w:rPr>
        <w:t xml:space="preserve">3.1 Doorlooptijd</w:t>
      </w:r>
    </w:p>
    <w:p>
      <w:pPr>
        <w:spacing w:after="120"/>
      </w:pPr>
      <w:r>
        <w:rPr>
          <w:rFonts w:ascii="Arial" w:cs="Arial" w:eastAsia="Arial" w:hAnsi="Arial"/>
          <w:b w:val="false"/>
          <w:bCs w:val="false"/>
          <w:i w:val="false"/>
          <w:iCs w:val="false"/>
          <w:sz w:val="21"/>
          <w:szCs w:val="21"/>
        </w:rPr>
        <w:t xml:space="preserve">De doorontwikkeling naar productie kan gefaseerd worden uitgevoerd. ArchiXL werkt met AI-gestuurde ontwikkeling, wat de doorlooptijd aanzienlijk verkort.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026"/>
      </w:tblGrid>
      <w:tr>
        <w:tc>
          <w:tcPr>
            <w:tcW w:type="dxa" w:w="3500"/>
            <w:tcBorders>
              <w:top w:val="single" w:color="CCCCCC" w:sz="1"/>
              <w:left w:val="single" w:color="CCCCCC" w:sz="1"/>
              <w:bottom w:val="single" w:color="CCCCCC" w:sz="1"/>
              <w:right w:val="single" w:color="CCCCCC" w:sz="1"/>
            </w:tcBorders>
            <w:shd w:fill="1A6CA8" w:val="clear"/>
            <w:tcMar>
              <w:top w:type="dxa" w:w="60"/>
              <w:left w:type="dxa" w:w="100"/>
              <w:bottom w:type="dxa" w:w="60"/>
              <w:right w:type="dxa" w:w="100"/>
            </w:tcMar>
          </w:tcPr>
          <w:p>
            <w:r>
              <w:rPr>
                <w:rFonts w:ascii="Arial" w:cs="Arial" w:eastAsia="Arial" w:hAnsi="Arial"/>
                <w:b/>
                <w:bCs/>
                <w:color w:val="FFFFFF"/>
                <w:sz w:val="20"/>
                <w:szCs w:val="20"/>
              </w:rPr>
              <w:t xml:space="preserve">Fase</w:t>
            </w:r>
          </w:p>
        </w:tc>
        <w:tc>
          <w:tcPr>
            <w:tcW w:type="dxa" w:w="2500"/>
            <w:tcBorders>
              <w:top w:val="single" w:color="CCCCCC" w:sz="1"/>
              <w:left w:val="single" w:color="CCCCCC" w:sz="1"/>
              <w:bottom w:val="single" w:color="CCCCCC" w:sz="1"/>
              <w:right w:val="single" w:color="CCCCCC" w:sz="1"/>
            </w:tcBorders>
            <w:shd w:fill="1A6CA8" w:val="clear"/>
            <w:tcMar>
              <w:top w:type="dxa" w:w="60"/>
              <w:left w:type="dxa" w:w="100"/>
              <w:bottom w:type="dxa" w:w="60"/>
              <w:right w:type="dxa" w:w="100"/>
            </w:tcMar>
          </w:tcPr>
          <w:p>
            <w:r>
              <w:rPr>
                <w:rFonts w:ascii="Arial" w:cs="Arial" w:eastAsia="Arial" w:hAnsi="Arial"/>
                <w:b/>
                <w:bCs/>
                <w:color w:val="FFFFFF"/>
                <w:sz w:val="20"/>
                <w:szCs w:val="20"/>
              </w:rPr>
              <w:t xml:space="preserve">Doorlooptijd</w:t>
            </w:r>
          </w:p>
        </w:tc>
        <w:tc>
          <w:tcPr>
            <w:tcW w:type="dxa" w:w="3026"/>
            <w:tcBorders>
              <w:top w:val="single" w:color="CCCCCC" w:sz="1"/>
              <w:left w:val="single" w:color="CCCCCC" w:sz="1"/>
              <w:bottom w:val="single" w:color="CCCCCC" w:sz="1"/>
              <w:right w:val="single" w:color="CCCCCC" w:sz="1"/>
            </w:tcBorders>
            <w:shd w:fill="1A6CA8" w:val="clear"/>
            <w:tcMar>
              <w:top w:type="dxa" w:w="60"/>
              <w:left w:type="dxa" w:w="100"/>
              <w:bottom w:type="dxa" w:w="60"/>
              <w:right w:type="dxa" w:w="100"/>
            </w:tcMar>
          </w:tcPr>
          <w:p>
            <w:r>
              <w:rPr>
                <w:rFonts w:ascii="Arial" w:cs="Arial" w:eastAsia="Arial" w:hAnsi="Arial"/>
                <w:b/>
                <w:bCs/>
                <w:color w:val="FFFFFF"/>
                <w:sz w:val="20"/>
                <w:szCs w:val="20"/>
              </w:rPr>
              <w:t xml:space="preserve">Capaciteit</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Fase 1: Quick wins (S)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1–2 weken</w:t>
            </w:r>
          </w:p>
        </w:tc>
        <w:tc>
          <w:tcPr>
            <w:tcW w:type="dxa" w:w="3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 ontwikkelaar + AI</w:t>
            </w:r>
          </w:p>
        </w:tc>
      </w:tr>
      <w:tr>
        <w:tc>
          <w:tcPr>
            <w:tcW w:type="dxa" w:w="350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b/>
                <w:bCs/>
                <w:sz w:val="20"/>
                <w:szCs w:val="20"/>
              </w:rPr>
              <w:t xml:space="preserve">Fase 2: Basisniveau (M)</w:t>
            </w:r>
          </w:p>
        </w:tc>
        <w:tc>
          <w:tcPr>
            <w:tcW w:type="dxa" w:w="250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b w:val="false"/>
                <w:bCs w:val="false"/>
                <w:sz w:val="20"/>
                <w:szCs w:val="20"/>
              </w:rPr>
              <w:t xml:space="preserve">3–6 weken</w:t>
            </w:r>
          </w:p>
        </w:tc>
        <w:tc>
          <w:tcPr>
            <w:tcW w:type="dxa" w:w="3026"/>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b w:val="false"/>
                <w:bCs w:val="false"/>
                <w:sz w:val="20"/>
                <w:szCs w:val="20"/>
              </w:rPr>
              <w:t xml:space="preserve">1 ontwikkelaar + AI</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Fase 3: Productieniveau (L)</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2–3 maanden</w:t>
            </w:r>
          </w:p>
        </w:tc>
        <w:tc>
          <w:tcPr>
            <w:tcW w:type="dxa" w:w="3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 ontwikkelaar + AI + extern</w:t>
            </w:r>
          </w:p>
        </w:tc>
      </w:tr>
      <w:tr>
        <w:tc>
          <w:tcPr>
            <w:tcW w:type="dxa" w:w="350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b/>
                <w:bCs/>
                <w:sz w:val="20"/>
                <w:szCs w:val="20"/>
              </w:rPr>
              <w:t xml:space="preserve">Pilotfase</w:t>
            </w:r>
          </w:p>
        </w:tc>
        <w:tc>
          <w:tcPr>
            <w:tcW w:type="dxa" w:w="250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b w:val="false"/>
                <w:bCs w:val="false"/>
                <w:sz w:val="20"/>
                <w:szCs w:val="20"/>
              </w:rPr>
              <w:t xml:space="preserve">1–2 maanden</w:t>
            </w:r>
          </w:p>
        </w:tc>
        <w:tc>
          <w:tcPr>
            <w:tcW w:type="dxa" w:w="3026"/>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b w:val="false"/>
                <w:bCs w:val="false"/>
                <w:sz w:val="20"/>
                <w:szCs w:val="20"/>
              </w:rPr>
              <w:t xml:space="preserve">Beheerteam</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Brede uitrol</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1–2 maanden</w:t>
            </w:r>
          </w:p>
        </w:tc>
        <w:tc>
          <w:tcPr>
            <w:tcW w:type="dxa" w:w="3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Beheerteam + support</w:t>
            </w:r>
          </w:p>
        </w:tc>
      </w:tr>
    </w:tbl>
    <w:p>
      <w:pPr>
        <w:spacing w:after="120"/>
      </w:pPr>
      <w:r>
        <w:rPr>
          <w:rFonts w:ascii="Arial" w:cs="Arial" w:eastAsia="Arial" w:hAnsi="Arial"/>
          <w:b w:val="false"/>
          <w:bCs w:val="false"/>
          <w:i w:val="false"/>
          <w:iCs w:val="false"/>
          <w:sz w:val="21"/>
          <w:szCs w:val="21"/>
        </w:rPr>
        <w:t xml:space="preserve"/>
      </w:r>
    </w:p>
    <w:p>
      <w:pPr>
        <w:spacing w:after="120"/>
      </w:pPr>
      <w:r>
        <w:rPr>
          <w:rFonts w:ascii="Arial" w:cs="Arial" w:eastAsia="Arial" w:hAnsi="Arial"/>
          <w:b w:val="false"/>
          <w:bCs w:val="false"/>
          <w:i w:val="false"/>
          <w:iCs w:val="false"/>
          <w:sz w:val="21"/>
          <w:szCs w:val="21"/>
        </w:rPr>
        <w:t xml:space="preserve">De totale doorlooptijd bedraagt circa 5–7 maanden. De bottleneck zit niet in ontwikkeling maar in externe afhankelijkheden (penetratietest, BIO-toetsing, WCAG-audit) en de pilot- en uitrolfase.</w:t>
      </w:r>
    </w:p>
    <w:p>
      <w:r>
        <w:br w:type="page"/>
      </w:r>
    </w:p>
    <w:p>
      <w:pPr>
        <w:pStyle w:val="Heading1"/>
        <w:spacing w:after="200" w:before="360"/>
      </w:pPr>
      <w:r>
        <w:rPr>
          <w:rFonts w:ascii="Arial" w:cs="Arial" w:eastAsia="Arial" w:hAnsi="Arial"/>
          <w:b/>
          <w:bCs/>
          <w:color w:val="1A6CA8"/>
          <w:sz w:val="32"/>
          <w:szCs w:val="32"/>
        </w:rPr>
        <w:t xml:space="preserve">4. Scenario A — Minimal Viable Product (MVP)</w:t>
      </w:r>
    </w:p>
    <w:p>
      <w:pPr>
        <w:spacing w:after="120"/>
      </w:pPr>
      <w:r>
        <w:rPr>
          <w:rFonts w:ascii="Arial" w:cs="Arial" w:eastAsia="Arial" w:hAnsi="Arial"/>
          <w:b w:val="false"/>
          <w:bCs w:val="false"/>
          <w:i w:val="false"/>
          <w:iCs w:val="false"/>
          <w:sz w:val="21"/>
          <w:szCs w:val="21"/>
        </w:rPr>
        <w:t xml:space="preserve">Dit scenario beantwoordt de directe nood: het vervangen van het huidige Drupal-systeem. Het MVP bouwt voort op het reeds doorontwikkelde platform en vereist daardoor minder inspanning dan oorspronkelijk geschat.</w:t>
      </w:r>
    </w:p>
    <w:p>
      <w:pPr>
        <w:pStyle w:val="Heading2"/>
        <w:spacing w:after="160" w:before="280"/>
      </w:pPr>
      <w:r>
        <w:rPr>
          <w:rFonts w:ascii="Arial" w:cs="Arial" w:eastAsia="Arial" w:hAnsi="Arial"/>
          <w:b/>
          <w:bCs/>
          <w:color w:val="1A6CA8"/>
          <w:sz w:val="26"/>
          <w:szCs w:val="26"/>
        </w:rPr>
        <w:t xml:space="preserve">4.1 Scope MVP</w:t>
      </w:r>
    </w:p>
    <w:p>
      <w:pPr>
        <w:spacing w:after="120"/>
      </w:pPr>
      <w:r>
        <w:rPr>
          <w:rFonts w:ascii="Arial" w:cs="Arial" w:eastAsia="Arial" w:hAnsi="Arial"/>
          <w:b w:val="false"/>
          <w:bCs w:val="false"/>
          <w:i w:val="false"/>
          <w:iCs w:val="false"/>
          <w:sz w:val="21"/>
          <w:szCs w:val="21"/>
        </w:rPr>
        <w:t xml:space="preserve">Het MVP omvat:</w:t>
      </w:r>
    </w:p>
    <w:p>
      <w:pPr>
        <w:pStyle w:val="ListParagraph"/>
        <w:numPr>
          <w:ilvl w:val="0"/>
          <w:numId w:val="2"/>
        </w:numPr>
        <w:spacing w:after="60"/>
      </w:pPr>
      <w:r>
        <w:rPr>
          <w:rFonts w:ascii="Arial" w:cs="Arial" w:eastAsia="Arial" w:hAnsi="Arial"/>
          <w:sz w:val="21"/>
          <w:szCs w:val="21"/>
        </w:rPr>
        <w:t xml:space="preserve">Alle reeds gerealiseerde functionaliteit (17 hoofdfuncties, API, Linked Data, AI-adviseur)</w:t>
      </w:r>
    </w:p>
    <w:p>
      <w:pPr>
        <w:pStyle w:val="ListParagraph"/>
        <w:numPr>
          <w:ilvl w:val="0"/>
          <w:numId w:val="2"/>
        </w:numPr>
        <w:spacing w:after="60"/>
      </w:pPr>
      <w:r>
        <w:rPr>
          <w:rFonts w:ascii="Arial" w:cs="Arial" w:eastAsia="Arial" w:hAnsi="Arial"/>
          <w:sz w:val="21"/>
          <w:szCs w:val="21"/>
        </w:rPr>
        <w:t xml:space="preserve">Quick wins beveiliging (S-items): rate limiting, wachtwoordbeleid, cookie-banner</w:t>
      </w:r>
    </w:p>
    <w:p>
      <w:pPr>
        <w:pStyle w:val="ListParagraph"/>
        <w:numPr>
          <w:ilvl w:val="0"/>
          <w:numId w:val="2"/>
        </w:numPr>
        <w:spacing w:after="60"/>
      </w:pPr>
      <w:r>
        <w:rPr>
          <w:rFonts w:ascii="Arial" w:cs="Arial" w:eastAsia="Arial" w:hAnsi="Arial"/>
          <w:sz w:val="21"/>
          <w:szCs w:val="21"/>
        </w:rPr>
        <w:t xml:space="preserve">Basisinfrastructuur: eenvoudige CI/CD-pipeline, Vercel Pro hosting</w:t>
      </w:r>
    </w:p>
    <w:p>
      <w:pPr>
        <w:pStyle w:val="ListParagraph"/>
        <w:numPr>
          <w:ilvl w:val="0"/>
          <w:numId w:val="2"/>
        </w:numPr>
        <w:spacing w:after="60"/>
      </w:pPr>
      <w:r>
        <w:rPr>
          <w:rFonts w:ascii="Arial" w:cs="Arial" w:eastAsia="Arial" w:hAnsi="Arial"/>
          <w:sz w:val="21"/>
          <w:szCs w:val="21"/>
        </w:rPr>
        <w:t xml:space="preserve">Datamigratie vanuit het huidige Drupal-systeem</w:t>
      </w:r>
    </w:p>
    <w:p>
      <w:pPr>
        <w:pStyle w:val="ListParagraph"/>
        <w:numPr>
          <w:ilvl w:val="0"/>
          <w:numId w:val="2"/>
        </w:numPr>
        <w:spacing w:after="60"/>
      </w:pPr>
      <w:r>
        <w:rPr>
          <w:rFonts w:ascii="Arial" w:cs="Arial" w:eastAsia="Arial" w:hAnsi="Arial"/>
          <w:sz w:val="21"/>
          <w:szCs w:val="21"/>
        </w:rPr>
        <w:t xml:space="preserve">Basismonitoring (Vercel Analytics + error tracking)</w:t>
      </w:r>
    </w:p>
    <w:p>
      <w:pPr>
        <w:spacing w:after="120"/>
      </w:pPr>
      <w:r>
        <w:rPr>
          <w:rFonts w:ascii="Arial" w:cs="Arial" w:eastAsia="Arial" w:hAnsi="Arial"/>
          <w:b w:val="false"/>
          <w:bCs w:val="false"/>
          <w:i w:val="false"/>
          <w:iCs w:val="false"/>
          <w:sz w:val="21"/>
          <w:szCs w:val="21"/>
        </w:rPr>
        <w:t xml:space="preserve">Buiten scope van het MVP:</w:t>
      </w:r>
    </w:p>
    <w:p>
      <w:pPr>
        <w:pStyle w:val="ListParagraph"/>
        <w:numPr>
          <w:ilvl w:val="0"/>
          <w:numId w:val="2"/>
        </w:numPr>
        <w:spacing w:after="60"/>
      </w:pPr>
      <w:r>
        <w:rPr>
          <w:rFonts w:ascii="Arial" w:cs="Arial" w:eastAsia="Arial" w:hAnsi="Arial"/>
          <w:sz w:val="21"/>
          <w:szCs w:val="21"/>
        </w:rPr>
        <w:t xml:space="preserve">MFA, SSO, fijnmazige autorisatie</w:t>
      </w:r>
    </w:p>
    <w:p>
      <w:pPr>
        <w:pStyle w:val="ListParagraph"/>
        <w:numPr>
          <w:ilvl w:val="0"/>
          <w:numId w:val="2"/>
        </w:numPr>
        <w:spacing w:after="60"/>
      </w:pPr>
      <w:r>
        <w:rPr>
          <w:rFonts w:ascii="Arial" w:cs="Arial" w:eastAsia="Arial" w:hAnsi="Arial"/>
          <w:sz w:val="21"/>
          <w:szCs w:val="21"/>
        </w:rPr>
        <w:t xml:space="preserve">Uitgebreide testsuite en penetratietest</w:t>
      </w:r>
    </w:p>
    <w:p>
      <w:pPr>
        <w:pStyle w:val="ListParagraph"/>
        <w:numPr>
          <w:ilvl w:val="0"/>
          <w:numId w:val="2"/>
        </w:numPr>
        <w:spacing w:after="60"/>
      </w:pPr>
      <w:r>
        <w:rPr>
          <w:rFonts w:ascii="Arial" w:cs="Arial" w:eastAsia="Arial" w:hAnsi="Arial"/>
          <w:sz w:val="21"/>
          <w:szCs w:val="21"/>
        </w:rPr>
        <w:t xml:space="preserve">BIO-toetsing, DPIA, WCAG-audit</w:t>
      </w:r>
    </w:p>
    <w:p>
      <w:pPr>
        <w:pStyle w:val="Heading2"/>
        <w:spacing w:after="160" w:before="280"/>
      </w:pPr>
      <w:r>
        <w:rPr>
          <w:rFonts w:ascii="Arial" w:cs="Arial" w:eastAsia="Arial" w:hAnsi="Arial"/>
          <w:b/>
          <w:bCs/>
          <w:color w:val="1A6CA8"/>
          <w:sz w:val="26"/>
          <w:szCs w:val="26"/>
        </w:rPr>
        <w:t xml:space="preserve">4.2 Doorlooptijd en kosten MVP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700"/>
        <w:gridCol w:w="2826"/>
      </w:tblGrid>
      <w:tr>
        <w:tc>
          <w:tcPr>
            <w:tcW w:type="dxa" w:w="3500"/>
            <w:tcBorders>
              <w:top w:val="single" w:color="CCCCCC" w:sz="1"/>
              <w:left w:val="single" w:color="CCCCCC" w:sz="1"/>
              <w:bottom w:val="single" w:color="CCCCCC" w:sz="1"/>
              <w:right w:val="single" w:color="CCCCCC" w:sz="1"/>
            </w:tcBorders>
            <w:shd w:fill="1A6CA8" w:val="clear"/>
            <w:tcMar>
              <w:top w:type="dxa" w:w="60"/>
              <w:left w:type="dxa" w:w="100"/>
              <w:bottom w:type="dxa" w:w="60"/>
              <w:right w:type="dxa" w:w="100"/>
            </w:tcMar>
          </w:tcPr>
          <w:p>
            <w:r>
              <w:rPr>
                <w:rFonts w:ascii="Arial" w:cs="Arial" w:eastAsia="Arial" w:hAnsi="Arial"/>
                <w:b/>
                <w:bCs/>
                <w:color w:val="FFFFFF"/>
                <w:sz w:val="20"/>
                <w:szCs w:val="20"/>
              </w:rPr>
              <w:t xml:space="preserve">Kostenpost</w:t>
            </w:r>
          </w:p>
        </w:tc>
        <w:tc>
          <w:tcPr>
            <w:tcW w:type="dxa" w:w="2700"/>
            <w:tcBorders>
              <w:top w:val="single" w:color="CCCCCC" w:sz="1"/>
              <w:left w:val="single" w:color="CCCCCC" w:sz="1"/>
              <w:bottom w:val="single" w:color="CCCCCC" w:sz="1"/>
              <w:right w:val="single" w:color="CCCCCC" w:sz="1"/>
            </w:tcBorders>
            <w:shd w:fill="1A6CA8" w:val="clear"/>
            <w:tcMar>
              <w:top w:type="dxa" w:w="60"/>
              <w:left w:type="dxa" w:w="100"/>
              <w:bottom w:type="dxa" w:w="60"/>
              <w:right w:type="dxa" w:w="100"/>
            </w:tcMar>
          </w:tcPr>
          <w:p>
            <w:r>
              <w:rPr>
                <w:rFonts w:ascii="Arial" w:cs="Arial" w:eastAsia="Arial" w:hAnsi="Arial"/>
                <w:b/>
                <w:bCs/>
                <w:color w:val="FFFFFF"/>
                <w:sz w:val="20"/>
                <w:szCs w:val="20"/>
              </w:rPr>
              <w:t xml:space="preserve">Eenmalig</w:t>
            </w:r>
          </w:p>
        </w:tc>
        <w:tc>
          <w:tcPr>
            <w:tcW w:type="dxa" w:w="2826"/>
            <w:tcBorders>
              <w:top w:val="single" w:color="CCCCCC" w:sz="1"/>
              <w:left w:val="single" w:color="CCCCCC" w:sz="1"/>
              <w:bottom w:val="single" w:color="CCCCCC" w:sz="1"/>
              <w:right w:val="single" w:color="CCCCCC" w:sz="1"/>
            </w:tcBorders>
            <w:shd w:fill="1A6CA8" w:val="clear"/>
            <w:tcMar>
              <w:top w:type="dxa" w:w="60"/>
              <w:left w:type="dxa" w:w="100"/>
              <w:bottom w:type="dxa" w:w="60"/>
              <w:right w:type="dxa" w:w="100"/>
            </w:tcMar>
          </w:tcPr>
          <w:p>
            <w:r>
              <w:rPr>
                <w:rFonts w:ascii="Arial" w:cs="Arial" w:eastAsia="Arial" w:hAnsi="Arial"/>
                <w:b/>
                <w:bCs/>
                <w:color w:val="FFFFFF"/>
                <w:sz w:val="20"/>
                <w:szCs w:val="20"/>
              </w:rPr>
              <w:t xml:space="preserve">Structureel / jaar</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ArchiXL: hardening en migratie</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€ 15.000 – 25.000</w:t>
            </w:r>
          </w:p>
        </w:tc>
        <w:tc>
          <w:tcPr>
            <w:tcW w:type="dxa" w:w="2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t>
            </w:r>
          </w:p>
        </w:tc>
      </w:tr>
      <w:tr>
        <w:tc>
          <w:tcPr>
            <w:tcW w:type="dxa" w:w="350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b/>
                <w:bCs/>
                <w:sz w:val="20"/>
                <w:szCs w:val="20"/>
              </w:rPr>
              <w:t xml:space="preserve">ArchiXL: hosting (Vercel Pro)</w:t>
            </w:r>
          </w:p>
        </w:tc>
        <w:tc>
          <w:tcPr>
            <w:tcW w:type="dxa" w:w="270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b w:val="false"/>
                <w:bCs w:val="false"/>
                <w:sz w:val="20"/>
                <w:szCs w:val="20"/>
              </w:rPr>
              <w:t xml:space="preserve">—</w:t>
            </w:r>
          </w:p>
        </w:tc>
        <w:tc>
          <w:tcPr>
            <w:tcW w:type="dxa" w:w="2826"/>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b w:val="false"/>
                <w:bCs w:val="false"/>
                <w:sz w:val="20"/>
                <w:szCs w:val="20"/>
              </w:rPr>
              <w:t xml:space="preserve">€ 3.000 – 6.000</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ArchiXL: technisch beheer</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t>
            </w:r>
          </w:p>
        </w:tc>
        <w:tc>
          <w:tcPr>
            <w:tcW w:type="dxa" w:w="2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€ 24.000 – 36.000</w:t>
            </w:r>
          </w:p>
        </w:tc>
      </w:tr>
      <w:tr>
        <w:tc>
          <w:tcPr>
            <w:tcW w:type="dxa" w:w="350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b/>
                <w:bCs/>
                <w:sz w:val="20"/>
                <w:szCs w:val="20"/>
              </w:rPr>
              <w:t xml:space="preserve">VNG: functioneel beheer</w:t>
            </w:r>
          </w:p>
        </w:tc>
        <w:tc>
          <w:tcPr>
            <w:tcW w:type="dxa" w:w="270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b w:val="false"/>
                <w:bCs w:val="false"/>
                <w:sz w:val="20"/>
                <w:szCs w:val="20"/>
              </w:rPr>
              <w:t xml:space="preserve">—</w:t>
            </w:r>
          </w:p>
        </w:tc>
        <w:tc>
          <w:tcPr>
            <w:tcW w:type="dxa" w:w="2826"/>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b w:val="false"/>
                <w:bCs w:val="false"/>
                <w:sz w:val="20"/>
                <w:szCs w:val="20"/>
              </w:rPr>
              <w:t xml:space="preserve">€ 15.000 – 25.000</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Totaal eenmalig</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€ 15.000 – 25.000</w:t>
            </w:r>
          </w:p>
        </w:tc>
        <w:tc>
          <w:tcPr>
            <w:tcW w:type="dxa" w:w="2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
            </w:r>
          </w:p>
        </w:tc>
      </w:tr>
      <w:tr>
        <w:tc>
          <w:tcPr>
            <w:tcW w:type="dxa" w:w="350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b/>
                <w:bCs/>
                <w:sz w:val="20"/>
                <w:szCs w:val="20"/>
              </w:rPr>
              <w:t xml:space="preserve">Totaal structureel / jaar</w:t>
            </w:r>
          </w:p>
        </w:tc>
        <w:tc>
          <w:tcPr>
            <w:tcW w:type="dxa" w:w="270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b w:val="false"/>
                <w:bCs w:val="false"/>
                <w:sz w:val="20"/>
                <w:szCs w:val="20"/>
              </w:rPr>
              <w:t xml:space="preserve"/>
            </w:r>
          </w:p>
        </w:tc>
        <w:tc>
          <w:tcPr>
            <w:tcW w:type="dxa" w:w="2826"/>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b w:val="false"/>
                <w:bCs w:val="false"/>
                <w:sz w:val="20"/>
                <w:szCs w:val="20"/>
              </w:rPr>
              <w:t xml:space="preserve">€ 42.000 – 67.000</w:t>
            </w:r>
          </w:p>
        </w:tc>
      </w:tr>
    </w:tbl>
    <w:p>
      <w:pPr>
        <w:spacing w:after="120"/>
      </w:pPr>
      <w:r>
        <w:rPr>
          <w:rFonts w:ascii="Arial" w:cs="Arial" w:eastAsia="Arial" w:hAnsi="Arial"/>
          <w:b w:val="false"/>
          <w:bCs w:val="false"/>
          <w:i w:val="false"/>
          <w:iCs w:val="false"/>
          <w:sz w:val="21"/>
          <w:szCs w:val="21"/>
        </w:rPr>
        <w:t xml:space="preserve"/>
      </w:r>
    </w:p>
    <w:p>
      <w:pPr>
        <w:spacing w:after="120"/>
      </w:pPr>
      <w:r>
        <w:rPr>
          <w:rFonts w:ascii="Arial" w:cs="Arial" w:eastAsia="Arial" w:hAnsi="Arial"/>
          <w:b w:val="false"/>
          <w:bCs w:val="false"/>
          <w:i w:val="false"/>
          <w:iCs w:val="false"/>
          <w:sz w:val="21"/>
          <w:szCs w:val="21"/>
        </w:rPr>
        <w:t xml:space="preserve">Doorlooptijd: 2–4 weken (korter dan oorspronkelijk geschat doordat het platform al verder is doorontwikkeld).</w:t>
      </w:r>
    </w:p>
    <w:p>
      <w:r>
        <w:br w:type="page"/>
      </w:r>
    </w:p>
    <w:p>
      <w:pPr>
        <w:pStyle w:val="Heading1"/>
        <w:spacing w:after="200" w:before="360"/>
      </w:pPr>
      <w:r>
        <w:rPr>
          <w:rFonts w:ascii="Arial" w:cs="Arial" w:eastAsia="Arial" w:hAnsi="Arial"/>
          <w:b/>
          <w:bCs/>
          <w:color w:val="1A6CA8"/>
          <w:sz w:val="32"/>
          <w:szCs w:val="32"/>
        </w:rPr>
        <w:t xml:space="preserve">5. Scenario B — Volledig productieplatform</w:t>
      </w:r>
    </w:p>
    <w:p>
      <w:pPr>
        <w:spacing w:after="120"/>
      </w:pPr>
      <w:r>
        <w:rPr>
          <w:rFonts w:ascii="Arial" w:cs="Arial" w:eastAsia="Arial" w:hAnsi="Arial"/>
          <w:b w:val="false"/>
          <w:bCs w:val="false"/>
          <w:i w:val="false"/>
          <w:iCs w:val="false"/>
          <w:sz w:val="21"/>
          <w:szCs w:val="21"/>
        </w:rPr>
        <w:t xml:space="preserve">Dit scenario beschrijft de volledige doorontwikkeling naar een productierijp platform voor alle gemeenten, leveranciers en de GEMMA-architectuur.</w:t>
      </w:r>
    </w:p>
    <w:p>
      <w:pPr>
        <w:pStyle w:val="Heading2"/>
        <w:spacing w:after="160" w:before="280"/>
      </w:pPr>
      <w:r>
        <w:rPr>
          <w:rFonts w:ascii="Arial" w:cs="Arial" w:eastAsia="Arial" w:hAnsi="Arial"/>
          <w:b/>
          <w:bCs/>
          <w:color w:val="1A6CA8"/>
          <w:sz w:val="26"/>
          <w:szCs w:val="26"/>
        </w:rPr>
        <w:t xml:space="preserve">5.1 Kosteninschatting</w:t>
      </w:r>
    </w:p>
    <w:p>
      <w:pPr>
        <w:pStyle w:val="Heading3"/>
        <w:spacing w:after="120" w:before="200"/>
      </w:pPr>
      <w:r>
        <w:rPr>
          <w:rFonts w:ascii="Arial" w:cs="Arial" w:eastAsia="Arial" w:hAnsi="Arial"/>
          <w:b/>
          <w:bCs/>
          <w:color w:val="333333"/>
          <w:sz w:val="22"/>
          <w:szCs w:val="22"/>
        </w:rPr>
        <w:t xml:space="preserve">Kosten ArchiXL — Ontwikkeling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700"/>
        <w:gridCol w:w="2826"/>
      </w:tblGrid>
      <w:tr>
        <w:tc>
          <w:tcPr>
            <w:tcW w:type="dxa" w:w="3500"/>
            <w:tcBorders>
              <w:top w:val="single" w:color="CCCCCC" w:sz="1"/>
              <w:left w:val="single" w:color="CCCCCC" w:sz="1"/>
              <w:bottom w:val="single" w:color="CCCCCC" w:sz="1"/>
              <w:right w:val="single" w:color="CCCCCC" w:sz="1"/>
            </w:tcBorders>
            <w:shd w:fill="1A6CA8" w:val="clear"/>
            <w:tcMar>
              <w:top w:type="dxa" w:w="60"/>
              <w:left w:type="dxa" w:w="100"/>
              <w:bottom w:type="dxa" w:w="60"/>
              <w:right w:type="dxa" w:w="100"/>
            </w:tcMar>
          </w:tcPr>
          <w:p>
            <w:r>
              <w:rPr>
                <w:rFonts w:ascii="Arial" w:cs="Arial" w:eastAsia="Arial" w:hAnsi="Arial"/>
                <w:b/>
                <w:bCs/>
                <w:color w:val="FFFFFF"/>
                <w:sz w:val="20"/>
                <w:szCs w:val="20"/>
              </w:rPr>
              <w:t xml:space="preserve">Ontwikkeling ArchiXL</w:t>
            </w:r>
          </w:p>
        </w:tc>
        <w:tc>
          <w:tcPr>
            <w:tcW w:type="dxa" w:w="2700"/>
            <w:tcBorders>
              <w:top w:val="single" w:color="CCCCCC" w:sz="1"/>
              <w:left w:val="single" w:color="CCCCCC" w:sz="1"/>
              <w:bottom w:val="single" w:color="CCCCCC" w:sz="1"/>
              <w:right w:val="single" w:color="CCCCCC" w:sz="1"/>
            </w:tcBorders>
            <w:shd w:fill="1A6CA8" w:val="clear"/>
            <w:tcMar>
              <w:top w:type="dxa" w:w="60"/>
              <w:left w:type="dxa" w:w="100"/>
              <w:bottom w:type="dxa" w:w="60"/>
              <w:right w:type="dxa" w:w="100"/>
            </w:tcMar>
          </w:tcPr>
          <w:p>
            <w:r>
              <w:rPr>
                <w:rFonts w:ascii="Arial" w:cs="Arial" w:eastAsia="Arial" w:hAnsi="Arial"/>
                <w:b/>
                <w:bCs/>
                <w:color w:val="FFFFFF"/>
                <w:sz w:val="20"/>
                <w:szCs w:val="20"/>
              </w:rPr>
              <w:t xml:space="preserve">Eenmalig</w:t>
            </w:r>
          </w:p>
        </w:tc>
        <w:tc>
          <w:tcPr>
            <w:tcW w:type="dxa" w:w="2826"/>
            <w:tcBorders>
              <w:top w:val="single" w:color="CCCCCC" w:sz="1"/>
              <w:left w:val="single" w:color="CCCCCC" w:sz="1"/>
              <w:bottom w:val="single" w:color="CCCCCC" w:sz="1"/>
              <w:right w:val="single" w:color="CCCCCC" w:sz="1"/>
            </w:tcBorders>
            <w:shd w:fill="1A6CA8" w:val="clear"/>
            <w:tcMar>
              <w:top w:type="dxa" w:w="60"/>
              <w:left w:type="dxa" w:w="100"/>
              <w:bottom w:type="dxa" w:w="60"/>
              <w:right w:type="dxa" w:w="100"/>
            </w:tcMar>
          </w:tcPr>
          <w:p>
            <w:r>
              <w:rPr>
                <w:rFonts w:ascii="Arial" w:cs="Arial" w:eastAsia="Arial" w:hAnsi="Arial"/>
                <w:b/>
                <w:bCs/>
                <w:color w:val="FFFFFF"/>
                <w:sz w:val="20"/>
                <w:szCs w:val="20"/>
              </w:rPr>
              <w:t xml:space="preserve">Toelichting</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Fase 1: Quick wins (S)</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€ 5.000 – 10.000</w:t>
            </w:r>
          </w:p>
        </w:tc>
        <w:tc>
          <w:tcPr>
            <w:tcW w:type="dxa" w:w="2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Beveiliging, rate limiting, cookie-banner</w:t>
            </w:r>
          </w:p>
        </w:tc>
      </w:tr>
      <w:tr>
        <w:tc>
          <w:tcPr>
            <w:tcW w:type="dxa" w:w="350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b/>
                <w:bCs/>
                <w:sz w:val="20"/>
                <w:szCs w:val="20"/>
              </w:rPr>
              <w:t xml:space="preserve">Fase 2: Basisniveau (M)</w:t>
            </w:r>
          </w:p>
        </w:tc>
        <w:tc>
          <w:tcPr>
            <w:tcW w:type="dxa" w:w="270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b w:val="false"/>
                <w:bCs w:val="false"/>
                <w:sz w:val="20"/>
                <w:szCs w:val="20"/>
              </w:rPr>
              <w:t xml:space="preserve">€ 25.000 – 45.000</w:t>
            </w:r>
          </w:p>
        </w:tc>
        <w:tc>
          <w:tcPr>
            <w:tcW w:type="dxa" w:w="2826"/>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b w:val="false"/>
                <w:bCs w:val="false"/>
                <w:sz w:val="20"/>
                <w:szCs w:val="20"/>
              </w:rPr>
              <w:t xml:space="preserve">CI/CD, staging, MFA, tests, monitoring</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Fase 3: Productieniveau (L)</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€ 50.000 – 85.000</w:t>
            </w:r>
          </w:p>
        </w:tc>
        <w:tc>
          <w:tcPr>
            <w:tcW w:type="dxa" w:w="2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Autorisatie, SSO, testsuite, pentest</w:t>
            </w:r>
          </w:p>
        </w:tc>
      </w:tr>
      <w:tr>
        <w:tc>
          <w:tcPr>
            <w:tcW w:type="dxa" w:w="350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b/>
                <w:bCs/>
                <w:sz w:val="20"/>
                <w:szCs w:val="20"/>
              </w:rPr>
              <w:t xml:space="preserve">Totaal ontwikkeling</w:t>
            </w:r>
          </w:p>
        </w:tc>
        <w:tc>
          <w:tcPr>
            <w:tcW w:type="dxa" w:w="270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b w:val="false"/>
                <w:bCs w:val="false"/>
                <w:sz w:val="20"/>
                <w:szCs w:val="20"/>
              </w:rPr>
              <w:t xml:space="preserve">€ 80.000 – 140.000</w:t>
            </w:r>
          </w:p>
        </w:tc>
        <w:tc>
          <w:tcPr>
            <w:tcW w:type="dxa" w:w="2826"/>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b w:val="false"/>
                <w:bCs w:val="false"/>
                <w:sz w:val="20"/>
                <w:szCs w:val="20"/>
              </w:rPr>
              <w:t xml:space="preserve"/>
            </w:r>
          </w:p>
        </w:tc>
      </w:tr>
    </w:tbl>
    <w:p>
      <w:pPr>
        <w:spacing w:after="120"/>
      </w:pPr>
      <w:r>
        <w:rPr>
          <w:rFonts w:ascii="Arial" w:cs="Arial" w:eastAsia="Arial" w:hAnsi="Arial"/>
          <w:b w:val="false"/>
          <w:bCs w:val="false"/>
          <w:i w:val="false"/>
          <w:iCs w:val="false"/>
          <w:sz w:val="21"/>
          <w:szCs w:val="21"/>
        </w:rPr>
        <w:t xml:space="preserve"/>
      </w:r>
    </w:p>
    <w:p>
      <w:pPr>
        <w:spacing w:after="120"/>
      </w:pPr>
      <w:r>
        <w:rPr>
          <w:rFonts w:ascii="Arial" w:cs="Arial" w:eastAsia="Arial" w:hAnsi="Arial"/>
          <w:b w:val="false"/>
          <w:bCs w:val="false"/>
          <w:i/>
          <w:iCs/>
          <w:sz w:val="21"/>
          <w:szCs w:val="21"/>
        </w:rPr>
        <w:t xml:space="preserve">Opmerking: de ontwikkelkosten zijn lager dan in de oorspronkelijke inschatting doordat een groot deel van de functionaliteit (REST API, Linked Data, documentatie, AI-adviseur, zoeken, export, UX-verbeteringen) reeds is gerealiseerd.</w:t>
      </w:r>
    </w:p>
    <w:p>
      <w:pPr>
        <w:pStyle w:val="Heading3"/>
        <w:spacing w:after="120" w:before="200"/>
      </w:pPr>
      <w:r>
        <w:rPr>
          <w:rFonts w:ascii="Arial" w:cs="Arial" w:eastAsia="Arial" w:hAnsi="Arial"/>
          <w:b/>
          <w:bCs/>
          <w:color w:val="333333"/>
          <w:sz w:val="22"/>
          <w:szCs w:val="22"/>
        </w:rPr>
        <w:t xml:space="preserve">Kosten ArchiXL — Technisch beheer en hosting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700"/>
        <w:gridCol w:w="2826"/>
      </w:tblGrid>
      <w:tr>
        <w:tc>
          <w:tcPr>
            <w:tcW w:type="dxa" w:w="3500"/>
            <w:tcBorders>
              <w:top w:val="single" w:color="CCCCCC" w:sz="1"/>
              <w:left w:val="single" w:color="CCCCCC" w:sz="1"/>
              <w:bottom w:val="single" w:color="CCCCCC" w:sz="1"/>
              <w:right w:val="single" w:color="CCCCCC" w:sz="1"/>
            </w:tcBorders>
            <w:shd w:fill="1A6CA8" w:val="clear"/>
            <w:tcMar>
              <w:top w:type="dxa" w:w="60"/>
              <w:left w:type="dxa" w:w="100"/>
              <w:bottom w:type="dxa" w:w="60"/>
              <w:right w:type="dxa" w:w="100"/>
            </w:tcMar>
          </w:tcPr>
          <w:p>
            <w:r>
              <w:rPr>
                <w:rFonts w:ascii="Arial" w:cs="Arial" w:eastAsia="Arial" w:hAnsi="Arial"/>
                <w:b/>
                <w:bCs/>
                <w:color w:val="FFFFFF"/>
                <w:sz w:val="20"/>
                <w:szCs w:val="20"/>
              </w:rPr>
              <w:t xml:space="preserve">Technisch beheer</w:t>
            </w:r>
          </w:p>
        </w:tc>
        <w:tc>
          <w:tcPr>
            <w:tcW w:type="dxa" w:w="2700"/>
            <w:tcBorders>
              <w:top w:val="single" w:color="CCCCCC" w:sz="1"/>
              <w:left w:val="single" w:color="CCCCCC" w:sz="1"/>
              <w:bottom w:val="single" w:color="CCCCCC" w:sz="1"/>
              <w:right w:val="single" w:color="CCCCCC" w:sz="1"/>
            </w:tcBorders>
            <w:shd w:fill="1A6CA8" w:val="clear"/>
            <w:tcMar>
              <w:top w:type="dxa" w:w="60"/>
              <w:left w:type="dxa" w:w="100"/>
              <w:bottom w:type="dxa" w:w="60"/>
              <w:right w:type="dxa" w:w="100"/>
            </w:tcMar>
          </w:tcPr>
          <w:p>
            <w:r>
              <w:rPr>
                <w:rFonts w:ascii="Arial" w:cs="Arial" w:eastAsia="Arial" w:hAnsi="Arial"/>
                <w:b/>
                <w:bCs/>
                <w:color w:val="FFFFFF"/>
                <w:sz w:val="20"/>
                <w:szCs w:val="20"/>
              </w:rPr>
              <w:t xml:space="preserve">Structureel / jaar</w:t>
            </w:r>
          </w:p>
        </w:tc>
        <w:tc>
          <w:tcPr>
            <w:tcW w:type="dxa" w:w="2826"/>
            <w:tcBorders>
              <w:top w:val="single" w:color="CCCCCC" w:sz="1"/>
              <w:left w:val="single" w:color="CCCCCC" w:sz="1"/>
              <w:bottom w:val="single" w:color="CCCCCC" w:sz="1"/>
              <w:right w:val="single" w:color="CCCCCC" w:sz="1"/>
            </w:tcBorders>
            <w:shd w:fill="1A6CA8" w:val="clear"/>
            <w:tcMar>
              <w:top w:type="dxa" w:w="60"/>
              <w:left w:type="dxa" w:w="100"/>
              <w:bottom w:type="dxa" w:w="60"/>
              <w:right w:type="dxa" w:w="100"/>
            </w:tcMar>
          </w:tcPr>
          <w:p>
            <w:r>
              <w:rPr>
                <w:rFonts w:ascii="Arial" w:cs="Arial" w:eastAsia="Arial" w:hAnsi="Arial"/>
                <w:b/>
                <w:bCs/>
                <w:color w:val="FFFFFF"/>
                <w:sz w:val="20"/>
                <w:szCs w:val="20"/>
              </w:rPr>
              <w:t xml:space="preserve">Toelichting</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Hosting (productie + OTAP)</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€ 24.000 – 48.000</w:t>
            </w:r>
          </w:p>
        </w:tc>
        <w:tc>
          <w:tcPr>
            <w:tcW w:type="dxa" w:w="2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Cloud-infrastructuur met SLA</w:t>
            </w:r>
          </w:p>
        </w:tc>
      </w:tr>
      <w:tr>
        <w:tc>
          <w:tcPr>
            <w:tcW w:type="dxa" w:w="350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b/>
                <w:bCs/>
                <w:sz w:val="20"/>
                <w:szCs w:val="20"/>
              </w:rPr>
              <w:t xml:space="preserve">Technisch beheer</w:t>
            </w:r>
          </w:p>
        </w:tc>
        <w:tc>
          <w:tcPr>
            <w:tcW w:type="dxa" w:w="270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b w:val="false"/>
                <w:bCs w:val="false"/>
                <w:sz w:val="20"/>
                <w:szCs w:val="20"/>
              </w:rPr>
              <w:t xml:space="preserve">€ 48.000 – 72.000</w:t>
            </w:r>
          </w:p>
        </w:tc>
        <w:tc>
          <w:tcPr>
            <w:tcW w:type="dxa" w:w="2826"/>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b w:val="false"/>
                <w:bCs w:val="false"/>
                <w:sz w:val="20"/>
                <w:szCs w:val="20"/>
              </w:rPr>
              <w:t xml:space="preserve">Updates, patches, incidents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Doorontwikkeling</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€ 48.000 – 72.000</w:t>
            </w:r>
          </w:p>
        </w:tc>
        <w:tc>
          <w:tcPr>
            <w:tcW w:type="dxa" w:w="2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Nieuwe features, integraties</w:t>
            </w:r>
          </w:p>
        </w:tc>
      </w:tr>
      <w:tr>
        <w:tc>
          <w:tcPr>
            <w:tcW w:type="dxa" w:w="350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b/>
                <w:bCs/>
                <w:sz w:val="20"/>
                <w:szCs w:val="20"/>
              </w:rPr>
              <w:t xml:space="preserve">Monitoring en tooling</w:t>
            </w:r>
          </w:p>
        </w:tc>
        <w:tc>
          <w:tcPr>
            <w:tcW w:type="dxa" w:w="270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b w:val="false"/>
                <w:bCs w:val="false"/>
                <w:sz w:val="20"/>
                <w:szCs w:val="20"/>
              </w:rPr>
              <w:t xml:space="preserve">€ 6.000 – 12.000</w:t>
            </w:r>
          </w:p>
        </w:tc>
        <w:tc>
          <w:tcPr>
            <w:tcW w:type="dxa" w:w="2826"/>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b w:val="false"/>
                <w:bCs w:val="false"/>
                <w:sz w:val="20"/>
                <w:szCs w:val="20"/>
              </w:rPr>
              <w:t xml:space="preserve">Sentry, Datadog, alerting</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Totaal beheer / jaar</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€ 126.000 – 204.000</w:t>
            </w:r>
          </w:p>
        </w:tc>
        <w:tc>
          <w:tcPr>
            <w:tcW w:type="dxa" w:w="2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
            </w:r>
          </w:p>
        </w:tc>
      </w:tr>
    </w:tbl>
    <w:p>
      <w:pPr>
        <w:spacing w:after="120"/>
      </w:pPr>
      <w:r>
        <w:rPr>
          <w:rFonts w:ascii="Arial" w:cs="Arial" w:eastAsia="Arial" w:hAnsi="Arial"/>
          <w:b w:val="false"/>
          <w:bCs w:val="false"/>
          <w:i w:val="false"/>
          <w:iCs w:val="false"/>
          <w:sz w:val="21"/>
          <w:szCs w:val="21"/>
        </w:rPr>
        <w:t xml:space="preserve"/>
      </w:r>
    </w:p>
    <w:p>
      <w:pPr>
        <w:pStyle w:val="Heading3"/>
        <w:spacing w:after="120" w:before="200"/>
      </w:pPr>
      <w:r>
        <w:rPr>
          <w:rFonts w:ascii="Arial" w:cs="Arial" w:eastAsia="Arial" w:hAnsi="Arial"/>
          <w:b/>
          <w:bCs/>
          <w:color w:val="333333"/>
          <w:sz w:val="22"/>
          <w:szCs w:val="22"/>
        </w:rPr>
        <w:t xml:space="preserve">Kosten VNG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700"/>
        <w:gridCol w:w="2826"/>
      </w:tblGrid>
      <w:tr>
        <w:tc>
          <w:tcPr>
            <w:tcW w:type="dxa" w:w="3500"/>
            <w:tcBorders>
              <w:top w:val="single" w:color="CCCCCC" w:sz="1"/>
              <w:left w:val="single" w:color="CCCCCC" w:sz="1"/>
              <w:bottom w:val="single" w:color="CCCCCC" w:sz="1"/>
              <w:right w:val="single" w:color="CCCCCC" w:sz="1"/>
            </w:tcBorders>
            <w:shd w:fill="1A6CA8" w:val="clear"/>
            <w:tcMar>
              <w:top w:type="dxa" w:w="60"/>
              <w:left w:type="dxa" w:w="100"/>
              <w:bottom w:type="dxa" w:w="60"/>
              <w:right w:type="dxa" w:w="100"/>
            </w:tcMar>
          </w:tcPr>
          <w:p>
            <w:r>
              <w:rPr>
                <w:rFonts w:ascii="Arial" w:cs="Arial" w:eastAsia="Arial" w:hAnsi="Arial"/>
                <w:b/>
                <w:bCs/>
                <w:color w:val="FFFFFF"/>
                <w:sz w:val="20"/>
                <w:szCs w:val="20"/>
              </w:rPr>
              <w:t xml:space="preserve">Kostenpost VNG</w:t>
            </w:r>
          </w:p>
        </w:tc>
        <w:tc>
          <w:tcPr>
            <w:tcW w:type="dxa" w:w="2700"/>
            <w:tcBorders>
              <w:top w:val="single" w:color="CCCCCC" w:sz="1"/>
              <w:left w:val="single" w:color="CCCCCC" w:sz="1"/>
              <w:bottom w:val="single" w:color="CCCCCC" w:sz="1"/>
              <w:right w:val="single" w:color="CCCCCC" w:sz="1"/>
            </w:tcBorders>
            <w:shd w:fill="1A6CA8" w:val="clear"/>
            <w:tcMar>
              <w:top w:type="dxa" w:w="60"/>
              <w:left w:type="dxa" w:w="100"/>
              <w:bottom w:type="dxa" w:w="60"/>
              <w:right w:type="dxa" w:w="100"/>
            </w:tcMar>
          </w:tcPr>
          <w:p>
            <w:r>
              <w:rPr>
                <w:rFonts w:ascii="Arial" w:cs="Arial" w:eastAsia="Arial" w:hAnsi="Arial"/>
                <w:b/>
                <w:bCs/>
                <w:color w:val="FFFFFF"/>
                <w:sz w:val="20"/>
                <w:szCs w:val="20"/>
              </w:rPr>
              <w:t xml:space="preserve">Eenmalig</w:t>
            </w:r>
          </w:p>
        </w:tc>
        <w:tc>
          <w:tcPr>
            <w:tcW w:type="dxa" w:w="2826"/>
            <w:tcBorders>
              <w:top w:val="single" w:color="CCCCCC" w:sz="1"/>
              <w:left w:val="single" w:color="CCCCCC" w:sz="1"/>
              <w:bottom w:val="single" w:color="CCCCCC" w:sz="1"/>
              <w:right w:val="single" w:color="CCCCCC" w:sz="1"/>
            </w:tcBorders>
            <w:shd w:fill="1A6CA8" w:val="clear"/>
            <w:tcMar>
              <w:top w:type="dxa" w:w="60"/>
              <w:left w:type="dxa" w:w="100"/>
              <w:bottom w:type="dxa" w:w="60"/>
              <w:right w:type="dxa" w:w="100"/>
            </w:tcMar>
          </w:tcPr>
          <w:p>
            <w:r>
              <w:rPr>
                <w:rFonts w:ascii="Arial" w:cs="Arial" w:eastAsia="Arial" w:hAnsi="Arial"/>
                <w:b/>
                <w:bCs/>
                <w:color w:val="FFFFFF"/>
                <w:sz w:val="20"/>
                <w:szCs w:val="20"/>
              </w:rPr>
              <w:t xml:space="preserve">Structureel / jaar</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BIO-toetsing en DPIA</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€ 20.000 – 35.000</w:t>
            </w:r>
          </w:p>
        </w:tc>
        <w:tc>
          <w:tcPr>
            <w:tcW w:type="dxa" w:w="2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t>
            </w:r>
          </w:p>
        </w:tc>
      </w:tr>
      <w:tr>
        <w:tc>
          <w:tcPr>
            <w:tcW w:type="dxa" w:w="350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b/>
                <w:bCs/>
                <w:sz w:val="20"/>
                <w:szCs w:val="20"/>
              </w:rPr>
              <w:t xml:space="preserve">WCAG-audit (extern)</w:t>
            </w:r>
          </w:p>
        </w:tc>
        <w:tc>
          <w:tcPr>
            <w:tcW w:type="dxa" w:w="270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b w:val="false"/>
                <w:bCs w:val="false"/>
                <w:sz w:val="20"/>
                <w:szCs w:val="20"/>
              </w:rPr>
              <w:t xml:space="preserve">€ 10.000 – 15.000</w:t>
            </w:r>
          </w:p>
        </w:tc>
        <w:tc>
          <w:tcPr>
            <w:tcW w:type="dxa" w:w="2826"/>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b w:val="false"/>
                <w:bCs w:val="false"/>
                <w:sz w:val="20"/>
                <w:szCs w:val="20"/>
              </w:rPr>
              <w:t xml:space="preserv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Penetratietest</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€ 15.000 – 25.000</w:t>
            </w:r>
          </w:p>
        </w:tc>
        <w:tc>
          <w:tcPr>
            <w:tcW w:type="dxa" w:w="2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€ 15.000 – 25.000</w:t>
            </w:r>
          </w:p>
        </w:tc>
      </w:tr>
      <w:tr>
        <w:tc>
          <w:tcPr>
            <w:tcW w:type="dxa" w:w="350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b/>
                <w:bCs/>
                <w:sz w:val="20"/>
                <w:szCs w:val="20"/>
              </w:rPr>
              <w:t xml:space="preserve">Productowner / functioneel beheer</w:t>
            </w:r>
          </w:p>
        </w:tc>
        <w:tc>
          <w:tcPr>
            <w:tcW w:type="dxa" w:w="270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b w:val="false"/>
                <w:bCs w:val="false"/>
                <w:sz w:val="20"/>
                <w:szCs w:val="20"/>
              </w:rPr>
              <w:t xml:space="preserve">—</w:t>
            </w:r>
          </w:p>
        </w:tc>
        <w:tc>
          <w:tcPr>
            <w:tcW w:type="dxa" w:w="2826"/>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b w:val="false"/>
                <w:bCs w:val="false"/>
                <w:sz w:val="20"/>
                <w:szCs w:val="20"/>
              </w:rPr>
              <w:t xml:space="preserve">€ 40.000 – 60.000</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Gebruikersondersteuning</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t>
            </w:r>
          </w:p>
        </w:tc>
        <w:tc>
          <w:tcPr>
            <w:tcW w:type="dxa" w:w="2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€ 20.000 – 36.000</w:t>
            </w:r>
          </w:p>
        </w:tc>
      </w:tr>
      <w:tr>
        <w:tc>
          <w:tcPr>
            <w:tcW w:type="dxa" w:w="350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b/>
                <w:bCs/>
                <w:sz w:val="20"/>
                <w:szCs w:val="20"/>
              </w:rPr>
              <w:t xml:space="preserve">Totaal VNG eenmalig</w:t>
            </w:r>
          </w:p>
        </w:tc>
        <w:tc>
          <w:tcPr>
            <w:tcW w:type="dxa" w:w="270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b w:val="false"/>
                <w:bCs w:val="false"/>
                <w:sz w:val="20"/>
                <w:szCs w:val="20"/>
              </w:rPr>
              <w:t xml:space="preserve">€ 45.000 – 75.000</w:t>
            </w:r>
          </w:p>
        </w:tc>
        <w:tc>
          <w:tcPr>
            <w:tcW w:type="dxa" w:w="2826"/>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b w:val="false"/>
                <w:bCs w:val="false"/>
                <w:sz w:val="20"/>
                <w:szCs w:val="20"/>
              </w:rPr>
              <w:t xml:space="preserve"/>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Totaal VNG structureel / jaar</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
            </w:r>
          </w:p>
        </w:tc>
        <w:tc>
          <w:tcPr>
            <w:tcW w:type="dxa" w:w="2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€ 75.000 – 121.000</w:t>
            </w:r>
          </w:p>
        </w:tc>
      </w:tr>
    </w:tbl>
    <w:p>
      <w:pPr>
        <w:spacing w:after="120"/>
      </w:pPr>
      <w:r>
        <w:rPr>
          <w:rFonts w:ascii="Arial" w:cs="Arial" w:eastAsia="Arial" w:hAnsi="Arial"/>
          <w:b w:val="false"/>
          <w:bCs w:val="false"/>
          <w:i w:val="false"/>
          <w:iCs w:val="false"/>
          <w:sz w:val="21"/>
          <w:szCs w:val="21"/>
        </w:rPr>
        <w:t xml:space="preserve"/>
      </w:r>
    </w:p>
    <w:p>
      <w:pPr>
        <w:pStyle w:val="Heading3"/>
        <w:spacing w:after="120" w:before="200"/>
      </w:pPr>
      <w:r>
        <w:rPr>
          <w:rFonts w:ascii="Arial" w:cs="Arial" w:eastAsia="Arial" w:hAnsi="Arial"/>
          <w:b/>
          <w:bCs/>
          <w:color w:val="333333"/>
          <w:sz w:val="22"/>
          <w:szCs w:val="22"/>
        </w:rPr>
        <w:t xml:space="preserve">Totaaloverzicht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700"/>
        <w:gridCol w:w="2826"/>
      </w:tblGrid>
      <w:tr>
        <w:tc>
          <w:tcPr>
            <w:tcW w:type="dxa" w:w="3500"/>
            <w:tcBorders>
              <w:top w:val="single" w:color="CCCCCC" w:sz="1"/>
              <w:left w:val="single" w:color="CCCCCC" w:sz="1"/>
              <w:bottom w:val="single" w:color="CCCCCC" w:sz="1"/>
              <w:right w:val="single" w:color="CCCCCC" w:sz="1"/>
            </w:tcBorders>
            <w:shd w:fill="1A6CA8" w:val="clear"/>
            <w:tcMar>
              <w:top w:type="dxa" w:w="60"/>
              <w:left w:type="dxa" w:w="100"/>
              <w:bottom w:type="dxa" w:w="60"/>
              <w:right w:type="dxa" w:w="100"/>
            </w:tcMar>
          </w:tcPr>
          <w:p>
            <w:r>
              <w:rPr>
                <w:rFonts w:ascii="Arial" w:cs="Arial" w:eastAsia="Arial" w:hAnsi="Arial"/>
                <w:b/>
                <w:bCs/>
                <w:color w:val="FFFFFF"/>
                <w:sz w:val="20"/>
                <w:szCs w:val="20"/>
              </w:rPr>
              <w:t xml:space="preserve">Totaal</w:t>
            </w:r>
          </w:p>
        </w:tc>
        <w:tc>
          <w:tcPr>
            <w:tcW w:type="dxa" w:w="2700"/>
            <w:tcBorders>
              <w:top w:val="single" w:color="CCCCCC" w:sz="1"/>
              <w:left w:val="single" w:color="CCCCCC" w:sz="1"/>
              <w:bottom w:val="single" w:color="CCCCCC" w:sz="1"/>
              <w:right w:val="single" w:color="CCCCCC" w:sz="1"/>
            </w:tcBorders>
            <w:shd w:fill="1A6CA8" w:val="clear"/>
            <w:tcMar>
              <w:top w:type="dxa" w:w="60"/>
              <w:left w:type="dxa" w:w="100"/>
              <w:bottom w:type="dxa" w:w="60"/>
              <w:right w:type="dxa" w:w="100"/>
            </w:tcMar>
          </w:tcPr>
          <w:p>
            <w:r>
              <w:rPr>
                <w:rFonts w:ascii="Arial" w:cs="Arial" w:eastAsia="Arial" w:hAnsi="Arial"/>
                <w:b/>
                <w:bCs/>
                <w:color w:val="FFFFFF"/>
                <w:sz w:val="20"/>
                <w:szCs w:val="20"/>
              </w:rPr>
              <w:t xml:space="preserve">Eenmalig</w:t>
            </w:r>
          </w:p>
        </w:tc>
        <w:tc>
          <w:tcPr>
            <w:tcW w:type="dxa" w:w="2826"/>
            <w:tcBorders>
              <w:top w:val="single" w:color="CCCCCC" w:sz="1"/>
              <w:left w:val="single" w:color="CCCCCC" w:sz="1"/>
              <w:bottom w:val="single" w:color="CCCCCC" w:sz="1"/>
              <w:right w:val="single" w:color="CCCCCC" w:sz="1"/>
            </w:tcBorders>
            <w:shd w:fill="1A6CA8" w:val="clear"/>
            <w:tcMar>
              <w:top w:type="dxa" w:w="60"/>
              <w:left w:type="dxa" w:w="100"/>
              <w:bottom w:type="dxa" w:w="60"/>
              <w:right w:type="dxa" w:w="100"/>
            </w:tcMar>
          </w:tcPr>
          <w:p>
            <w:r>
              <w:rPr>
                <w:rFonts w:ascii="Arial" w:cs="Arial" w:eastAsia="Arial" w:hAnsi="Arial"/>
                <w:b/>
                <w:bCs/>
                <w:color w:val="FFFFFF"/>
                <w:sz w:val="20"/>
                <w:szCs w:val="20"/>
              </w:rPr>
              <w:t xml:space="preserve">Structureel / jaar</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ArchiXL</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€ 80.000 – 140.000</w:t>
            </w:r>
          </w:p>
        </w:tc>
        <w:tc>
          <w:tcPr>
            <w:tcW w:type="dxa" w:w="2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€ 126.000 – 204.000</w:t>
            </w:r>
          </w:p>
        </w:tc>
      </w:tr>
      <w:tr>
        <w:tc>
          <w:tcPr>
            <w:tcW w:type="dxa" w:w="350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b/>
                <w:bCs/>
                <w:sz w:val="20"/>
                <w:szCs w:val="20"/>
              </w:rPr>
              <w:t xml:space="preserve">VNG</w:t>
            </w:r>
          </w:p>
        </w:tc>
        <w:tc>
          <w:tcPr>
            <w:tcW w:type="dxa" w:w="270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b w:val="false"/>
                <w:bCs w:val="false"/>
                <w:sz w:val="20"/>
                <w:szCs w:val="20"/>
              </w:rPr>
              <w:t xml:space="preserve">€ 45.000 – 75.000</w:t>
            </w:r>
          </w:p>
        </w:tc>
        <w:tc>
          <w:tcPr>
            <w:tcW w:type="dxa" w:w="2826"/>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b w:val="false"/>
                <w:bCs w:val="false"/>
                <w:sz w:val="20"/>
                <w:szCs w:val="20"/>
              </w:rPr>
              <w:t xml:space="preserve">€ 75.000 – 121.000</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Totaal</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€ 125.000 – 215.000</w:t>
            </w:r>
          </w:p>
        </w:tc>
        <w:tc>
          <w:tcPr>
            <w:tcW w:type="dxa" w:w="2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€ 201.000 – 325.000</w:t>
            </w:r>
          </w:p>
        </w:tc>
      </w:tr>
    </w:tbl>
    <w:p>
      <w:r>
        <w:br w:type="page"/>
      </w:r>
    </w:p>
    <w:p>
      <w:pPr>
        <w:pStyle w:val="Heading1"/>
        <w:spacing w:after="200" w:before="360"/>
      </w:pPr>
      <w:r>
        <w:rPr>
          <w:rFonts w:ascii="Arial" w:cs="Arial" w:eastAsia="Arial" w:hAnsi="Arial"/>
          <w:b/>
          <w:bCs/>
          <w:color w:val="1A6CA8"/>
          <w:sz w:val="32"/>
          <w:szCs w:val="32"/>
        </w:rPr>
        <w:t xml:space="preserve">6. Vereisten bij opschaling</w:t>
      </w:r>
    </w:p>
    <w:p>
      <w:pPr>
        <w:spacing w:after="120"/>
      </w:pPr>
      <w:r>
        <w:rPr>
          <w:rFonts w:ascii="Arial" w:cs="Arial" w:eastAsia="Arial" w:hAnsi="Arial"/>
          <w:b w:val="false"/>
          <w:bCs w:val="false"/>
          <w:i w:val="false"/>
          <w:iCs w:val="false"/>
          <w:sz w:val="21"/>
          <w:szCs w:val="21"/>
        </w:rPr>
        <w:t xml:space="preserve">Een systeem dat alle gemeenten, leveranciers en de GEMMA-architectuur bedient, vereist aanvullende maatregelen per domein.</w:t>
      </w:r>
    </w:p>
    <w:p>
      <w:pPr>
        <w:pStyle w:val="Heading2"/>
        <w:spacing w:after="160" w:before="280"/>
      </w:pPr>
      <w:r>
        <w:rPr>
          <w:rFonts w:ascii="Arial" w:cs="Arial" w:eastAsia="Arial" w:hAnsi="Arial"/>
          <w:b/>
          <w:bCs/>
          <w:color w:val="1A6CA8"/>
          <w:sz w:val="26"/>
          <w:szCs w:val="26"/>
        </w:rPr>
        <w:t xml:space="preserve">6.1 Organisatorisch</w:t>
      </w:r>
    </w:p>
    <w:p>
      <w:pPr>
        <w:pStyle w:val="ListParagraph"/>
        <w:numPr>
          <w:ilvl w:val="0"/>
          <w:numId w:val="2"/>
        </w:numPr>
        <w:spacing w:after="60"/>
      </w:pPr>
      <w:r>
        <w:rPr>
          <w:rFonts w:ascii="Arial" w:cs="Arial" w:eastAsia="Arial" w:hAnsi="Arial"/>
          <w:sz w:val="21"/>
          <w:szCs w:val="21"/>
        </w:rPr>
        <w:t xml:space="preserve">Beheerteam van minimaal 2–3 personen</w:t>
      </w:r>
    </w:p>
    <w:p>
      <w:pPr>
        <w:pStyle w:val="ListParagraph"/>
        <w:numPr>
          <w:ilvl w:val="0"/>
          <w:numId w:val="2"/>
        </w:numPr>
        <w:spacing w:after="60"/>
      </w:pPr>
      <w:r>
        <w:rPr>
          <w:rFonts w:ascii="Arial" w:cs="Arial" w:eastAsia="Arial" w:hAnsi="Arial"/>
          <w:sz w:val="21"/>
          <w:szCs w:val="21"/>
        </w:rPr>
        <w:t xml:space="preserve">Incidentproces en escalatieprocedure</w:t>
      </w:r>
    </w:p>
    <w:p>
      <w:pPr>
        <w:pStyle w:val="ListParagraph"/>
        <w:numPr>
          <w:ilvl w:val="0"/>
          <w:numId w:val="2"/>
        </w:numPr>
        <w:spacing w:after="60"/>
      </w:pPr>
      <w:r>
        <w:rPr>
          <w:rFonts w:ascii="Arial" w:cs="Arial" w:eastAsia="Arial" w:hAnsi="Arial"/>
          <w:sz w:val="21"/>
          <w:szCs w:val="21"/>
        </w:rPr>
        <w:t xml:space="preserve">Changemanagement met RFC-proces</w:t>
      </w:r>
    </w:p>
    <w:p>
      <w:pPr>
        <w:pStyle w:val="ListParagraph"/>
        <w:numPr>
          <w:ilvl w:val="0"/>
          <w:numId w:val="2"/>
        </w:numPr>
        <w:spacing w:after="60"/>
      </w:pPr>
      <w:r>
        <w:rPr>
          <w:rFonts w:ascii="Arial" w:cs="Arial" w:eastAsia="Arial" w:hAnsi="Arial"/>
          <w:sz w:val="21"/>
          <w:szCs w:val="21"/>
        </w:rPr>
        <w:t xml:space="preserve">SLA met beschikbaarheidsgarantie van minimaal 99,5%</w:t>
      </w:r>
    </w:p>
    <w:p>
      <w:pPr>
        <w:pStyle w:val="Heading2"/>
        <w:spacing w:after="160" w:before="280"/>
      </w:pPr>
      <w:r>
        <w:rPr>
          <w:rFonts w:ascii="Arial" w:cs="Arial" w:eastAsia="Arial" w:hAnsi="Arial"/>
          <w:b/>
          <w:bCs/>
          <w:color w:val="1A6CA8"/>
          <w:sz w:val="26"/>
          <w:szCs w:val="26"/>
        </w:rPr>
        <w:t xml:space="preserve">6.2 Technisch</w:t>
      </w:r>
    </w:p>
    <w:p>
      <w:pPr>
        <w:pStyle w:val="ListParagraph"/>
        <w:numPr>
          <w:ilvl w:val="0"/>
          <w:numId w:val="2"/>
        </w:numPr>
        <w:spacing w:after="60"/>
      </w:pPr>
      <w:r>
        <w:rPr>
          <w:rFonts w:ascii="Arial" w:cs="Arial" w:eastAsia="Arial" w:hAnsi="Arial"/>
          <w:sz w:val="21"/>
          <w:szCs w:val="21"/>
        </w:rPr>
        <w:t xml:space="preserve">Professionele hosting met SLA (Azure, AWS of gespecialiseerde partij)</w:t>
      </w:r>
    </w:p>
    <w:p>
      <w:pPr>
        <w:pStyle w:val="ListParagraph"/>
        <w:numPr>
          <w:ilvl w:val="0"/>
          <w:numId w:val="2"/>
        </w:numPr>
        <w:spacing w:after="60"/>
      </w:pPr>
      <w:r>
        <w:rPr>
          <w:rFonts w:ascii="Arial" w:cs="Arial" w:eastAsia="Arial" w:hAnsi="Arial"/>
          <w:sz w:val="21"/>
          <w:szCs w:val="21"/>
        </w:rPr>
        <w:t xml:space="preserve">Gescheiden OTAP-omgevingen</w:t>
      </w:r>
    </w:p>
    <w:p>
      <w:pPr>
        <w:pStyle w:val="ListParagraph"/>
        <w:numPr>
          <w:ilvl w:val="0"/>
          <w:numId w:val="2"/>
        </w:numPr>
        <w:spacing w:after="60"/>
      </w:pPr>
      <w:r>
        <w:rPr>
          <w:rFonts w:ascii="Arial" w:cs="Arial" w:eastAsia="Arial" w:hAnsi="Arial"/>
          <w:sz w:val="21"/>
          <w:szCs w:val="21"/>
        </w:rPr>
        <w:t xml:space="preserve">CI/CD met quality gates</w:t>
      </w:r>
    </w:p>
    <w:p>
      <w:pPr>
        <w:pStyle w:val="ListParagraph"/>
        <w:numPr>
          <w:ilvl w:val="0"/>
          <w:numId w:val="2"/>
        </w:numPr>
        <w:spacing w:after="60"/>
      </w:pPr>
      <w:r>
        <w:rPr>
          <w:rFonts w:ascii="Arial" w:cs="Arial" w:eastAsia="Arial" w:hAnsi="Arial"/>
          <w:sz w:val="21"/>
          <w:szCs w:val="21"/>
        </w:rPr>
        <w:t xml:space="preserve">Monitoring, alerting en on-call</w:t>
      </w:r>
    </w:p>
    <w:p>
      <w:pPr>
        <w:pStyle w:val="ListParagraph"/>
        <w:numPr>
          <w:ilvl w:val="0"/>
          <w:numId w:val="2"/>
        </w:numPr>
        <w:spacing w:after="60"/>
      </w:pPr>
      <w:r>
        <w:rPr>
          <w:rFonts w:ascii="Arial" w:cs="Arial" w:eastAsia="Arial" w:hAnsi="Arial"/>
          <w:sz w:val="21"/>
          <w:szCs w:val="21"/>
        </w:rPr>
        <w:t xml:space="preserve">Geautomatiseerde backups met geteste restore</w:t>
      </w:r>
    </w:p>
    <w:p>
      <w:pPr>
        <w:pStyle w:val="ListParagraph"/>
        <w:numPr>
          <w:ilvl w:val="0"/>
          <w:numId w:val="2"/>
        </w:numPr>
        <w:spacing w:after="60"/>
      </w:pPr>
      <w:r>
        <w:rPr>
          <w:rFonts w:ascii="Arial" w:cs="Arial" w:eastAsia="Arial" w:hAnsi="Arial"/>
          <w:sz w:val="21"/>
          <w:szCs w:val="21"/>
        </w:rPr>
        <w:t xml:space="preserve">Load testing voor 342+ gelijktijdige organisaties</w:t>
      </w:r>
    </w:p>
    <w:p>
      <w:pPr>
        <w:pStyle w:val="Heading2"/>
        <w:spacing w:after="160" w:before="280"/>
      </w:pPr>
      <w:r>
        <w:rPr>
          <w:rFonts w:ascii="Arial" w:cs="Arial" w:eastAsia="Arial" w:hAnsi="Arial"/>
          <w:b/>
          <w:bCs/>
          <w:color w:val="1A6CA8"/>
          <w:sz w:val="26"/>
          <w:szCs w:val="26"/>
        </w:rPr>
        <w:t xml:space="preserve">6.3 Compliance en governance</w:t>
      </w:r>
    </w:p>
    <w:p>
      <w:pPr>
        <w:pStyle w:val="ListParagraph"/>
        <w:numPr>
          <w:ilvl w:val="0"/>
          <w:numId w:val="2"/>
        </w:numPr>
        <w:spacing w:after="60"/>
      </w:pPr>
      <w:r>
        <w:rPr>
          <w:rFonts w:ascii="Arial" w:cs="Arial" w:eastAsia="Arial" w:hAnsi="Arial"/>
          <w:sz w:val="21"/>
          <w:szCs w:val="21"/>
        </w:rPr>
        <w:t xml:space="preserve">BIO-toetsing (Baseline Informatiebeveiliging Overheid)</w:t>
      </w:r>
    </w:p>
    <w:p>
      <w:pPr>
        <w:pStyle w:val="ListParagraph"/>
        <w:numPr>
          <w:ilvl w:val="0"/>
          <w:numId w:val="2"/>
        </w:numPr>
        <w:spacing w:after="60"/>
      </w:pPr>
      <w:r>
        <w:rPr>
          <w:rFonts w:ascii="Arial" w:cs="Arial" w:eastAsia="Arial" w:hAnsi="Arial"/>
          <w:sz w:val="21"/>
          <w:szCs w:val="21"/>
        </w:rPr>
        <w:t xml:space="preserve">Data Protection Impact Assessment (DPIA)</w:t>
      </w:r>
    </w:p>
    <w:p>
      <w:pPr>
        <w:pStyle w:val="ListParagraph"/>
        <w:numPr>
          <w:ilvl w:val="0"/>
          <w:numId w:val="2"/>
        </w:numPr>
        <w:spacing w:after="60"/>
      </w:pPr>
      <w:r>
        <w:rPr>
          <w:rFonts w:ascii="Arial" w:cs="Arial" w:eastAsia="Arial" w:hAnsi="Arial"/>
          <w:sz w:val="21"/>
          <w:szCs w:val="21"/>
        </w:rPr>
        <w:t xml:space="preserve">Toegankelijkheidsverklaring conform WCAG 2.1 AA</w:t>
      </w:r>
    </w:p>
    <w:p>
      <w:pPr>
        <w:pStyle w:val="ListParagraph"/>
        <w:numPr>
          <w:ilvl w:val="0"/>
          <w:numId w:val="2"/>
        </w:numPr>
        <w:spacing w:after="60"/>
      </w:pPr>
      <w:r>
        <w:rPr>
          <w:rFonts w:ascii="Arial" w:cs="Arial" w:eastAsia="Arial" w:hAnsi="Arial"/>
          <w:sz w:val="21"/>
          <w:szCs w:val="21"/>
        </w:rPr>
        <w:t xml:space="preserve">Archiefwet-compliance voor logging en audit trails</w:t>
      </w:r>
    </w:p>
    <w:p>
      <w:r>
        <w:br w:type="page"/>
      </w:r>
    </w:p>
    <w:p>
      <w:pPr>
        <w:pStyle w:val="Heading1"/>
        <w:spacing w:after="200" w:before="360"/>
      </w:pPr>
      <w:r>
        <w:rPr>
          <w:rFonts w:ascii="Arial" w:cs="Arial" w:eastAsia="Arial" w:hAnsi="Arial"/>
          <w:b/>
          <w:bCs/>
          <w:color w:val="1A6CA8"/>
          <w:sz w:val="32"/>
          <w:szCs w:val="32"/>
        </w:rPr>
        <w:t xml:space="preserve">7. Conclusie en aanbevelingen</w:t>
      </w:r>
    </w:p>
    <w:p>
      <w:pPr>
        <w:spacing w:after="120"/>
      </w:pPr>
      <w:r>
        <w:rPr>
          <w:rFonts w:ascii="Arial" w:cs="Arial" w:eastAsia="Arial" w:hAnsi="Arial"/>
          <w:b w:val="false"/>
          <w:bCs w:val="false"/>
          <w:i w:val="false"/>
          <w:iCs w:val="false"/>
          <w:sz w:val="21"/>
          <w:szCs w:val="21"/>
        </w:rPr>
        <w:t xml:space="preserve">Het platform van de Voorzieningencatalogus heeft zich ontwikkeld van een driedaags prototype naar een functioneel rijke applicatie met 17 hoofdfuncties, een REST API, Linked Data-publicatie, AI-gestuurde adviesfunctie en uitgebreide beheermogelijkheden.</w:t>
      </w:r>
    </w:p>
    <w:p>
      <w:pPr>
        <w:spacing w:after="120"/>
      </w:pPr>
      <w:r>
        <w:rPr>
          <w:rFonts w:ascii="Arial" w:cs="Arial" w:eastAsia="Arial" w:hAnsi="Arial"/>
          <w:b w:val="false"/>
          <w:bCs w:val="false"/>
          <w:i w:val="false"/>
          <w:iCs w:val="false"/>
          <w:sz w:val="21"/>
          <w:szCs w:val="21"/>
        </w:rPr>
        <w:t xml:space="preserve">De AI-gestuurde ontwikkelaanpak heeft bewezen dat complexe applicaties in korte tijd gerealiseerd kunnen worden, mits gestuurd door een ervaren architect met kennis van softwareontwikkeling, non-functionele eisen en het domein. Het resultaat is niet alleen snel gebouwd, maar ook architecturaal verantwoord: gelaagd, open (REST API, Linked Data), configureerbaar en uitbreidbaar.</w:t>
      </w:r>
    </w:p>
    <w:p>
      <w:pPr>
        <w:pStyle w:val="Heading2"/>
        <w:spacing w:after="160" w:before="280"/>
      </w:pPr>
      <w:r>
        <w:rPr>
          <w:rFonts w:ascii="Arial" w:cs="Arial" w:eastAsia="Arial" w:hAnsi="Arial"/>
          <w:b/>
          <w:bCs/>
          <w:color w:val="1A6CA8"/>
          <w:sz w:val="26"/>
          <w:szCs w:val="26"/>
        </w:rPr>
        <w:t xml:space="preserve">7.1 Scenariovergelijking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326"/>
      </w:tblGrid>
      <w:tr>
        <w:tc>
          <w:tcPr>
            <w:tcW w:type="dxa" w:w="2500"/>
            <w:tcBorders>
              <w:top w:val="single" w:color="CCCCCC" w:sz="1"/>
              <w:left w:val="single" w:color="CCCCCC" w:sz="1"/>
              <w:bottom w:val="single" w:color="CCCCCC" w:sz="1"/>
              <w:right w:val="single" w:color="CCCCCC" w:sz="1"/>
            </w:tcBorders>
            <w:shd w:fill="1A6CA8" w:val="clear"/>
            <w:tcMar>
              <w:top w:type="dxa" w:w="60"/>
              <w:left w:type="dxa" w:w="100"/>
              <w:bottom w:type="dxa" w:w="60"/>
              <w:right w:type="dxa" w:w="100"/>
            </w:tcMar>
          </w:tcPr>
          <w:p>
            <w:r>
              <w:rPr>
                <w:rFonts w:ascii="Arial" w:cs="Arial" w:eastAsia="Arial" w:hAnsi="Arial"/>
                <w:b/>
                <w:bCs/>
                <w:color w:val="FFFFFF"/>
                <w:sz w:val="20"/>
                <w:szCs w:val="20"/>
              </w:rPr>
              <w:t xml:space="preserve"/>
            </w:r>
          </w:p>
        </w:tc>
        <w:tc>
          <w:tcPr>
            <w:tcW w:type="dxa" w:w="3200"/>
            <w:tcBorders>
              <w:top w:val="single" w:color="CCCCCC" w:sz="1"/>
              <w:left w:val="single" w:color="CCCCCC" w:sz="1"/>
              <w:bottom w:val="single" w:color="CCCCCC" w:sz="1"/>
              <w:right w:val="single" w:color="CCCCCC" w:sz="1"/>
            </w:tcBorders>
            <w:shd w:fill="1A6CA8" w:val="clear"/>
            <w:tcMar>
              <w:top w:type="dxa" w:w="60"/>
              <w:left w:type="dxa" w:w="100"/>
              <w:bottom w:type="dxa" w:w="60"/>
              <w:right w:type="dxa" w:w="100"/>
            </w:tcMar>
          </w:tcPr>
          <w:p>
            <w:r>
              <w:rPr>
                <w:rFonts w:ascii="Arial" w:cs="Arial" w:eastAsia="Arial" w:hAnsi="Arial"/>
                <w:b/>
                <w:bCs/>
                <w:color w:val="FFFFFF"/>
                <w:sz w:val="20"/>
                <w:szCs w:val="20"/>
              </w:rPr>
              <w:t xml:space="preserve">Scenario A: MVP</w:t>
            </w:r>
          </w:p>
        </w:tc>
        <w:tc>
          <w:tcPr>
            <w:tcW w:type="dxa" w:w="3326"/>
            <w:tcBorders>
              <w:top w:val="single" w:color="CCCCCC" w:sz="1"/>
              <w:left w:val="single" w:color="CCCCCC" w:sz="1"/>
              <w:bottom w:val="single" w:color="CCCCCC" w:sz="1"/>
              <w:right w:val="single" w:color="CCCCCC" w:sz="1"/>
            </w:tcBorders>
            <w:shd w:fill="1A6CA8" w:val="clear"/>
            <w:tcMar>
              <w:top w:type="dxa" w:w="60"/>
              <w:left w:type="dxa" w:w="100"/>
              <w:bottom w:type="dxa" w:w="60"/>
              <w:right w:type="dxa" w:w="100"/>
            </w:tcMar>
          </w:tcPr>
          <w:p>
            <w:r>
              <w:rPr>
                <w:rFonts w:ascii="Arial" w:cs="Arial" w:eastAsia="Arial" w:hAnsi="Arial"/>
                <w:b/>
                <w:bCs/>
                <w:color w:val="FFFFFF"/>
                <w:sz w:val="20"/>
                <w:szCs w:val="20"/>
              </w:rPr>
              <w:t xml:space="preserve">Scenario B: Volledig</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Doel</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Drupal-vervanging</w:t>
            </w:r>
          </w:p>
        </w:tc>
        <w:tc>
          <w:tcPr>
            <w:tcW w:type="dxa" w:w="33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Volwaardig platform</w:t>
            </w:r>
          </w:p>
        </w:tc>
      </w:tr>
      <w:tr>
        <w:tc>
          <w:tcPr>
            <w:tcW w:type="dxa" w:w="250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b/>
                <w:bCs/>
                <w:sz w:val="20"/>
                <w:szCs w:val="20"/>
              </w:rPr>
              <w:t xml:space="preserve">Doorlooptijd</w:t>
            </w:r>
          </w:p>
        </w:tc>
        <w:tc>
          <w:tcPr>
            <w:tcW w:type="dxa" w:w="320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b w:val="false"/>
                <w:bCs w:val="false"/>
                <w:sz w:val="20"/>
                <w:szCs w:val="20"/>
              </w:rPr>
              <w:t xml:space="preserve">2–4 weken</w:t>
            </w:r>
          </w:p>
        </w:tc>
        <w:tc>
          <w:tcPr>
            <w:tcW w:type="dxa" w:w="3326"/>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b w:val="false"/>
                <w:bCs w:val="false"/>
                <w:sz w:val="20"/>
                <w:szCs w:val="20"/>
              </w:rPr>
              <w:t xml:space="preserve">5–7 maanden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Eenmalig</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€ 15.000 – 25.000</w:t>
            </w:r>
          </w:p>
        </w:tc>
        <w:tc>
          <w:tcPr>
            <w:tcW w:type="dxa" w:w="33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€ 125.000 – 215.000</w:t>
            </w:r>
          </w:p>
        </w:tc>
      </w:tr>
      <w:tr>
        <w:tc>
          <w:tcPr>
            <w:tcW w:type="dxa" w:w="250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b/>
                <w:bCs/>
                <w:sz w:val="20"/>
                <w:szCs w:val="20"/>
              </w:rPr>
              <w:t xml:space="preserve">Structureel / jaar</w:t>
            </w:r>
          </w:p>
        </w:tc>
        <w:tc>
          <w:tcPr>
            <w:tcW w:type="dxa" w:w="320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b w:val="false"/>
                <w:bCs w:val="false"/>
                <w:sz w:val="20"/>
                <w:szCs w:val="20"/>
              </w:rPr>
              <w:t xml:space="preserve">€ 42.000 – 67.000</w:t>
            </w:r>
          </w:p>
        </w:tc>
        <w:tc>
          <w:tcPr>
            <w:tcW w:type="dxa" w:w="3326"/>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b w:val="false"/>
                <w:bCs w:val="false"/>
                <w:sz w:val="20"/>
                <w:szCs w:val="20"/>
              </w:rPr>
              <w:t xml:space="preserve">€ 201.000 – 325.000</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Risico</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Laag</w:t>
            </w:r>
          </w:p>
        </w:tc>
        <w:tc>
          <w:tcPr>
            <w:tcW w:type="dxa" w:w="33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Beheersbaar (gefaseerd)</w:t>
            </w:r>
          </w:p>
        </w:tc>
      </w:tr>
      <w:tr>
        <w:tc>
          <w:tcPr>
            <w:tcW w:type="dxa" w:w="250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b/>
                <w:bCs/>
                <w:sz w:val="20"/>
                <w:szCs w:val="20"/>
              </w:rPr>
              <w:t xml:space="preserve">Compliance</w:t>
            </w:r>
          </w:p>
        </w:tc>
        <w:tc>
          <w:tcPr>
            <w:tcW w:type="dxa" w:w="320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b w:val="false"/>
                <w:bCs w:val="false"/>
                <w:sz w:val="20"/>
                <w:szCs w:val="20"/>
              </w:rPr>
              <w:t xml:space="preserve">Basis</w:t>
            </w:r>
          </w:p>
        </w:tc>
        <w:tc>
          <w:tcPr>
            <w:tcW w:type="dxa" w:w="3326"/>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b w:val="false"/>
                <w:bCs w:val="false"/>
                <w:sz w:val="20"/>
                <w:szCs w:val="20"/>
              </w:rPr>
              <w:t xml:space="preserve">Volledig (BIO, DPIA, WCAG)</w:t>
            </w:r>
          </w:p>
        </w:tc>
      </w:tr>
    </w:tbl>
    <w:p>
      <w:pPr>
        <w:spacing w:after="120"/>
      </w:pPr>
      <w:r>
        <w:rPr>
          <w:rFonts w:ascii="Arial" w:cs="Arial" w:eastAsia="Arial" w:hAnsi="Arial"/>
          <w:b w:val="false"/>
          <w:bCs w:val="false"/>
          <w:i w:val="false"/>
          <w:iCs w:val="false"/>
          <w:sz w:val="21"/>
          <w:szCs w:val="21"/>
        </w:rPr>
        <w:t xml:space="preserve"/>
      </w:r>
    </w:p>
    <w:p>
      <w:pPr>
        <w:pStyle w:val="Heading2"/>
        <w:spacing w:after="160" w:before="280"/>
      </w:pPr>
      <w:r>
        <w:rPr>
          <w:rFonts w:ascii="Arial" w:cs="Arial" w:eastAsia="Arial" w:hAnsi="Arial"/>
          <w:b/>
          <w:bCs/>
          <w:color w:val="1A6CA8"/>
          <w:sz w:val="26"/>
          <w:szCs w:val="26"/>
        </w:rPr>
        <w:t xml:space="preserve">7.2 Aanbeveling</w:t>
      </w:r>
    </w:p>
    <w:p>
      <w:pPr>
        <w:spacing w:after="120"/>
      </w:pPr>
      <w:r>
        <w:rPr>
          <w:rFonts w:ascii="Arial" w:cs="Arial" w:eastAsia="Arial" w:hAnsi="Arial"/>
          <w:b w:val="false"/>
          <w:bCs w:val="false"/>
          <w:i w:val="false"/>
          <w:iCs w:val="false"/>
          <w:sz w:val="21"/>
          <w:szCs w:val="21"/>
        </w:rPr>
        <w:t xml:space="preserve">ArchiXL adviseert om te starten met Scenario A (MVP) om de directe continuïteitsbehoefte op te lossen. Het platform kan binnen 2–4 weken live zijn en vervangt het huidige Drupal-systeem. Vervolgens kan stapsgewijs worden doorontwikkeld richting Scenario B.</w:t>
      </w:r>
    </w:p>
    <w:p>
      <w:pPr>
        <w:spacing w:after="120"/>
      </w:pPr>
      <w:r>
        <w:rPr>
          <w:rFonts w:ascii="Arial" w:cs="Arial" w:eastAsia="Arial" w:hAnsi="Arial"/>
          <w:b w:val="false"/>
          <w:bCs w:val="false"/>
          <w:i w:val="false"/>
          <w:iCs w:val="false"/>
          <w:sz w:val="21"/>
          <w:szCs w:val="21"/>
        </w:rPr>
        <w:t xml:space="preserve">Deze gefaseerde aanpak beperkt het financiële risico, levert snel een werkend resultaat op en biedt de ruimte om op basis van gebruikersfeedback de juiste prioriteiten te stellen.</w:t>
      </w:r>
    </w:p>
    <w:p>
      <w:pPr>
        <w:pStyle w:val="Heading2"/>
        <w:spacing w:after="160" w:before="280"/>
      </w:pPr>
      <w:r>
        <w:rPr>
          <w:rFonts w:ascii="Arial" w:cs="Arial" w:eastAsia="Arial" w:hAnsi="Arial"/>
          <w:b/>
          <w:bCs/>
          <w:color w:val="1A6CA8"/>
          <w:sz w:val="26"/>
          <w:szCs w:val="26"/>
        </w:rPr>
        <w:t xml:space="preserve">7.3 Intellectueel eigendom en sectorale inzet</w:t>
      </w:r>
    </w:p>
    <w:p>
      <w:pPr>
        <w:spacing w:after="120"/>
      </w:pPr>
      <w:r>
        <w:rPr>
          <w:rFonts w:ascii="Arial" w:cs="Arial" w:eastAsia="Arial" w:hAnsi="Arial"/>
          <w:b w:val="false"/>
          <w:bCs w:val="false"/>
          <w:i w:val="false"/>
          <w:iCs w:val="false"/>
          <w:sz w:val="21"/>
          <w:szCs w:val="21"/>
        </w:rPr>
        <w:t xml:space="preserve">ArchiXL behoudt als ontwikkelaar de intellectuele eigendomsrechten op het platform. VNG verkrijgt een gebruiksrecht voor de gemeentelijke sector.</w:t>
      </w:r>
    </w:p>
    <w:p>
      <w:pPr>
        <w:spacing w:after="120"/>
      </w:pPr>
      <w:r>
        <w:rPr>
          <w:rFonts w:ascii="Arial" w:cs="Arial" w:eastAsia="Arial" w:hAnsi="Arial"/>
          <w:b w:val="false"/>
          <w:bCs w:val="false"/>
          <w:i w:val="false"/>
          <w:iCs w:val="false"/>
          <w:sz w:val="21"/>
          <w:szCs w:val="21"/>
        </w:rPr>
        <w:t xml:space="preserve">ArchiXL heeft het recht om het platform ook in te zetten in andere publieke sectoren (onderwijs, waterschappen). Dit biedt voordelen:</w:t>
      </w:r>
    </w:p>
    <w:p>
      <w:pPr>
        <w:pStyle w:val="ListParagraph"/>
        <w:numPr>
          <w:ilvl w:val="0"/>
          <w:numId w:val="2"/>
        </w:numPr>
        <w:spacing w:after="60"/>
      </w:pPr>
      <w:r>
        <w:rPr>
          <w:rFonts w:ascii="Arial" w:cs="Arial" w:eastAsia="Arial" w:hAnsi="Arial"/>
          <w:sz w:val="21"/>
          <w:szCs w:val="21"/>
        </w:rPr>
        <w:t xml:space="preserve">Gedeelde ontwikkelkosten over meerdere sectoren</w:t>
      </w:r>
    </w:p>
    <w:p>
      <w:pPr>
        <w:pStyle w:val="ListParagraph"/>
        <w:numPr>
          <w:ilvl w:val="0"/>
          <w:numId w:val="2"/>
        </w:numPr>
        <w:spacing w:after="60"/>
      </w:pPr>
      <w:r>
        <w:rPr>
          <w:rFonts w:ascii="Arial" w:cs="Arial" w:eastAsia="Arial" w:hAnsi="Arial"/>
          <w:sz w:val="21"/>
          <w:szCs w:val="21"/>
        </w:rPr>
        <w:t xml:space="preserve">Kennisdeling en best practices tussen sectoren</w:t>
      </w:r>
    </w:p>
    <w:p>
      <w:pPr>
        <w:pStyle w:val="ListParagraph"/>
        <w:numPr>
          <w:ilvl w:val="0"/>
          <w:numId w:val="2"/>
        </w:numPr>
        <w:spacing w:after="60"/>
      </w:pPr>
      <w:r>
        <w:rPr>
          <w:rFonts w:ascii="Arial" w:cs="Arial" w:eastAsia="Arial" w:hAnsi="Arial"/>
          <w:sz w:val="21"/>
          <w:szCs w:val="21"/>
        </w:rPr>
        <w:t xml:space="preserve">Continuïteit door breder draagvlak</w:t>
      </w:r>
    </w:p>
    <w:p>
      <w:pPr>
        <w:pStyle w:val="ListParagraph"/>
        <w:numPr>
          <w:ilvl w:val="0"/>
          <w:numId w:val="2"/>
        </w:numPr>
        <w:spacing w:after="60"/>
      </w:pPr>
      <w:r>
        <w:rPr>
          <w:rFonts w:ascii="Arial" w:cs="Arial" w:eastAsia="Arial" w:hAnsi="Arial"/>
          <w:sz w:val="21"/>
          <w:szCs w:val="21"/>
        </w:rPr>
        <w:t xml:space="preserve">Sectorspecifieke configuratie binnen gedeeld platform</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999999"/>
        <w:sz w:val="16"/>
        <w:szCs w:val="16"/>
      </w:rPr>
      <w:t xml:space="preserve">Pagina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999999"/>
        <w:sz w:val="16"/>
        <w:szCs w:val="16"/>
      </w:rPr>
      <w:t xml:space="preserve">Advies Voorzieningencatalogus — ArchiXL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6CA8"/>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A6CA8"/>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2026-03-18T21:53:40.447Z</dcterms:created>
  <dcterms:modified xsi:type="dcterms:W3CDTF">2026-03-18T21:53:40.448Z</dcterms:modified>
</cp:coreProperties>
</file>

<file path=docProps/custom.xml><?xml version="1.0" encoding="utf-8"?>
<Properties xmlns="http://schemas.openxmlformats.org/officeDocument/2006/custom-properties" xmlns:vt="http://schemas.openxmlformats.org/officeDocument/2006/docPropsVTypes"/>
</file>