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194089D4" w:rsidR="00FB3DD0" w:rsidRDefault="00AB7842" w:rsidP="00AB2324">
      <w:pPr>
        <w:pStyle w:val="TS"/>
        <w:spacing w:line="480" w:lineRule="auto"/>
      </w:pPr>
      <w:r>
        <w:t>Chapter 4 Outline</w:t>
      </w:r>
    </w:p>
    <w:p w14:paraId="7BD41879" w14:textId="12BBCFAC" w:rsidR="00AB7842" w:rsidRDefault="00AB7842" w:rsidP="00AB2324">
      <w:pPr>
        <w:pStyle w:val="TS"/>
        <w:spacing w:line="480" w:lineRule="auto"/>
      </w:pPr>
    </w:p>
    <w:p w14:paraId="6FF3CAC5" w14:textId="76B6EC43" w:rsidR="007934CB" w:rsidRDefault="007934CB" w:rsidP="00AB2324">
      <w:pPr>
        <w:pStyle w:val="TS"/>
        <w:spacing w:line="480" w:lineRule="auto"/>
      </w:pPr>
    </w:p>
    <w:p w14:paraId="6292BA8D" w14:textId="236EAAEE" w:rsidR="007934CB" w:rsidRPr="00AF4A18" w:rsidRDefault="00AF4A18" w:rsidP="00AB2324">
      <w:pPr>
        <w:pStyle w:val="TS"/>
        <w:spacing w:line="480" w:lineRule="auto"/>
        <w:rPr>
          <w:b/>
          <w:bCs/>
        </w:rPr>
      </w:pPr>
      <w:r>
        <w:rPr>
          <w:b/>
          <w:bCs/>
        </w:rPr>
        <w:t xml:space="preserve">Rationale – why do </w:t>
      </w:r>
      <w:r w:rsidR="00F6560C">
        <w:rPr>
          <w:b/>
          <w:bCs/>
        </w:rPr>
        <w:t>we</w:t>
      </w:r>
      <w:r>
        <w:rPr>
          <w:b/>
          <w:bCs/>
        </w:rPr>
        <w:t xml:space="preserve"> want to do this work?</w:t>
      </w:r>
    </w:p>
    <w:p w14:paraId="27BD047C" w14:textId="6057C796" w:rsidR="00B41152" w:rsidRDefault="00B41152" w:rsidP="00AB2324">
      <w:pPr>
        <w:pStyle w:val="TS"/>
        <w:spacing w:line="480" w:lineRule="auto"/>
      </w:pPr>
    </w:p>
    <w:p w14:paraId="2290BF54" w14:textId="52740A0C" w:rsidR="00F6560C" w:rsidRPr="00F6560C" w:rsidRDefault="00F6560C" w:rsidP="00AB2324">
      <w:pPr>
        <w:pStyle w:val="TS"/>
        <w:spacing w:line="480" w:lineRule="auto"/>
        <w:rPr>
          <w:i/>
          <w:iCs/>
        </w:rPr>
      </w:pPr>
      <w:r>
        <w:rPr>
          <w:i/>
          <w:iCs/>
        </w:rPr>
        <w:t>Rationale for this specific approach</w:t>
      </w:r>
    </w:p>
    <w:p w14:paraId="5661C8A7" w14:textId="74ACB2E0" w:rsidR="00B41152" w:rsidRDefault="00B41152" w:rsidP="00AB2324">
      <w:pPr>
        <w:pStyle w:val="TS"/>
        <w:spacing w:line="480" w:lineRule="auto"/>
      </w:pPr>
      <w:r>
        <w:t xml:space="preserve">Hypoxia is common in the early life environment of </w:t>
      </w:r>
      <w:r>
        <w:rPr>
          <w:i/>
          <w:iCs/>
        </w:rPr>
        <w:t xml:space="preserve">Menidia </w:t>
      </w:r>
      <w:proofErr w:type="spellStart"/>
      <w:r>
        <w:rPr>
          <w:i/>
          <w:iCs/>
        </w:rPr>
        <w:t>menidia</w:t>
      </w:r>
      <w:proofErr w:type="spellEnd"/>
      <w:r>
        <w:t xml:space="preserve"> and is expected to intensify </w:t>
      </w:r>
      <w:r w:rsidR="0006789D">
        <w:t>with global warming</w:t>
      </w:r>
      <w:r>
        <w:t xml:space="preserve"> (</w:t>
      </w:r>
      <w:proofErr w:type="spellStart"/>
      <w:r w:rsidR="000E5B61">
        <w:t>Cadigan</w:t>
      </w:r>
      <w:proofErr w:type="spellEnd"/>
      <w:r w:rsidR="000E5B61">
        <w:t xml:space="preserve"> and Fell, 1985; </w:t>
      </w:r>
      <w:proofErr w:type="spellStart"/>
      <w:r w:rsidR="0006789D">
        <w:t>Breitburg</w:t>
      </w:r>
      <w:proofErr w:type="spellEnd"/>
      <w:r w:rsidR="0006789D">
        <w:t xml:space="preserve"> et al., 2018</w:t>
      </w:r>
      <w:r>
        <w:t xml:space="preserve">). Currently the species is tolerant </w:t>
      </w:r>
      <w:r w:rsidR="0006789D">
        <w:t>enough</w:t>
      </w:r>
      <w:r>
        <w:t xml:space="preserve"> that </w:t>
      </w:r>
      <w:r w:rsidR="008909B0">
        <w:t>population declines are not a concern, but without knowledge of the mechanisms of early life impacts it is hard to predict whether this will change under increased hypoxia and coinciding stressors (</w:t>
      </w:r>
      <w:r w:rsidR="008909B0">
        <w:rPr>
          <w:rFonts w:cs="Times New Roman"/>
          <w:szCs w:val="24"/>
        </w:rPr>
        <w:t>Baumann, 2019</w:t>
      </w:r>
      <w:r w:rsidR="008909B0">
        <w:t>).</w:t>
      </w:r>
      <w:r>
        <w:t xml:space="preserve"> It is important to unify </w:t>
      </w:r>
      <w:r w:rsidR="008909B0">
        <w:t xml:space="preserve">the </w:t>
      </w:r>
      <w:r>
        <w:t>multiple physiological responses</w:t>
      </w:r>
      <w:r w:rsidR="008909B0">
        <w:t xml:space="preserve"> we have documented </w:t>
      </w:r>
      <w:proofErr w:type="gramStart"/>
      <w:r w:rsidR="008909B0">
        <w:t xml:space="preserve">in order </w:t>
      </w:r>
      <w:r>
        <w:t>to</w:t>
      </w:r>
      <w:proofErr w:type="gramEnd"/>
      <w:r>
        <w:t xml:space="preserve"> quantify population-level consequences, and a DEB model builds the foundation to do so</w:t>
      </w:r>
      <w:r w:rsidR="008909B0">
        <w:t xml:space="preserve"> (</w:t>
      </w:r>
      <w:proofErr w:type="spellStart"/>
      <w:r w:rsidR="008909B0">
        <w:t>Lavaud</w:t>
      </w:r>
      <w:proofErr w:type="spellEnd"/>
      <w:r w:rsidR="008909B0">
        <w:t xml:space="preserve"> et al., 2021)</w:t>
      </w:r>
      <w:r>
        <w:t xml:space="preserve">. </w:t>
      </w:r>
    </w:p>
    <w:p w14:paraId="4CA8A073" w14:textId="7C2046EC" w:rsidR="0006789D" w:rsidRDefault="0006789D" w:rsidP="00AB2324">
      <w:pPr>
        <w:pStyle w:val="TS"/>
        <w:spacing w:line="480" w:lineRule="auto"/>
      </w:pPr>
    </w:p>
    <w:p w14:paraId="71A17631" w14:textId="77777777" w:rsidR="00F6560C" w:rsidRDefault="0006789D" w:rsidP="00AB2324">
      <w:pPr>
        <w:pStyle w:val="TS"/>
        <w:spacing w:line="480" w:lineRule="auto"/>
      </w:pPr>
      <w:r>
        <w:t xml:space="preserve">A primary mechanism by which the fish energy budget is thought to be impacted by hypoxia is reduced food consumption (Chabot and </w:t>
      </w:r>
      <w:proofErr w:type="spellStart"/>
      <w:r>
        <w:t>Dutil</w:t>
      </w:r>
      <w:proofErr w:type="spellEnd"/>
      <w:r>
        <w:t xml:space="preserve">, 1999; Thomas et al., 2019). However, consumption effects do not explain the observed hypoxia impacts on </w:t>
      </w:r>
      <w:r>
        <w:rPr>
          <w:i/>
          <w:iCs/>
        </w:rPr>
        <w:t>M. menidia</w:t>
      </w:r>
      <w:r>
        <w:t xml:space="preserve"> hatch survival and size (Cross et al., 2019) because embryos do not feed. </w:t>
      </w:r>
      <w:r w:rsidR="006C2669">
        <w:t xml:space="preserve">For this </w:t>
      </w:r>
      <w:proofErr w:type="gramStart"/>
      <w:r w:rsidR="006C2669">
        <w:t>reason</w:t>
      </w:r>
      <w:proofErr w:type="gramEnd"/>
      <w:r w:rsidR="006C2669">
        <w:t xml:space="preserve"> it is necessary to put a particular focus on the early life energy budget and attempt to identify alternative DEB processes in </w:t>
      </w:r>
      <w:r w:rsidR="006C2669">
        <w:rPr>
          <w:i/>
          <w:iCs/>
        </w:rPr>
        <w:t>M. menidia</w:t>
      </w:r>
      <w:r w:rsidR="006C2669">
        <w:t xml:space="preserve"> that are impacted by </w:t>
      </w:r>
      <w:commentRangeStart w:id="0"/>
      <w:r w:rsidR="006C2669">
        <w:t>hypoxia</w:t>
      </w:r>
      <w:commentRangeEnd w:id="0"/>
      <w:r w:rsidR="00A73CA5">
        <w:rPr>
          <w:rStyle w:val="CommentReference"/>
          <w:rFonts w:asciiTheme="minorHAnsi" w:hAnsiTheme="minorHAnsi"/>
        </w:rPr>
        <w:commentReference w:id="0"/>
      </w:r>
      <w:r w:rsidR="006C2669">
        <w:t xml:space="preserve">. </w:t>
      </w:r>
    </w:p>
    <w:p w14:paraId="692B9B26" w14:textId="7FFB8C3C" w:rsidR="00F6560C" w:rsidRDefault="00F6560C" w:rsidP="00AB2324">
      <w:pPr>
        <w:pStyle w:val="TS"/>
        <w:spacing w:line="480" w:lineRule="auto"/>
      </w:pPr>
    </w:p>
    <w:p w14:paraId="703FC94A" w14:textId="01A2DF29" w:rsidR="00F6560C" w:rsidRPr="00F6560C" w:rsidRDefault="00F6560C" w:rsidP="00AB2324">
      <w:pPr>
        <w:pStyle w:val="TS"/>
        <w:spacing w:line="480" w:lineRule="auto"/>
        <w:rPr>
          <w:i/>
          <w:iCs/>
        </w:rPr>
      </w:pPr>
      <w:r>
        <w:rPr>
          <w:i/>
          <w:iCs/>
        </w:rPr>
        <w:t>Big picture rationale</w:t>
      </w:r>
    </w:p>
    <w:p w14:paraId="7D4DC231" w14:textId="5D6B7F32" w:rsidR="0006789D" w:rsidRPr="00F6560C" w:rsidRDefault="00F6560C" w:rsidP="00AB2324">
      <w:pPr>
        <w:pStyle w:val="TS"/>
        <w:spacing w:line="480" w:lineRule="auto"/>
      </w:pPr>
      <w:r>
        <w:lastRenderedPageBreak/>
        <w:t xml:space="preserve">Developing a model that incorporates physiological and energetic mechanisms of hypoxia effects creates a widely applicable tool that can be used not only for making population-level predictions of hypoxia effects, but also be incorporated into larger models of other stressor impacts such as acidification and contaminant effects. This type of work could be continued for </w:t>
      </w:r>
      <w:r>
        <w:rPr>
          <w:i/>
          <w:iCs/>
        </w:rPr>
        <w:t>M. menidia</w:t>
      </w:r>
      <w:r>
        <w:t xml:space="preserve"> as a model species and ecologically important fish, or it could be modified to other species for which similar data are available. </w:t>
      </w:r>
    </w:p>
    <w:p w14:paraId="4A32924E" w14:textId="11238C63" w:rsidR="00B41152" w:rsidRDefault="00B41152" w:rsidP="00AB2324">
      <w:pPr>
        <w:pStyle w:val="TS"/>
        <w:spacing w:line="480" w:lineRule="auto"/>
      </w:pPr>
    </w:p>
    <w:p w14:paraId="3F9A8B4B" w14:textId="77777777" w:rsidR="00162C98" w:rsidRDefault="00162C98" w:rsidP="00AB2324">
      <w:pPr>
        <w:pStyle w:val="TS"/>
        <w:spacing w:line="480" w:lineRule="auto"/>
        <w:rPr>
          <w:b/>
          <w:bCs/>
        </w:rPr>
      </w:pPr>
    </w:p>
    <w:p w14:paraId="1BCD6179" w14:textId="58C4B722" w:rsidR="00B41152" w:rsidRDefault="0006789D" w:rsidP="00AB2324">
      <w:pPr>
        <w:pStyle w:val="TS"/>
        <w:spacing w:line="480" w:lineRule="auto"/>
        <w:rPr>
          <w:b/>
          <w:bCs/>
        </w:rPr>
      </w:pPr>
      <w:r>
        <w:rPr>
          <w:b/>
          <w:bCs/>
        </w:rPr>
        <w:t xml:space="preserve">Methods </w:t>
      </w:r>
    </w:p>
    <w:p w14:paraId="0DB27523" w14:textId="124474C4" w:rsidR="00AB2324" w:rsidRDefault="00AB2324" w:rsidP="00AB2324">
      <w:pPr>
        <w:pStyle w:val="TS"/>
        <w:spacing w:line="480" w:lineRule="auto"/>
        <w:rPr>
          <w:b/>
          <w:bCs/>
        </w:rPr>
      </w:pP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37B8A5D" w14:textId="5204C51C" w:rsidR="00876CDC" w:rsidRPr="0088267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w:t>
      </w:r>
      <w:proofErr w:type="spellStart"/>
      <w:r w:rsidR="0097432D">
        <w:t>DEBkiss</w:t>
      </w:r>
      <w:proofErr w:type="spellEnd"/>
      <w:r w:rsidR="0097432D">
        <w:t xml:space="preserve">, a simplified and widely applicable DEB model (Jager et al., 2013; Jager, 2018). </w:t>
      </w:r>
      <w:r w:rsidR="00781F3F">
        <w:t>The full set of assumptions and equations can be found in Jager (2018). Briefly,</w:t>
      </w:r>
      <w:r w:rsidR="00733DA2">
        <w:t xml:space="preserve"> in juveniles and adults</w:t>
      </w:r>
      <w:r w:rsidR="00781F3F">
        <w:t xml:space="preserve"> the </w:t>
      </w:r>
      <w:r w:rsidR="00CA3DC2">
        <w:t>flux of food (</w:t>
      </w:r>
      <w:r w:rsidR="00CA3DC2">
        <w:rPr>
          <w:i/>
          <w:iCs/>
        </w:rPr>
        <w:t>J</w:t>
      </w:r>
      <w:r w:rsidR="00CA3DC2">
        <w:rPr>
          <w:i/>
          <w:iCs/>
          <w:vertAlign w:val="subscript"/>
        </w:rPr>
        <w:t>X</w:t>
      </w:r>
      <w:r w:rsidR="00CA3DC2">
        <w:t xml:space="preserve">) is converted to assimilates with an efficiency </w:t>
      </w:r>
      <w:proofErr w:type="spellStart"/>
      <w:r w:rsidR="00CA3DC2">
        <w:rPr>
          <w:i/>
          <w:iCs/>
        </w:rPr>
        <w:t>y</w:t>
      </w:r>
      <w:r w:rsidR="00CA3DC2">
        <w:rPr>
          <w:i/>
          <w:iCs/>
          <w:vertAlign w:val="subscript"/>
        </w:rPr>
        <w:t>AX</w:t>
      </w:r>
      <w:proofErr w:type="spellEnd"/>
      <w:r w:rsidR="00CA3DC2">
        <w:t xml:space="preserve"> which is then allocated to a somatic fraction (</w:t>
      </w:r>
      <w:r w:rsidR="00CA3DC2" w:rsidRPr="00CA3DC2">
        <w:rPr>
          <w:rFonts w:cs="Times New Roman"/>
          <w:i/>
          <w:iCs/>
        </w:rPr>
        <w:t>κ</w:t>
      </w:r>
      <w:r w:rsidR="00CA3DC2">
        <w:t>) and a reproductive fraction (1-</w:t>
      </w:r>
      <w:r w:rsidR="00CA3DC2">
        <w:rPr>
          <w:rFonts w:cs="Times New Roman"/>
          <w:i/>
          <w:iCs/>
        </w:rPr>
        <w:t>κ</w:t>
      </w:r>
      <w:r w:rsidR="00CA3DC2">
        <w:t>)</w:t>
      </w:r>
      <w:r w:rsidR="0088267D">
        <w:t xml:space="preserve"> which are constant throughout the life cycle</w:t>
      </w:r>
      <w:r w:rsidR="00CA3DC2">
        <w:t>. 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is prioritized while the remainder goes to the flux for structure (</w:t>
      </w:r>
      <w:r w:rsidR="00CA3DC2">
        <w:rPr>
          <w:i/>
          <w:iCs/>
        </w:rPr>
        <w:t>J</w:t>
      </w:r>
      <w:r w:rsidR="00CA3DC2">
        <w:rPr>
          <w:i/>
          <w:iCs/>
          <w:vertAlign w:val="subscript"/>
        </w:rPr>
        <w:t>V</w:t>
      </w:r>
      <w:r w:rsidR="00CA3DC2">
        <w:t>)</w:t>
      </w:r>
      <w:r w:rsidR="00733DA2">
        <w:t xml:space="preserve"> with a conversion efficiency </w:t>
      </w:r>
      <w:proofErr w:type="spellStart"/>
      <w:r w:rsidR="00733DA2">
        <w:rPr>
          <w:i/>
          <w:iCs/>
        </w:rPr>
        <w:t>y</w:t>
      </w:r>
      <w:r w:rsidR="00733DA2">
        <w:rPr>
          <w:i/>
          <w:iCs/>
          <w:vertAlign w:val="subscript"/>
        </w:rPr>
        <w:t>VA</w:t>
      </w:r>
      <w:proofErr w:type="spellEnd"/>
      <w:r w:rsidR="00733DA2">
        <w:t xml:space="preserve">. </w:t>
      </w:r>
      <w:r w:rsidR="00B639A6">
        <w:t>For juveniles, t</w:t>
      </w:r>
      <w:r w:rsidR="00733DA2">
        <w:t xml:space="preserve">he </w:t>
      </w:r>
      <w:r w:rsidR="0088267D">
        <w:t xml:space="preserve">non-somatic fraction of assimilates is spent on </w:t>
      </w:r>
      <w:proofErr w:type="gramStart"/>
      <w:r w:rsidR="0088267D">
        <w:t>maturation, or</w:t>
      </w:r>
      <w:proofErr w:type="gramEnd"/>
      <w:r w:rsidR="0088267D">
        <w:t xml:space="preserve"> increasing complexity through gonad development. O</w:t>
      </w:r>
      <w:r w:rsidR="00733DA2">
        <w:t xml:space="preserve">nce the size at puberty is reached,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proofErr w:type="spellStart"/>
      <w:r w:rsidR="00733DA2">
        <w:rPr>
          <w:i/>
          <w:iCs/>
        </w:rPr>
        <w:t>y</w:t>
      </w:r>
      <w:r w:rsidR="00733DA2">
        <w:rPr>
          <w:i/>
          <w:iCs/>
          <w:vertAlign w:val="subscript"/>
        </w:rPr>
        <w:t>BA</w:t>
      </w:r>
      <w:proofErr w:type="spellEnd"/>
      <w:r w:rsidR="00733DA2">
        <w:t xml:space="preserve">. </w:t>
      </w:r>
      <w:proofErr w:type="spellStart"/>
      <w:r w:rsidR="0088267D">
        <w:t>DEBkiss</w:t>
      </w:r>
      <w:proofErr w:type="spellEnd"/>
      <w:r w:rsidR="0088267D">
        <w:t xml:space="preserve"> also uses an optional flux </w:t>
      </w:r>
      <w:r w:rsidR="0088267D">
        <w:lastRenderedPageBreak/>
        <w:t>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00BFA430" w14:textId="00B954FB" w:rsidR="00AB2324" w:rsidRDefault="00235D9D" w:rsidP="00733DA2">
      <w:pPr>
        <w:pStyle w:val="TS"/>
        <w:spacing w:line="480" w:lineRule="auto"/>
        <w:ind w:firstLine="720"/>
      </w:pPr>
      <w:r>
        <w:t>Like the standard DEB model (</w:t>
      </w:r>
      <w:proofErr w:type="spellStart"/>
      <w:r>
        <w:t>Kooijman</w:t>
      </w:r>
      <w:proofErr w:type="spellEnd"/>
      <w:r>
        <w:t xml:space="preserve">, 2010), the </w:t>
      </w:r>
      <w:proofErr w:type="spellStart"/>
      <w:r>
        <w:t>DEBkiss</w:t>
      </w:r>
      <w:proofErr w:type="spellEnd"/>
      <w:r>
        <w:t xml:space="preserve"> framework specifies the inputs, relative allocation, and sinks of energy and mass in a general enough manner to be applied to most animals, although it does not apply to other forms of life such as plants. However, </w:t>
      </w:r>
      <w:proofErr w:type="spellStart"/>
      <w:r>
        <w:t>DEBkiss</w:t>
      </w:r>
      <w:proofErr w:type="spellEnd"/>
      <w:r>
        <w:t xml:space="preserve"> uses fewer parameters than the standard DEB model which reduces data requirements and the risk of overfitting</w:t>
      </w:r>
      <w:r w:rsidR="00CA3DC2">
        <w:t>. It</w:t>
      </w:r>
      <w:r w:rsidR="0020401D">
        <w:t xml:space="preserve"> lacks a </w:t>
      </w:r>
      <w:r w:rsidR="00CA3DC2">
        <w:t xml:space="preserve">state variable for maturity that triggers changes between life stages, instead using a constant size at puberty to specify when reproduction is initiated. It also has no </w:t>
      </w:r>
      <w:r w:rsidR="0020401D">
        <w:t>reserve compartment between food assimilation and allocation</w:t>
      </w:r>
      <w:r w:rsidR="00CA3DC2">
        <w:t>, and for embryos this means that the egg buffer is assimilated into body structure and fully depleted immediately before hatching instead of following reserve dynamics of the standard DEB model</w:t>
      </w:r>
      <w:r w:rsidR="0020401D">
        <w:t xml:space="preserve">. </w:t>
      </w:r>
      <w:r w:rsidR="00781F3F">
        <w:t xml:space="preserve"> </w:t>
      </w:r>
    </w:p>
    <w:p w14:paraId="60FDCE97" w14:textId="333E8188" w:rsidR="00876CDC" w:rsidRPr="00E159CC" w:rsidRDefault="00876CDC" w:rsidP="00733DA2">
      <w:pPr>
        <w:pStyle w:val="TS"/>
        <w:spacing w:line="480" w:lineRule="auto"/>
        <w:ind w:firstLine="720"/>
      </w:pPr>
      <w:r>
        <w:t xml:space="preserve">To </w:t>
      </w:r>
      <w:r w:rsidR="00E159CC">
        <w:t>address</w:t>
      </w:r>
      <w:r>
        <w:t xml:space="preserve"> the assumption of </w:t>
      </w:r>
      <w:proofErr w:type="spellStart"/>
      <w:r>
        <w:t>DEBkiss</w:t>
      </w:r>
      <w:proofErr w:type="spellEnd"/>
      <w:r>
        <w:t xml:space="preserve"> that all eggs hatch when buffer is depleted, regardless of body size or developmental progress</w:t>
      </w:r>
      <w:r w:rsidR="00E159CC">
        <w:t xml:space="preserve"> (Jager et al., 2013)</w:t>
      </w:r>
      <w:r>
        <w:t xml:space="preserve">, we added </w:t>
      </w:r>
      <w:r w:rsidR="00E159CC">
        <w:t xml:space="preserve">a survival variable. We fitted </w:t>
      </w:r>
      <w:r w:rsidR="00B639A6">
        <w:t xml:space="preserve">mortality parameters </w:t>
      </w:r>
      <w:r w:rsidR="00E159CC">
        <w:t>for embryos and post-hatch fish (</w:t>
      </w:r>
      <w:proofErr w:type="spellStart"/>
      <w:r w:rsidR="00E159CC">
        <w:rPr>
          <w:rFonts w:cs="Times New Roman"/>
          <w:i/>
          <w:iCs/>
        </w:rPr>
        <w:t>μ</w:t>
      </w:r>
      <w:r w:rsidR="00E159CC">
        <w:rPr>
          <w:rFonts w:cs="Times New Roman"/>
          <w:i/>
          <w:iCs/>
          <w:vertAlign w:val="subscript"/>
        </w:rPr>
        <w:t>emb</w:t>
      </w:r>
      <w:proofErr w:type="spellEnd"/>
      <w:r w:rsidR="00E159CC">
        <w:rPr>
          <w:rFonts w:cs="Times New Roman"/>
          <w:i/>
          <w:iCs/>
        </w:rPr>
        <w:t xml:space="preserve"> </w:t>
      </w:r>
      <w:r w:rsidR="00E159CC">
        <w:rPr>
          <w:rFonts w:cs="Times New Roman"/>
        </w:rPr>
        <w:t xml:space="preserve">and </w:t>
      </w:r>
      <w:proofErr w:type="spellStart"/>
      <w:r w:rsidR="00E159CC">
        <w:rPr>
          <w:rFonts w:cs="Times New Roman"/>
          <w:i/>
          <w:iCs/>
        </w:rPr>
        <w:t>μ</w:t>
      </w:r>
      <w:r w:rsidR="00E159CC">
        <w:rPr>
          <w:rFonts w:cs="Times New Roman"/>
          <w:i/>
          <w:iCs/>
          <w:vertAlign w:val="subscript"/>
        </w:rPr>
        <w:t>lar</w:t>
      </w:r>
      <w:proofErr w:type="spellEnd"/>
      <w:r w:rsidR="00E159CC">
        <w:rPr>
          <w:rFonts w:cs="Times New Roman"/>
        </w:rPr>
        <w:t>) to data for survival to hatching and larval/</w:t>
      </w:r>
      <w:proofErr w:type="gramStart"/>
      <w:r w:rsidR="00E159CC">
        <w:rPr>
          <w:rFonts w:cs="Times New Roman"/>
        </w:rPr>
        <w:t>juveniles</w:t>
      </w:r>
      <w:proofErr w:type="gramEnd"/>
      <w:r w:rsidR="00E159CC">
        <w:rPr>
          <w:rFonts w:cs="Times New Roman"/>
        </w:rPr>
        <w:t xml:space="preserve"> survival. In addition to allowing an alternative outcome to hatching when the egg buffer is depleted, this allowed us to examine survival </w:t>
      </w:r>
      <w:proofErr w:type="gramStart"/>
      <w:r w:rsidR="00E159CC">
        <w:rPr>
          <w:rFonts w:cs="Times New Roman"/>
        </w:rPr>
        <w:t>as a consequence of</w:t>
      </w:r>
      <w:proofErr w:type="gramEnd"/>
      <w:r w:rsidR="00E159CC">
        <w:rPr>
          <w:rFonts w:cs="Times New Roman"/>
        </w:rPr>
        <w:t xml:space="preserve"> hypoxia effects on the energy budget. </w:t>
      </w:r>
      <w:r w:rsidR="0088267D">
        <w:rPr>
          <w:rFonts w:cs="Times New Roman"/>
        </w:rPr>
        <w:t xml:space="preserve">In our implementation of survival, the only DEB process 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This is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efficiency of assimilates into structure. </w:t>
      </w:r>
    </w:p>
    <w:p w14:paraId="2E2757D1" w14:textId="3660BB74" w:rsidR="00AB2324" w:rsidRDefault="00AB2324" w:rsidP="00AB2324">
      <w:pPr>
        <w:pStyle w:val="TS"/>
        <w:spacing w:line="480" w:lineRule="auto"/>
        <w:rPr>
          <w:b/>
          <w:bCs/>
        </w:rPr>
      </w:pPr>
    </w:p>
    <w:p w14:paraId="38041267" w14:textId="12EAAD00" w:rsidR="00AB2324" w:rsidRDefault="0097432D" w:rsidP="00AB2324">
      <w:pPr>
        <w:pStyle w:val="TS"/>
        <w:spacing w:line="480" w:lineRule="auto"/>
      </w:pPr>
      <w:r>
        <w:rPr>
          <w:i/>
          <w:iCs/>
        </w:rPr>
        <w:t>Base Model Calibration</w:t>
      </w:r>
    </w:p>
    <w:p w14:paraId="0772F1E5" w14:textId="3A4B267D" w:rsidR="0097432D" w:rsidRDefault="0097432D" w:rsidP="00AB2324">
      <w:pPr>
        <w:pStyle w:val="TS"/>
        <w:spacing w:line="480" w:lineRule="auto"/>
      </w:pPr>
      <w:r>
        <w:lastRenderedPageBreak/>
        <w:tab/>
        <w:t xml:space="preserve">We used experimental data on </w:t>
      </w:r>
      <w:r>
        <w:rPr>
          <w:i/>
          <w:iCs/>
        </w:rPr>
        <w:t>M. menidia</w:t>
      </w:r>
      <w:r>
        <w:t xml:space="preserve"> and the closely related inland silverside </w:t>
      </w:r>
      <w:r>
        <w:rPr>
          <w:i/>
          <w:iCs/>
        </w:rPr>
        <w:t xml:space="preserve">M. </w:t>
      </w:r>
      <w:proofErr w:type="spellStart"/>
      <w:r>
        <w:rPr>
          <w:i/>
          <w:iCs/>
        </w:rPr>
        <w:t>beryllina</w:t>
      </w:r>
      <w:proofErr w:type="spellEnd"/>
      <w:r>
        <w:t xml:space="preserve"> to calculate core </w:t>
      </w:r>
      <w:proofErr w:type="spellStart"/>
      <w:r>
        <w:t>DEBkiss</w:t>
      </w:r>
      <w:proofErr w:type="spellEnd"/>
      <w:r>
        <w:t xml:space="preserve"> parameters</w:t>
      </w:r>
      <w:r w:rsidR="0077048B">
        <w:t xml:space="preserve">, estimated </w:t>
      </w:r>
      <w:r w:rsidR="00E56AEB">
        <w:t>three</w:t>
      </w:r>
      <w:r w:rsidR="0077048B">
        <w:t xml:space="preserve"> parameter</w:t>
      </w:r>
      <w:r w:rsidR="00E56AEB">
        <w:t>s</w:t>
      </w:r>
      <w:r w:rsidR="0077048B">
        <w:t xml:space="preserve"> by fitting </w:t>
      </w:r>
      <w:r w:rsidR="00E56AEB">
        <w:t>them</w:t>
      </w:r>
      <w:r w:rsidR="0077048B">
        <w:t xml:space="preserve"> to data</w:t>
      </w:r>
      <w:r w:rsidR="00E56AEB">
        <w:t xml:space="preserve">, </w:t>
      </w:r>
      <w:r w:rsidR="0077048B">
        <w:t xml:space="preserve">and fixed parameters for </w:t>
      </w:r>
      <w:r>
        <w:t>which we had insufficient data</w:t>
      </w:r>
      <w:r w:rsidR="0077048B">
        <w:t xml:space="preserve"> to calculate or estimate at suggested values (Jager, 2018)</w:t>
      </w:r>
      <w:r>
        <w:t xml:space="preserve">. The primary parameters and their calculated or estimated values are found in Table 1. </w:t>
      </w:r>
      <w:r w:rsidR="00E56AEB">
        <w:t>Fitting was done with the BYOM package …</w:t>
      </w:r>
    </w:p>
    <w:p w14:paraId="2A39A94C" w14:textId="0120A1C7" w:rsidR="0097432D" w:rsidRDefault="0097432D" w:rsidP="00AB2324">
      <w:pPr>
        <w:pStyle w:val="TS"/>
        <w:spacing w:line="480" w:lineRule="auto"/>
      </w:pPr>
    </w:p>
    <w:p w14:paraId="5BEB089D" w14:textId="68CCE7FC" w:rsidR="0097432D" w:rsidRDefault="00B5366E" w:rsidP="00AB2324">
      <w:pPr>
        <w:pStyle w:val="TS"/>
        <w:spacing w:line="480" w:lineRule="auto"/>
      </w:pPr>
      <w:r>
        <w:rPr>
          <w:i/>
          <w:iCs/>
        </w:rPr>
        <w:t>Data</w:t>
      </w:r>
    </w:p>
    <w:p w14:paraId="17EC999F" w14:textId="0EC91D30" w:rsidR="00B5366E" w:rsidRPr="00B5366E" w:rsidRDefault="00B5366E" w:rsidP="00AB2324">
      <w:pPr>
        <w:pStyle w:val="TS"/>
        <w:spacing w:line="480" w:lineRule="auto"/>
      </w:pPr>
      <w:r>
        <w:tab/>
        <w:t xml:space="preserve">For the base model we calculated and fitted parameters based on total length over time, initial egg buffer mass, time from fertilization to hatching (when egg buffer mass equals zero), cumulative egg production over time, and proportion surviving since fertilization over time. This allowed us to estimate length at puberty, which in this model is the length at the age at which egg production begins. We borrowed dry weight data from the closely related species </w:t>
      </w:r>
      <w:r>
        <w:rPr>
          <w:i/>
          <w:iCs/>
        </w:rPr>
        <w:t xml:space="preserve">M. </w:t>
      </w:r>
      <w:proofErr w:type="spellStart"/>
      <w:r>
        <w:rPr>
          <w:i/>
          <w:iCs/>
        </w:rPr>
        <w:t>beryllina</w:t>
      </w:r>
      <w:proofErr w:type="spellEnd"/>
      <w:r>
        <w:t xml:space="preserve"> from a study in which larvae were starved over a period of seven days (Letcher and Bengtson, 1983). We used the rate of decrease in dry weight during starvation to approximate somatic maintenance (CITATION where someone does this?). The total length data allowed us to estimate maximum assimilation rate and yield of structure from assimilates by adjusting these parameters to simulate a growth curve </w:t>
      </w:r>
      <w:proofErr w:type="gramStart"/>
      <w:r>
        <w:t>similar to</w:t>
      </w:r>
      <w:proofErr w:type="gramEnd"/>
      <w:r>
        <w:t xml:space="preserve"> the data, fix </w:t>
      </w:r>
      <w:proofErr w:type="spellStart"/>
      <w:r>
        <w:rPr>
          <w:i/>
          <w:iCs/>
        </w:rPr>
        <w:t>J</w:t>
      </w:r>
      <w:r>
        <w:rPr>
          <w:i/>
          <w:iCs/>
          <w:vertAlign w:val="superscript"/>
        </w:rPr>
        <w:t>a</w:t>
      </w:r>
      <w:r>
        <w:rPr>
          <w:i/>
          <w:iCs/>
          <w:vertAlign w:val="subscript"/>
        </w:rPr>
        <w:t>Am</w:t>
      </w:r>
      <w:proofErr w:type="spellEnd"/>
      <w:r>
        <w:rPr>
          <w:i/>
          <w:iCs/>
        </w:rPr>
        <w:t xml:space="preserve"> </w:t>
      </w:r>
      <w:r>
        <w:t xml:space="preserve">to a reasonable value based on ultimate length, then estimate </w:t>
      </w:r>
      <w:proofErr w:type="spellStart"/>
      <w:r>
        <w:rPr>
          <w:i/>
          <w:iCs/>
        </w:rPr>
        <w:t>y</w:t>
      </w:r>
      <w:r>
        <w:rPr>
          <w:i/>
          <w:iCs/>
          <w:vertAlign w:val="subscript"/>
        </w:rPr>
        <w:t>VA</w:t>
      </w:r>
      <w:proofErr w:type="spellEnd"/>
      <w:r>
        <w:rPr>
          <w:i/>
          <w:iCs/>
        </w:rPr>
        <w:t xml:space="preserve"> </w:t>
      </w:r>
      <w:r>
        <w:t xml:space="preserve">using the BYOM solver. </w:t>
      </w:r>
    </w:p>
    <w:p w14:paraId="05D4797D" w14:textId="7B85472D" w:rsidR="0097432D" w:rsidRDefault="0097432D" w:rsidP="00AB2324">
      <w:pPr>
        <w:pStyle w:val="TS"/>
        <w:spacing w:line="480" w:lineRule="auto"/>
      </w:pPr>
      <w:r>
        <w:rPr>
          <w:b/>
          <w:bCs/>
        </w:rPr>
        <w:t xml:space="preserve">Table 1. </w:t>
      </w:r>
      <w:proofErr w:type="spellStart"/>
      <w:r>
        <w:t>DEBkiss</w:t>
      </w:r>
      <w:proofErr w:type="spellEnd"/>
      <w:r>
        <w:t xml:space="preserve"> parameters, their abbreviations, and their fixed or fitted values. </w:t>
      </w:r>
      <w:r w:rsidR="00E56AEB">
        <w:t xml:space="preserve">Units are given with the value unless the parameter is unitless. </w:t>
      </w:r>
    </w:p>
    <w:tbl>
      <w:tblPr>
        <w:tblStyle w:val="TableGrid"/>
        <w:tblW w:w="9648" w:type="dxa"/>
        <w:tblLook w:val="04A0" w:firstRow="1" w:lastRow="0" w:firstColumn="1" w:lastColumn="0" w:noHBand="0" w:noVBand="1"/>
      </w:tblPr>
      <w:tblGrid>
        <w:gridCol w:w="4608"/>
        <w:gridCol w:w="1170"/>
        <w:gridCol w:w="1440"/>
        <w:gridCol w:w="2430"/>
      </w:tblGrid>
      <w:tr w:rsidR="0077048B" w14:paraId="3DBC0A78" w14:textId="77777777" w:rsidTr="0077048B">
        <w:tc>
          <w:tcPr>
            <w:tcW w:w="4608" w:type="dxa"/>
          </w:tcPr>
          <w:p w14:paraId="7E176141" w14:textId="01AD733F" w:rsidR="0077048B" w:rsidRPr="0077048B" w:rsidRDefault="0077048B" w:rsidP="00CE019C">
            <w:pPr>
              <w:pStyle w:val="TS"/>
              <w:rPr>
                <w:b/>
                <w:bCs/>
              </w:rPr>
            </w:pPr>
            <w:r w:rsidRPr="0077048B">
              <w:rPr>
                <w:b/>
                <w:bCs/>
              </w:rPr>
              <w:t>Parameter</w:t>
            </w:r>
          </w:p>
        </w:tc>
        <w:tc>
          <w:tcPr>
            <w:tcW w:w="1170" w:type="dxa"/>
          </w:tcPr>
          <w:p w14:paraId="61FAE3BC" w14:textId="6F208964" w:rsidR="0077048B" w:rsidRPr="0077048B" w:rsidRDefault="0077048B" w:rsidP="00CE019C">
            <w:pPr>
              <w:pStyle w:val="TS"/>
              <w:rPr>
                <w:b/>
                <w:bCs/>
              </w:rPr>
            </w:pPr>
            <w:r w:rsidRPr="0077048B">
              <w:rPr>
                <w:b/>
                <w:bCs/>
              </w:rPr>
              <w:t>Abbrev</w:t>
            </w:r>
            <w:r>
              <w:rPr>
                <w:b/>
                <w:bCs/>
              </w:rPr>
              <w:t>.</w:t>
            </w:r>
          </w:p>
        </w:tc>
        <w:tc>
          <w:tcPr>
            <w:tcW w:w="1440" w:type="dxa"/>
          </w:tcPr>
          <w:p w14:paraId="70FF9D81" w14:textId="0620DB87" w:rsidR="0077048B" w:rsidRPr="0077048B" w:rsidRDefault="0077048B" w:rsidP="00CE019C">
            <w:pPr>
              <w:pStyle w:val="TS"/>
              <w:rPr>
                <w:b/>
                <w:bCs/>
              </w:rPr>
            </w:pPr>
            <w:r w:rsidRPr="0077048B">
              <w:rPr>
                <w:b/>
                <w:bCs/>
              </w:rPr>
              <w:t>Fixed or estimated</w:t>
            </w:r>
          </w:p>
        </w:tc>
        <w:tc>
          <w:tcPr>
            <w:tcW w:w="2430" w:type="dxa"/>
          </w:tcPr>
          <w:p w14:paraId="194A4185" w14:textId="338BAC80" w:rsidR="0077048B" w:rsidRPr="0077048B" w:rsidRDefault="0077048B" w:rsidP="00CE019C">
            <w:pPr>
              <w:pStyle w:val="TS"/>
              <w:rPr>
                <w:b/>
                <w:bCs/>
              </w:rPr>
            </w:pPr>
            <w:r w:rsidRPr="0077048B">
              <w:rPr>
                <w:b/>
                <w:bCs/>
              </w:rPr>
              <w:t>Value</w:t>
            </w:r>
          </w:p>
        </w:tc>
      </w:tr>
      <w:tr w:rsidR="0077048B" w14:paraId="2B8FBB94" w14:textId="77777777" w:rsidTr="0077048B">
        <w:tc>
          <w:tcPr>
            <w:tcW w:w="4608" w:type="dxa"/>
          </w:tcPr>
          <w:p w14:paraId="71EA81FF" w14:textId="3C320E15" w:rsidR="0077048B" w:rsidRDefault="0077048B" w:rsidP="00CE019C">
            <w:pPr>
              <w:pStyle w:val="TS"/>
            </w:pPr>
            <w:r>
              <w:t>Shape corrector</w:t>
            </w:r>
          </w:p>
        </w:tc>
        <w:tc>
          <w:tcPr>
            <w:tcW w:w="1170" w:type="dxa"/>
          </w:tcPr>
          <w:p w14:paraId="4C89FCC3" w14:textId="638D9BA3" w:rsidR="0077048B" w:rsidRPr="0077048B" w:rsidRDefault="0077048B" w:rsidP="00CE019C">
            <w:pPr>
              <w:pStyle w:val="TS"/>
              <w:rPr>
                <w:i/>
                <w:iCs/>
                <w:vertAlign w:val="subscript"/>
              </w:rPr>
            </w:pPr>
            <w:proofErr w:type="spellStart"/>
            <w:r w:rsidRPr="0077048B">
              <w:rPr>
                <w:rFonts w:cs="Times New Roman"/>
                <w:i/>
                <w:iCs/>
              </w:rPr>
              <w:t>δ</w:t>
            </w:r>
            <w:r w:rsidRPr="0077048B">
              <w:rPr>
                <w:i/>
                <w:iCs/>
                <w:vertAlign w:val="subscript"/>
              </w:rPr>
              <w:t>M</w:t>
            </w:r>
            <w:proofErr w:type="spellEnd"/>
          </w:p>
        </w:tc>
        <w:tc>
          <w:tcPr>
            <w:tcW w:w="1440" w:type="dxa"/>
          </w:tcPr>
          <w:p w14:paraId="64B298AF" w14:textId="1036498D" w:rsidR="0077048B" w:rsidRDefault="0077048B" w:rsidP="00CE019C">
            <w:pPr>
              <w:pStyle w:val="TS"/>
            </w:pPr>
            <w:r>
              <w:t>Fixed</w:t>
            </w:r>
          </w:p>
        </w:tc>
        <w:tc>
          <w:tcPr>
            <w:tcW w:w="2430" w:type="dxa"/>
          </w:tcPr>
          <w:p w14:paraId="3298553B" w14:textId="6B4BFC25" w:rsidR="0077048B" w:rsidRDefault="0077048B" w:rsidP="00CE019C">
            <w:pPr>
              <w:pStyle w:val="TS"/>
            </w:pPr>
            <w:r>
              <w:t>0.1066</w:t>
            </w:r>
          </w:p>
        </w:tc>
      </w:tr>
      <w:tr w:rsidR="0077048B" w14:paraId="3BCE26F1" w14:textId="77777777" w:rsidTr="0077048B">
        <w:tc>
          <w:tcPr>
            <w:tcW w:w="4608" w:type="dxa"/>
          </w:tcPr>
          <w:p w14:paraId="441BDAE2" w14:textId="1AF1B0E6" w:rsidR="0077048B" w:rsidRDefault="0077048B" w:rsidP="00CE019C">
            <w:pPr>
              <w:pStyle w:val="TS"/>
            </w:pPr>
            <w:r>
              <w:t>Dry weight density</w:t>
            </w:r>
          </w:p>
        </w:tc>
        <w:tc>
          <w:tcPr>
            <w:tcW w:w="1170" w:type="dxa"/>
          </w:tcPr>
          <w:p w14:paraId="7BA8D9D4" w14:textId="1046EE8A" w:rsidR="0077048B" w:rsidRPr="0077048B" w:rsidRDefault="0077048B" w:rsidP="00CE019C">
            <w:pPr>
              <w:pStyle w:val="TS"/>
              <w:rPr>
                <w:i/>
                <w:iCs/>
                <w:vertAlign w:val="subscript"/>
              </w:rPr>
            </w:pPr>
            <w:proofErr w:type="spellStart"/>
            <w:r>
              <w:rPr>
                <w:i/>
                <w:iCs/>
              </w:rPr>
              <w:t>d</w:t>
            </w:r>
            <w:r>
              <w:rPr>
                <w:i/>
                <w:iCs/>
                <w:vertAlign w:val="subscript"/>
              </w:rPr>
              <w:t>V</w:t>
            </w:r>
            <w:proofErr w:type="spellEnd"/>
          </w:p>
        </w:tc>
        <w:tc>
          <w:tcPr>
            <w:tcW w:w="1440" w:type="dxa"/>
          </w:tcPr>
          <w:p w14:paraId="17B99008" w14:textId="228A316F" w:rsidR="0077048B" w:rsidRDefault="0077048B" w:rsidP="00CE019C">
            <w:pPr>
              <w:pStyle w:val="TS"/>
            </w:pPr>
            <w:r>
              <w:t>Fixed</w:t>
            </w:r>
          </w:p>
        </w:tc>
        <w:tc>
          <w:tcPr>
            <w:tcW w:w="2430" w:type="dxa"/>
          </w:tcPr>
          <w:p w14:paraId="44D739AE" w14:textId="246F1799" w:rsidR="0077048B" w:rsidRPr="0077048B" w:rsidRDefault="0077048B" w:rsidP="00CE019C">
            <w:pPr>
              <w:pStyle w:val="TS"/>
              <w:rPr>
                <w:vertAlign w:val="superscript"/>
              </w:rPr>
            </w:pPr>
            <w:r>
              <w:t xml:space="preserve">0.4 mg </w:t>
            </w:r>
            <w:proofErr w:type="gramStart"/>
            <w:r>
              <w:t>mm</w:t>
            </w:r>
            <w:r>
              <w:rPr>
                <w:vertAlign w:val="superscript"/>
              </w:rPr>
              <w:t>-3</w:t>
            </w:r>
            <w:proofErr w:type="gramEnd"/>
          </w:p>
        </w:tc>
      </w:tr>
      <w:tr w:rsidR="0077048B" w14:paraId="5397845C" w14:textId="77777777" w:rsidTr="0077048B">
        <w:tc>
          <w:tcPr>
            <w:tcW w:w="4608" w:type="dxa"/>
          </w:tcPr>
          <w:p w14:paraId="6EB8C59D" w14:textId="31DC8A1B" w:rsidR="0077048B" w:rsidRDefault="0077048B" w:rsidP="00CE019C">
            <w:pPr>
              <w:pStyle w:val="TS"/>
            </w:pPr>
            <w:r>
              <w:t>Max. area-specific assimilation rate</w:t>
            </w:r>
          </w:p>
        </w:tc>
        <w:tc>
          <w:tcPr>
            <w:tcW w:w="1170" w:type="dxa"/>
          </w:tcPr>
          <w:p w14:paraId="4181FE9D" w14:textId="08C7DD94" w:rsidR="0077048B" w:rsidRPr="0077048B" w:rsidRDefault="0077048B" w:rsidP="00CE019C">
            <w:pPr>
              <w:pStyle w:val="TS"/>
              <w:rPr>
                <w:i/>
                <w:iCs/>
              </w:rPr>
            </w:pPr>
            <w:proofErr w:type="spellStart"/>
            <w:r>
              <w:rPr>
                <w:i/>
                <w:iCs/>
              </w:rPr>
              <w:t>J</w:t>
            </w:r>
            <w:r>
              <w:rPr>
                <w:i/>
                <w:iCs/>
                <w:vertAlign w:val="superscript"/>
              </w:rPr>
              <w:t>a</w:t>
            </w:r>
            <w:r>
              <w:rPr>
                <w:i/>
                <w:iCs/>
                <w:vertAlign w:val="subscript"/>
              </w:rPr>
              <w:t>Am</w:t>
            </w:r>
            <w:proofErr w:type="spellEnd"/>
          </w:p>
        </w:tc>
        <w:tc>
          <w:tcPr>
            <w:tcW w:w="1440" w:type="dxa"/>
          </w:tcPr>
          <w:p w14:paraId="33119A23" w14:textId="3E80BAF5" w:rsidR="0077048B" w:rsidRDefault="0077048B" w:rsidP="00CE019C">
            <w:pPr>
              <w:pStyle w:val="TS"/>
            </w:pPr>
            <w:r>
              <w:t>Fixed</w:t>
            </w:r>
          </w:p>
        </w:tc>
        <w:tc>
          <w:tcPr>
            <w:tcW w:w="2430" w:type="dxa"/>
          </w:tcPr>
          <w:p w14:paraId="45530708" w14:textId="1C94CA21" w:rsidR="0077048B" w:rsidRPr="0077048B" w:rsidRDefault="0077048B" w:rsidP="00CE019C">
            <w:pPr>
              <w:pStyle w:val="TS"/>
            </w:pPr>
            <w:r>
              <w:t>0.333 mg mm</w:t>
            </w:r>
            <w:r>
              <w:rPr>
                <w:vertAlign w:val="superscript"/>
              </w:rPr>
              <w:t>-2</w:t>
            </w:r>
            <w:r>
              <w:t xml:space="preserve"> d</w:t>
            </w:r>
            <w:r>
              <w:rPr>
                <w:vertAlign w:val="superscript"/>
              </w:rPr>
              <w:t>-1</w:t>
            </w:r>
          </w:p>
        </w:tc>
      </w:tr>
      <w:tr w:rsidR="0077048B" w14:paraId="6D79C04F" w14:textId="77777777" w:rsidTr="0077048B">
        <w:tc>
          <w:tcPr>
            <w:tcW w:w="4608" w:type="dxa"/>
          </w:tcPr>
          <w:p w14:paraId="33394D9E" w14:textId="611F85ED" w:rsidR="0077048B" w:rsidRDefault="0077048B" w:rsidP="00CE019C">
            <w:pPr>
              <w:pStyle w:val="TS"/>
            </w:pPr>
            <w:r>
              <w:t>Max. volume-specific maintenance rate</w:t>
            </w:r>
          </w:p>
        </w:tc>
        <w:tc>
          <w:tcPr>
            <w:tcW w:w="1170" w:type="dxa"/>
          </w:tcPr>
          <w:p w14:paraId="386378AC" w14:textId="6F26E17F" w:rsidR="0077048B" w:rsidRPr="0077048B" w:rsidRDefault="0077048B" w:rsidP="00CE019C">
            <w:pPr>
              <w:pStyle w:val="TS"/>
              <w:rPr>
                <w:i/>
                <w:iCs/>
              </w:rPr>
            </w:pPr>
            <w:proofErr w:type="spellStart"/>
            <w:r>
              <w:rPr>
                <w:i/>
                <w:iCs/>
              </w:rPr>
              <w:t>J</w:t>
            </w:r>
            <w:r>
              <w:rPr>
                <w:i/>
                <w:iCs/>
                <w:vertAlign w:val="superscript"/>
              </w:rPr>
              <w:t>v</w:t>
            </w:r>
            <w:r>
              <w:rPr>
                <w:i/>
                <w:iCs/>
                <w:vertAlign w:val="subscript"/>
              </w:rPr>
              <w:t>M</w:t>
            </w:r>
            <w:proofErr w:type="spellEnd"/>
          </w:p>
        </w:tc>
        <w:tc>
          <w:tcPr>
            <w:tcW w:w="1440" w:type="dxa"/>
          </w:tcPr>
          <w:p w14:paraId="5B1922E5" w14:textId="0DBCFBC2" w:rsidR="0077048B" w:rsidRDefault="0077048B" w:rsidP="00CE019C">
            <w:pPr>
              <w:pStyle w:val="TS"/>
            </w:pPr>
            <w:r>
              <w:t>Fixed</w:t>
            </w:r>
          </w:p>
        </w:tc>
        <w:tc>
          <w:tcPr>
            <w:tcW w:w="2430" w:type="dxa"/>
          </w:tcPr>
          <w:p w14:paraId="6E5C7ECF" w14:textId="667F9396" w:rsidR="0077048B" w:rsidRPr="0077048B" w:rsidRDefault="0077048B" w:rsidP="00CE019C">
            <w:pPr>
              <w:pStyle w:val="TS"/>
            </w:pPr>
            <w:r>
              <w:t>0.0214 mg mm</w:t>
            </w:r>
            <w:r>
              <w:rPr>
                <w:vertAlign w:val="superscript"/>
              </w:rPr>
              <w:t>-3</w:t>
            </w:r>
            <w:r>
              <w:t xml:space="preserve"> d</w:t>
            </w:r>
            <w:r>
              <w:rPr>
                <w:vertAlign w:val="superscript"/>
              </w:rPr>
              <w:t>-1</w:t>
            </w:r>
          </w:p>
        </w:tc>
      </w:tr>
      <w:tr w:rsidR="0077048B" w14:paraId="5B9A8B57" w14:textId="77777777" w:rsidTr="0077048B">
        <w:tc>
          <w:tcPr>
            <w:tcW w:w="4608" w:type="dxa"/>
          </w:tcPr>
          <w:p w14:paraId="12A71990" w14:textId="529F0876" w:rsidR="0077048B" w:rsidRDefault="0077048B" w:rsidP="00CE019C">
            <w:pPr>
              <w:pStyle w:val="TS"/>
            </w:pPr>
            <w:r>
              <w:lastRenderedPageBreak/>
              <w:t>Initial egg weight</w:t>
            </w:r>
          </w:p>
        </w:tc>
        <w:tc>
          <w:tcPr>
            <w:tcW w:w="1170" w:type="dxa"/>
          </w:tcPr>
          <w:p w14:paraId="2F8C5CB7" w14:textId="6DC9CA35" w:rsidR="0077048B" w:rsidRPr="0077048B" w:rsidRDefault="0077048B" w:rsidP="00CE019C">
            <w:pPr>
              <w:pStyle w:val="TS"/>
              <w:rPr>
                <w:i/>
                <w:iCs/>
              </w:rPr>
            </w:pPr>
            <w:r>
              <w:rPr>
                <w:i/>
                <w:iCs/>
              </w:rPr>
              <w:t>W</w:t>
            </w:r>
            <w:r>
              <w:rPr>
                <w:i/>
                <w:iCs/>
                <w:vertAlign w:val="subscript"/>
              </w:rPr>
              <w:t>B0</w:t>
            </w:r>
          </w:p>
        </w:tc>
        <w:tc>
          <w:tcPr>
            <w:tcW w:w="1440" w:type="dxa"/>
          </w:tcPr>
          <w:p w14:paraId="36CDA32F" w14:textId="2A7E4DBC" w:rsidR="0077048B" w:rsidRDefault="0077048B" w:rsidP="00CE019C">
            <w:pPr>
              <w:pStyle w:val="TS"/>
            </w:pPr>
            <w:r>
              <w:t>Fixed</w:t>
            </w:r>
          </w:p>
        </w:tc>
        <w:tc>
          <w:tcPr>
            <w:tcW w:w="2430" w:type="dxa"/>
          </w:tcPr>
          <w:p w14:paraId="09FA1F97" w14:textId="20BC7997" w:rsidR="0077048B" w:rsidRDefault="0077048B" w:rsidP="00CE019C">
            <w:pPr>
              <w:pStyle w:val="TS"/>
            </w:pPr>
            <w:r>
              <w:t>0.15 mg</w:t>
            </w:r>
          </w:p>
        </w:tc>
      </w:tr>
      <w:tr w:rsidR="0077048B" w14:paraId="5AD2966F" w14:textId="77777777" w:rsidTr="0077048B">
        <w:tc>
          <w:tcPr>
            <w:tcW w:w="4608" w:type="dxa"/>
          </w:tcPr>
          <w:p w14:paraId="1DAF3925" w14:textId="62E7AB1B" w:rsidR="0077048B" w:rsidRDefault="0077048B" w:rsidP="00CE019C">
            <w:pPr>
              <w:pStyle w:val="TS"/>
            </w:pPr>
            <w:r>
              <w:t>Total length at puberty</w:t>
            </w:r>
          </w:p>
        </w:tc>
        <w:tc>
          <w:tcPr>
            <w:tcW w:w="1170" w:type="dxa"/>
          </w:tcPr>
          <w:p w14:paraId="66300560" w14:textId="5A1D92CC" w:rsidR="0077048B" w:rsidRPr="0077048B" w:rsidRDefault="0077048B" w:rsidP="00CE019C">
            <w:pPr>
              <w:pStyle w:val="TS"/>
              <w:rPr>
                <w:i/>
                <w:iCs/>
              </w:rPr>
            </w:pPr>
            <w:proofErr w:type="spellStart"/>
            <w:r>
              <w:rPr>
                <w:i/>
                <w:iCs/>
              </w:rPr>
              <w:t>L</w:t>
            </w:r>
            <w:r>
              <w:rPr>
                <w:i/>
                <w:iCs/>
                <w:vertAlign w:val="superscript"/>
              </w:rPr>
              <w:t>M</w:t>
            </w:r>
            <w:r>
              <w:rPr>
                <w:i/>
                <w:iCs/>
                <w:vertAlign w:val="subscript"/>
              </w:rPr>
              <w:t>p</w:t>
            </w:r>
            <w:proofErr w:type="spellEnd"/>
          </w:p>
        </w:tc>
        <w:tc>
          <w:tcPr>
            <w:tcW w:w="1440" w:type="dxa"/>
          </w:tcPr>
          <w:p w14:paraId="5B4B11E9" w14:textId="79A4D638" w:rsidR="0077048B" w:rsidRDefault="0077048B" w:rsidP="00CE019C">
            <w:pPr>
              <w:pStyle w:val="TS"/>
            </w:pPr>
            <w:r>
              <w:t>Fixed</w:t>
            </w:r>
          </w:p>
        </w:tc>
        <w:tc>
          <w:tcPr>
            <w:tcW w:w="2430" w:type="dxa"/>
          </w:tcPr>
          <w:p w14:paraId="69FAEFE8" w14:textId="1F3340E9" w:rsidR="0077048B" w:rsidRDefault="0077048B" w:rsidP="00CE019C">
            <w:pPr>
              <w:pStyle w:val="TS"/>
            </w:pPr>
            <w:r>
              <w:t>100 mm</w:t>
            </w:r>
          </w:p>
        </w:tc>
      </w:tr>
      <w:tr w:rsidR="0077048B" w14:paraId="765FE07B" w14:textId="77777777" w:rsidTr="0077048B">
        <w:tc>
          <w:tcPr>
            <w:tcW w:w="4608" w:type="dxa"/>
          </w:tcPr>
          <w:p w14:paraId="2C536C48" w14:textId="4A88295E" w:rsidR="0077048B" w:rsidRDefault="0077048B" w:rsidP="00CE019C">
            <w:pPr>
              <w:pStyle w:val="TS"/>
            </w:pPr>
            <w:r>
              <w:t>Yield of assimilates on volume</w:t>
            </w:r>
          </w:p>
        </w:tc>
        <w:tc>
          <w:tcPr>
            <w:tcW w:w="1170" w:type="dxa"/>
          </w:tcPr>
          <w:p w14:paraId="176DCD1E" w14:textId="00B9D059" w:rsidR="0077048B" w:rsidRPr="0077048B" w:rsidRDefault="0077048B" w:rsidP="00CE019C">
            <w:pPr>
              <w:pStyle w:val="TS"/>
              <w:rPr>
                <w:i/>
                <w:iCs/>
              </w:rPr>
            </w:pPr>
            <w:proofErr w:type="spellStart"/>
            <w:r>
              <w:rPr>
                <w:i/>
                <w:iCs/>
              </w:rPr>
              <w:t>y</w:t>
            </w:r>
            <w:r>
              <w:rPr>
                <w:i/>
                <w:iCs/>
                <w:vertAlign w:val="subscript"/>
              </w:rPr>
              <w:t>AV</w:t>
            </w:r>
            <w:proofErr w:type="spellEnd"/>
          </w:p>
        </w:tc>
        <w:tc>
          <w:tcPr>
            <w:tcW w:w="1440" w:type="dxa"/>
          </w:tcPr>
          <w:p w14:paraId="6A62ABE5" w14:textId="3B66A5B1" w:rsidR="0077048B" w:rsidRDefault="0077048B" w:rsidP="00CE019C">
            <w:pPr>
              <w:pStyle w:val="TS"/>
            </w:pPr>
            <w:r>
              <w:t>Fixed</w:t>
            </w:r>
          </w:p>
        </w:tc>
        <w:tc>
          <w:tcPr>
            <w:tcW w:w="2430" w:type="dxa"/>
          </w:tcPr>
          <w:p w14:paraId="666972A4" w14:textId="03FF453C" w:rsidR="0077048B" w:rsidRDefault="0077048B" w:rsidP="00CE019C">
            <w:pPr>
              <w:pStyle w:val="TS"/>
            </w:pPr>
            <w:r>
              <w:t>0.8</w:t>
            </w:r>
          </w:p>
        </w:tc>
      </w:tr>
      <w:tr w:rsidR="0077048B" w14:paraId="6F49D12D" w14:textId="77777777" w:rsidTr="0077048B">
        <w:tc>
          <w:tcPr>
            <w:tcW w:w="4608" w:type="dxa"/>
          </w:tcPr>
          <w:p w14:paraId="5034108D" w14:textId="3EF49A15" w:rsidR="0077048B" w:rsidRDefault="0077048B" w:rsidP="00CE019C">
            <w:pPr>
              <w:pStyle w:val="TS"/>
            </w:pPr>
            <w:r>
              <w:t xml:space="preserve">Yield of egg buffer on assimilates </w:t>
            </w:r>
          </w:p>
        </w:tc>
        <w:tc>
          <w:tcPr>
            <w:tcW w:w="1170" w:type="dxa"/>
          </w:tcPr>
          <w:p w14:paraId="786BD061" w14:textId="05132B1F" w:rsidR="0077048B" w:rsidRPr="0077048B" w:rsidRDefault="0077048B" w:rsidP="00CE019C">
            <w:pPr>
              <w:pStyle w:val="TS"/>
              <w:rPr>
                <w:i/>
                <w:iCs/>
              </w:rPr>
            </w:pPr>
            <w:proofErr w:type="spellStart"/>
            <w:r>
              <w:rPr>
                <w:i/>
                <w:iCs/>
              </w:rPr>
              <w:t>y</w:t>
            </w:r>
            <w:r>
              <w:rPr>
                <w:i/>
                <w:iCs/>
                <w:vertAlign w:val="subscript"/>
              </w:rPr>
              <w:t>BA</w:t>
            </w:r>
            <w:proofErr w:type="spellEnd"/>
          </w:p>
        </w:tc>
        <w:tc>
          <w:tcPr>
            <w:tcW w:w="1440" w:type="dxa"/>
          </w:tcPr>
          <w:p w14:paraId="5B260D4D" w14:textId="1348E7F6" w:rsidR="0077048B" w:rsidRDefault="0077048B" w:rsidP="00CE019C">
            <w:pPr>
              <w:pStyle w:val="TS"/>
            </w:pPr>
            <w:r>
              <w:t>Fixed</w:t>
            </w:r>
          </w:p>
        </w:tc>
        <w:tc>
          <w:tcPr>
            <w:tcW w:w="2430" w:type="dxa"/>
          </w:tcPr>
          <w:p w14:paraId="5DD92ABF" w14:textId="3B2102ED" w:rsidR="0077048B" w:rsidRDefault="0077048B" w:rsidP="00CE019C">
            <w:pPr>
              <w:pStyle w:val="TS"/>
            </w:pPr>
            <w:r>
              <w:t>0.95</w:t>
            </w:r>
          </w:p>
        </w:tc>
      </w:tr>
      <w:tr w:rsidR="0077048B" w14:paraId="4A324597" w14:textId="77777777" w:rsidTr="0077048B">
        <w:tc>
          <w:tcPr>
            <w:tcW w:w="4608" w:type="dxa"/>
          </w:tcPr>
          <w:p w14:paraId="7546E139" w14:textId="3A0D3072" w:rsidR="0077048B" w:rsidRDefault="0077048B" w:rsidP="00CE019C">
            <w:pPr>
              <w:pStyle w:val="TS"/>
            </w:pPr>
            <w:r>
              <w:t>Yield of structure on assimilates</w:t>
            </w:r>
          </w:p>
        </w:tc>
        <w:tc>
          <w:tcPr>
            <w:tcW w:w="1170" w:type="dxa"/>
          </w:tcPr>
          <w:p w14:paraId="3B3B503A" w14:textId="047BB2EC" w:rsidR="0077048B" w:rsidRPr="0077048B" w:rsidRDefault="0077048B" w:rsidP="00CE019C">
            <w:pPr>
              <w:pStyle w:val="TS"/>
              <w:rPr>
                <w:i/>
                <w:iCs/>
              </w:rPr>
            </w:pPr>
            <w:proofErr w:type="spellStart"/>
            <w:r>
              <w:rPr>
                <w:i/>
                <w:iCs/>
              </w:rPr>
              <w:t>y</w:t>
            </w:r>
            <w:r>
              <w:rPr>
                <w:i/>
                <w:iCs/>
                <w:vertAlign w:val="subscript"/>
              </w:rPr>
              <w:t>VA</w:t>
            </w:r>
            <w:proofErr w:type="spellEnd"/>
          </w:p>
        </w:tc>
        <w:tc>
          <w:tcPr>
            <w:tcW w:w="1440" w:type="dxa"/>
          </w:tcPr>
          <w:p w14:paraId="6D81991C" w14:textId="3146CFB2" w:rsidR="0077048B" w:rsidRDefault="0077048B" w:rsidP="00CE019C">
            <w:pPr>
              <w:pStyle w:val="TS"/>
            </w:pPr>
            <w:r>
              <w:t>Estimated</w:t>
            </w:r>
          </w:p>
        </w:tc>
        <w:tc>
          <w:tcPr>
            <w:tcW w:w="2430" w:type="dxa"/>
          </w:tcPr>
          <w:p w14:paraId="1FDBB16C" w14:textId="3F7FA790" w:rsidR="0077048B" w:rsidRDefault="0077048B" w:rsidP="00CE019C">
            <w:pPr>
              <w:pStyle w:val="TS"/>
            </w:pPr>
            <w:r>
              <w:t>0.3646</w:t>
            </w:r>
          </w:p>
        </w:tc>
      </w:tr>
      <w:tr w:rsidR="0077048B" w14:paraId="53644FA3" w14:textId="77777777" w:rsidTr="0077048B">
        <w:tc>
          <w:tcPr>
            <w:tcW w:w="4608" w:type="dxa"/>
          </w:tcPr>
          <w:p w14:paraId="44E1131D" w14:textId="73F6D7F7" w:rsidR="0077048B" w:rsidRDefault="0077048B" w:rsidP="00CE019C">
            <w:pPr>
              <w:pStyle w:val="TS"/>
            </w:pPr>
            <w:r>
              <w:t>Fraction of assimilates allocated to soma</w:t>
            </w:r>
          </w:p>
        </w:tc>
        <w:tc>
          <w:tcPr>
            <w:tcW w:w="1170" w:type="dxa"/>
          </w:tcPr>
          <w:p w14:paraId="09A7212C" w14:textId="0EACA193" w:rsidR="0077048B" w:rsidRDefault="00E56AEB" w:rsidP="00CE019C">
            <w:pPr>
              <w:pStyle w:val="TS"/>
              <w:rPr>
                <w:i/>
                <w:iCs/>
              </w:rPr>
            </w:pPr>
            <w:r>
              <w:rPr>
                <w:rFonts w:cs="Times New Roman"/>
                <w:i/>
                <w:iCs/>
              </w:rPr>
              <w:t>κ</w:t>
            </w:r>
          </w:p>
        </w:tc>
        <w:tc>
          <w:tcPr>
            <w:tcW w:w="1440" w:type="dxa"/>
          </w:tcPr>
          <w:p w14:paraId="6BB03C18" w14:textId="3AA87DD6" w:rsidR="0077048B" w:rsidRDefault="00E56AEB" w:rsidP="00CE019C">
            <w:pPr>
              <w:pStyle w:val="TS"/>
            </w:pPr>
            <w:r>
              <w:t>Fixed</w:t>
            </w:r>
          </w:p>
        </w:tc>
        <w:tc>
          <w:tcPr>
            <w:tcW w:w="2430" w:type="dxa"/>
          </w:tcPr>
          <w:p w14:paraId="62FE5DE0" w14:textId="7D0C7F28" w:rsidR="0077048B" w:rsidRDefault="00E56AEB" w:rsidP="00CE019C">
            <w:pPr>
              <w:pStyle w:val="TS"/>
            </w:pPr>
            <w:r>
              <w:t>0.8</w:t>
            </w:r>
          </w:p>
        </w:tc>
      </w:tr>
      <w:tr w:rsidR="00E56AEB" w14:paraId="669071DE" w14:textId="77777777" w:rsidTr="0077048B">
        <w:tc>
          <w:tcPr>
            <w:tcW w:w="4608" w:type="dxa"/>
          </w:tcPr>
          <w:p w14:paraId="1D82AE59" w14:textId="7BDDA56A" w:rsidR="00E56AEB" w:rsidRDefault="00E56AEB" w:rsidP="00CE019C">
            <w:pPr>
              <w:pStyle w:val="TS"/>
            </w:pPr>
            <w:r>
              <w:t>Scaled food level</w:t>
            </w:r>
          </w:p>
        </w:tc>
        <w:tc>
          <w:tcPr>
            <w:tcW w:w="1170" w:type="dxa"/>
          </w:tcPr>
          <w:p w14:paraId="39674B59" w14:textId="011FCD32" w:rsidR="00E56AEB" w:rsidRDefault="00E56AEB" w:rsidP="00CE019C">
            <w:pPr>
              <w:pStyle w:val="TS"/>
              <w:rPr>
                <w:rFonts w:cs="Times New Roman"/>
                <w:i/>
                <w:iCs/>
              </w:rPr>
            </w:pPr>
            <w:r>
              <w:rPr>
                <w:rFonts w:cs="Times New Roman"/>
                <w:i/>
                <w:iCs/>
              </w:rPr>
              <w:t>f</w:t>
            </w:r>
          </w:p>
        </w:tc>
        <w:tc>
          <w:tcPr>
            <w:tcW w:w="1440" w:type="dxa"/>
          </w:tcPr>
          <w:p w14:paraId="4AC265F4" w14:textId="62371340" w:rsidR="00E56AEB" w:rsidRDefault="00E56AEB" w:rsidP="00CE019C">
            <w:pPr>
              <w:pStyle w:val="TS"/>
            </w:pPr>
            <w:r>
              <w:t>Fixed</w:t>
            </w:r>
          </w:p>
        </w:tc>
        <w:tc>
          <w:tcPr>
            <w:tcW w:w="2430" w:type="dxa"/>
          </w:tcPr>
          <w:p w14:paraId="1ECE2C91" w14:textId="2CFBC171" w:rsidR="00E56AEB" w:rsidRDefault="00E56AEB" w:rsidP="00CE019C">
            <w:pPr>
              <w:pStyle w:val="TS"/>
            </w:pPr>
            <w:r>
              <w:t xml:space="preserve">1 </w:t>
            </w:r>
          </w:p>
        </w:tc>
      </w:tr>
      <w:tr w:rsidR="00E56AEB" w14:paraId="044DE746" w14:textId="77777777" w:rsidTr="0077048B">
        <w:tc>
          <w:tcPr>
            <w:tcW w:w="4608" w:type="dxa"/>
          </w:tcPr>
          <w:p w14:paraId="1B52195D" w14:textId="36381027" w:rsidR="00E56AEB" w:rsidRDefault="00E56AEB" w:rsidP="00CE019C">
            <w:pPr>
              <w:pStyle w:val="TS"/>
            </w:pPr>
            <w:r>
              <w:t>Scaled food level for embryo</w:t>
            </w:r>
          </w:p>
        </w:tc>
        <w:tc>
          <w:tcPr>
            <w:tcW w:w="1170" w:type="dxa"/>
          </w:tcPr>
          <w:p w14:paraId="37A3C201" w14:textId="1A553837" w:rsidR="00E56AEB" w:rsidRPr="00E56AEB" w:rsidRDefault="00E56AEB" w:rsidP="00CE019C">
            <w:pPr>
              <w:pStyle w:val="TS"/>
              <w:rPr>
                <w:rFonts w:cs="Times New Roman"/>
                <w:i/>
                <w:iCs/>
              </w:rPr>
            </w:pPr>
            <w:proofErr w:type="spellStart"/>
            <w:r>
              <w:rPr>
                <w:rFonts w:cs="Times New Roman"/>
                <w:i/>
                <w:iCs/>
              </w:rPr>
              <w:t>f</w:t>
            </w:r>
            <w:r>
              <w:rPr>
                <w:rFonts w:cs="Times New Roman"/>
                <w:i/>
                <w:iCs/>
                <w:vertAlign w:val="subscript"/>
              </w:rPr>
              <w:t>B</w:t>
            </w:r>
            <w:proofErr w:type="spellEnd"/>
          </w:p>
        </w:tc>
        <w:tc>
          <w:tcPr>
            <w:tcW w:w="1440" w:type="dxa"/>
          </w:tcPr>
          <w:p w14:paraId="20566334" w14:textId="33D8BC0F" w:rsidR="00E56AEB" w:rsidRDefault="00E56AEB" w:rsidP="00CE019C">
            <w:pPr>
              <w:pStyle w:val="TS"/>
            </w:pPr>
            <w:r>
              <w:t>Fixed</w:t>
            </w:r>
          </w:p>
        </w:tc>
        <w:tc>
          <w:tcPr>
            <w:tcW w:w="2430" w:type="dxa"/>
          </w:tcPr>
          <w:p w14:paraId="2D287644" w14:textId="1CB35B07" w:rsidR="00E56AEB" w:rsidRDefault="00E56AEB" w:rsidP="00CE019C">
            <w:pPr>
              <w:pStyle w:val="TS"/>
            </w:pPr>
            <w:r>
              <w:t>1</w:t>
            </w:r>
          </w:p>
        </w:tc>
      </w:tr>
      <w:tr w:rsidR="00E56AEB" w14:paraId="54349CE1" w14:textId="77777777" w:rsidTr="0077048B">
        <w:tc>
          <w:tcPr>
            <w:tcW w:w="4608" w:type="dxa"/>
          </w:tcPr>
          <w:p w14:paraId="11654455" w14:textId="5EF64769" w:rsidR="00E56AEB" w:rsidRDefault="00E56AEB" w:rsidP="00CE019C">
            <w:pPr>
              <w:pStyle w:val="TS"/>
            </w:pPr>
            <w:r>
              <w:t>Half-saturation total length</w:t>
            </w:r>
          </w:p>
        </w:tc>
        <w:tc>
          <w:tcPr>
            <w:tcW w:w="1170" w:type="dxa"/>
          </w:tcPr>
          <w:p w14:paraId="74FB3762" w14:textId="0A83D3C5" w:rsidR="00E56AEB" w:rsidRPr="00E56AEB" w:rsidRDefault="00E56AEB" w:rsidP="00CE019C">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440" w:type="dxa"/>
          </w:tcPr>
          <w:p w14:paraId="6488A7E1" w14:textId="2B35B0CD" w:rsidR="00E56AEB" w:rsidRDefault="00E56AEB" w:rsidP="00CE019C">
            <w:pPr>
              <w:pStyle w:val="TS"/>
            </w:pPr>
            <w:r>
              <w:t>Fixed</w:t>
            </w:r>
          </w:p>
        </w:tc>
        <w:tc>
          <w:tcPr>
            <w:tcW w:w="2430" w:type="dxa"/>
          </w:tcPr>
          <w:p w14:paraId="699D578D" w14:textId="45CC7CB1" w:rsidR="00E56AEB" w:rsidRDefault="00E56AEB" w:rsidP="00CE019C">
            <w:pPr>
              <w:pStyle w:val="TS"/>
            </w:pPr>
            <w:r>
              <w:t>0</w:t>
            </w:r>
          </w:p>
        </w:tc>
      </w:tr>
      <w:tr w:rsidR="00E56AEB" w14:paraId="54648E15" w14:textId="77777777" w:rsidTr="0077048B">
        <w:tc>
          <w:tcPr>
            <w:tcW w:w="4608" w:type="dxa"/>
          </w:tcPr>
          <w:p w14:paraId="57CDBF15" w14:textId="36355658" w:rsidR="00E56AEB" w:rsidRDefault="00E56AEB" w:rsidP="00CE019C">
            <w:pPr>
              <w:pStyle w:val="TS"/>
            </w:pPr>
            <w:r>
              <w:t>Mortality rate for embryos</w:t>
            </w:r>
          </w:p>
        </w:tc>
        <w:tc>
          <w:tcPr>
            <w:tcW w:w="1170" w:type="dxa"/>
          </w:tcPr>
          <w:p w14:paraId="0B28767A" w14:textId="17F692A5" w:rsidR="00E56AEB" w:rsidRPr="00E56AEB" w:rsidRDefault="00E56AEB" w:rsidP="00CE019C">
            <w:pPr>
              <w:pStyle w:val="TS"/>
              <w:rPr>
                <w:rFonts w:cs="Times New Roman"/>
                <w:i/>
                <w:iCs/>
                <w:vertAlign w:val="subscript"/>
              </w:rPr>
            </w:pPr>
            <w:proofErr w:type="spellStart"/>
            <w:r>
              <w:rPr>
                <w:rFonts w:cs="Times New Roman"/>
                <w:i/>
                <w:iCs/>
              </w:rPr>
              <w:t>μ</w:t>
            </w:r>
            <w:r>
              <w:rPr>
                <w:rFonts w:cs="Times New Roman"/>
                <w:i/>
                <w:iCs/>
                <w:vertAlign w:val="subscript"/>
              </w:rPr>
              <w:t>emb</w:t>
            </w:r>
            <w:proofErr w:type="spellEnd"/>
          </w:p>
        </w:tc>
        <w:tc>
          <w:tcPr>
            <w:tcW w:w="1440" w:type="dxa"/>
          </w:tcPr>
          <w:p w14:paraId="2A55E4BD" w14:textId="697515E7" w:rsidR="00E56AEB" w:rsidRDefault="00E56AEB" w:rsidP="00CE019C">
            <w:pPr>
              <w:pStyle w:val="TS"/>
            </w:pPr>
            <w:r>
              <w:t>Estimated</w:t>
            </w:r>
          </w:p>
        </w:tc>
        <w:tc>
          <w:tcPr>
            <w:tcW w:w="2430" w:type="dxa"/>
          </w:tcPr>
          <w:p w14:paraId="3C34E5E6" w14:textId="14E233B8" w:rsidR="00E56AEB" w:rsidRDefault="00E56AEB" w:rsidP="00CE019C">
            <w:pPr>
              <w:pStyle w:val="TS"/>
            </w:pPr>
            <w:r>
              <w:t>0.06393</w:t>
            </w:r>
          </w:p>
        </w:tc>
      </w:tr>
      <w:tr w:rsidR="00E56AEB" w14:paraId="414E095F" w14:textId="77777777" w:rsidTr="0077048B">
        <w:tc>
          <w:tcPr>
            <w:tcW w:w="4608" w:type="dxa"/>
          </w:tcPr>
          <w:p w14:paraId="461056D4" w14:textId="7D898B81" w:rsidR="00E56AEB" w:rsidRDefault="00E56AEB" w:rsidP="00CE019C">
            <w:pPr>
              <w:pStyle w:val="TS"/>
            </w:pPr>
            <w:r>
              <w:t>Mortality rate for larvae</w:t>
            </w:r>
          </w:p>
        </w:tc>
        <w:tc>
          <w:tcPr>
            <w:tcW w:w="1170" w:type="dxa"/>
          </w:tcPr>
          <w:p w14:paraId="7BDFCD31" w14:textId="38A042D7" w:rsidR="00E56AEB" w:rsidRPr="00E56AEB" w:rsidRDefault="00E56AEB" w:rsidP="00CE019C">
            <w:pPr>
              <w:pStyle w:val="TS"/>
              <w:rPr>
                <w:rFonts w:cs="Times New Roman"/>
                <w:i/>
                <w:iCs/>
                <w:vertAlign w:val="subscript"/>
              </w:rPr>
            </w:pPr>
            <w:proofErr w:type="spellStart"/>
            <w:r>
              <w:rPr>
                <w:rFonts w:cs="Times New Roman"/>
                <w:i/>
                <w:iCs/>
              </w:rPr>
              <w:t>μ</w:t>
            </w:r>
            <w:r>
              <w:rPr>
                <w:rFonts w:cs="Times New Roman"/>
                <w:i/>
                <w:iCs/>
                <w:vertAlign w:val="subscript"/>
              </w:rPr>
              <w:t>lar</w:t>
            </w:r>
            <w:proofErr w:type="spellEnd"/>
          </w:p>
        </w:tc>
        <w:tc>
          <w:tcPr>
            <w:tcW w:w="1440" w:type="dxa"/>
          </w:tcPr>
          <w:p w14:paraId="53CFCA42" w14:textId="262D8F81" w:rsidR="00E56AEB" w:rsidRDefault="00E56AEB" w:rsidP="00CE019C">
            <w:pPr>
              <w:pStyle w:val="TS"/>
            </w:pPr>
            <w:r>
              <w:t>Estimated</w:t>
            </w:r>
          </w:p>
        </w:tc>
        <w:tc>
          <w:tcPr>
            <w:tcW w:w="2430" w:type="dxa"/>
          </w:tcPr>
          <w:p w14:paraId="658F30BF" w14:textId="4CC94E2E" w:rsidR="00E56AEB" w:rsidRDefault="00E56AEB" w:rsidP="00CE019C">
            <w:pPr>
              <w:pStyle w:val="TS"/>
            </w:pPr>
            <w:r>
              <w:t>0.02940</w:t>
            </w:r>
          </w:p>
        </w:tc>
      </w:tr>
    </w:tbl>
    <w:p w14:paraId="52D0E0F7" w14:textId="77777777" w:rsidR="0097432D" w:rsidRPr="0097432D" w:rsidRDefault="0097432D" w:rsidP="00AB2324">
      <w:pPr>
        <w:pStyle w:val="TS"/>
        <w:spacing w:line="480" w:lineRule="auto"/>
      </w:pPr>
    </w:p>
    <w:p w14:paraId="12E2EED0" w14:textId="77777777" w:rsidR="00AB2324" w:rsidRDefault="00AB2324" w:rsidP="00AB2324">
      <w:pPr>
        <w:pStyle w:val="TS"/>
        <w:spacing w:line="480" w:lineRule="auto"/>
      </w:pPr>
    </w:p>
    <w:p w14:paraId="1DC35204" w14:textId="3504B97A" w:rsidR="00BF0745" w:rsidRDefault="006C2669" w:rsidP="00AB2324">
      <w:pPr>
        <w:pStyle w:val="TS"/>
        <w:spacing w:line="480" w:lineRule="auto"/>
      </w:pPr>
      <w:r>
        <w:t>We used</w:t>
      </w:r>
      <w:r w:rsidR="00BF0745">
        <w:t xml:space="preserve"> a </w:t>
      </w:r>
      <w:proofErr w:type="spellStart"/>
      <w:r w:rsidR="00BF0745">
        <w:t>DEBkiss</w:t>
      </w:r>
      <w:proofErr w:type="spellEnd"/>
      <w:r w:rsidR="00BF0745">
        <w:t xml:space="preserve"> model to simulate the response of </w:t>
      </w:r>
      <w:r w:rsidR="00BF0745">
        <w:rPr>
          <w:i/>
          <w:iCs/>
        </w:rPr>
        <w:t>M. menidia</w:t>
      </w:r>
      <w:r w:rsidR="00BF0745">
        <w:t xml:space="preserve"> to oxygen levels from experiments</w:t>
      </w:r>
      <w:r>
        <w:t xml:space="preserve"> and identify the DEB parameter(s) that, when adjusted with a stress function, </w:t>
      </w:r>
      <w:r w:rsidR="00F6560C">
        <w:t xml:space="preserve">allow the model to replicate observed differences in </w:t>
      </w:r>
      <w:r w:rsidR="007718D4">
        <w:t xml:space="preserve">hatch length, hatch time, and survival. </w:t>
      </w:r>
    </w:p>
    <w:p w14:paraId="114C57B0" w14:textId="38CCB0A9" w:rsidR="007718D4" w:rsidRDefault="007718D4" w:rsidP="00AB2324">
      <w:pPr>
        <w:pStyle w:val="TS"/>
        <w:spacing w:line="480" w:lineRule="auto"/>
      </w:pPr>
    </w:p>
    <w:p w14:paraId="4C8E72AA" w14:textId="2830BDCD" w:rsidR="00BF0745" w:rsidRDefault="007718D4" w:rsidP="00AB2324">
      <w:pPr>
        <w:pStyle w:val="TS"/>
        <w:spacing w:line="480" w:lineRule="auto"/>
      </w:pPr>
      <w:r>
        <w:t>We f</w:t>
      </w:r>
      <w:r w:rsidR="00BF0745">
        <w:t>irst estimate</w:t>
      </w:r>
      <w:r>
        <w:t>d</w:t>
      </w:r>
      <w:r w:rsidR="00BF0745">
        <w:t xml:space="preserve"> </w:t>
      </w:r>
      <w:proofErr w:type="spellStart"/>
      <w:r w:rsidR="00BF0745">
        <w:t>DEBkiss</w:t>
      </w:r>
      <w:proofErr w:type="spellEnd"/>
      <w:r w:rsidR="00BF0745">
        <w:t xml:space="preserve"> parameters for </w:t>
      </w:r>
      <w:r w:rsidR="00BF0745">
        <w:rPr>
          <w:i/>
          <w:iCs/>
        </w:rPr>
        <w:t>M. menidia</w:t>
      </w:r>
      <w:r w:rsidR="00BF0745">
        <w:t xml:space="preserve"> using data, primarily from the early life stages, to calculate some parameters and estimating </w:t>
      </w:r>
      <w:r w:rsidR="00495AFA">
        <w:t>others</w:t>
      </w:r>
      <w:r w:rsidR="00BF0745">
        <w:t xml:space="preserve"> by fitting the model to </w:t>
      </w:r>
      <w:r w:rsidR="00495AFA">
        <w:t xml:space="preserve">the data. </w:t>
      </w:r>
      <w:r>
        <w:t xml:space="preserve">The univariate datasets for the model are total </w:t>
      </w:r>
      <w:r w:rsidR="00BF0745">
        <w:t xml:space="preserve">length, reproduction, </w:t>
      </w:r>
      <w:r>
        <w:t>egg buffer mass</w:t>
      </w:r>
      <w:r w:rsidR="00BF0745">
        <w:t xml:space="preserve">, and survival </w:t>
      </w:r>
      <w:r>
        <w:t xml:space="preserve">over time. We also used data on length, dry weight, length at puberty, and food level in experiments to fix some parameters, and suggested values to fix primary parameters we did not have the data to estimate. </w:t>
      </w:r>
    </w:p>
    <w:p w14:paraId="70EE1C24" w14:textId="79BA7F08" w:rsidR="007718D4" w:rsidRDefault="007718D4" w:rsidP="00AB2324">
      <w:pPr>
        <w:pStyle w:val="TS"/>
        <w:spacing w:line="480" w:lineRule="auto"/>
      </w:pPr>
    </w:p>
    <w:p w14:paraId="4735BC48" w14:textId="7F818117" w:rsidR="00BF0745" w:rsidRDefault="007718D4" w:rsidP="00AB2324">
      <w:pPr>
        <w:pStyle w:val="TS"/>
        <w:spacing w:line="480" w:lineRule="auto"/>
      </w:pPr>
      <w:r>
        <w:t xml:space="preserve">We used a stress function to modify </w:t>
      </w:r>
      <w:r w:rsidR="00BF0745">
        <w:t xml:space="preserve">a parameter (yield </w:t>
      </w:r>
      <w:r w:rsidR="00A4451C">
        <w:t>of</w:t>
      </w:r>
      <w:r w:rsidR="00BF0745">
        <w:t xml:space="preserve"> </w:t>
      </w:r>
      <w:r w:rsidR="00A4451C">
        <w:t>structure on assimilates</w:t>
      </w:r>
      <w:r w:rsidR="00BF0745">
        <w:t xml:space="preserve">, </w:t>
      </w:r>
      <w:proofErr w:type="spellStart"/>
      <w:r w:rsidR="00BF0745">
        <w:rPr>
          <w:i/>
          <w:iCs/>
        </w:rPr>
        <w:t>y</w:t>
      </w:r>
      <w:r w:rsidR="00BF0745">
        <w:rPr>
          <w:i/>
          <w:iCs/>
          <w:vertAlign w:val="subscript"/>
        </w:rPr>
        <w:t>VA</w:t>
      </w:r>
      <w:proofErr w:type="spellEnd"/>
      <w:r>
        <w:t xml:space="preserve">, the </w:t>
      </w:r>
      <w:r w:rsidR="00076242">
        <w:t>maximum area</w:t>
      </w:r>
      <w:r>
        <w:t xml:space="preserve">-specific assimilation rate, </w:t>
      </w:r>
      <w:proofErr w:type="spellStart"/>
      <w:r>
        <w:rPr>
          <w:i/>
          <w:iCs/>
        </w:rPr>
        <w:t>J</w:t>
      </w:r>
      <w:r w:rsidR="00076242">
        <w:rPr>
          <w:i/>
          <w:iCs/>
          <w:vertAlign w:val="subscript"/>
        </w:rPr>
        <w:t>AM</w:t>
      </w:r>
      <w:r w:rsidR="00076242">
        <w:rPr>
          <w:i/>
          <w:iCs/>
          <w:vertAlign w:val="superscript"/>
        </w:rPr>
        <w:t>a</w:t>
      </w:r>
      <w:proofErr w:type="spellEnd"/>
      <w:r w:rsidR="002513C4">
        <w:t xml:space="preserve">, and/or the embryo mortality rate, </w:t>
      </w:r>
      <w:proofErr w:type="spellStart"/>
      <w:r w:rsidR="002513C4">
        <w:rPr>
          <w:rFonts w:cs="Times New Roman"/>
          <w:i/>
          <w:iCs/>
        </w:rPr>
        <w:t>μ</w:t>
      </w:r>
      <w:r w:rsidR="002513C4">
        <w:rPr>
          <w:i/>
          <w:iCs/>
          <w:vertAlign w:val="subscript"/>
        </w:rPr>
        <w:t>emb</w:t>
      </w:r>
      <w:proofErr w:type="spellEnd"/>
      <w:r w:rsidR="00BF0745">
        <w:t>) and run the model to</w:t>
      </w:r>
      <w:r w:rsidR="002126BE">
        <w:t xml:space="preserve"> see</w:t>
      </w:r>
      <w:r w:rsidR="00BF0745">
        <w:t xml:space="preserve"> how well</w:t>
      </w:r>
      <w:r w:rsidR="00162C98">
        <w:t xml:space="preserve"> the</w:t>
      </w:r>
      <w:r w:rsidR="00BF0745">
        <w:t xml:space="preserve"> predicted data (</w:t>
      </w:r>
      <w:r w:rsidR="002126BE">
        <w:t>length, egg buffer depletion, and survival</w:t>
      </w:r>
      <w:r w:rsidR="00BF0745">
        <w:t xml:space="preserve">) match observed data for the corresponding treatments. </w:t>
      </w:r>
      <w:r w:rsidR="00A4451C">
        <w:t xml:space="preserve">The experimental data are summarized in Table 1. </w:t>
      </w:r>
      <w:r w:rsidR="002126BE">
        <w:t xml:space="preserve">The stress function was based on Jager (2018) and further developed based on measured </w:t>
      </w:r>
      <w:r w:rsidR="002126BE">
        <w:lastRenderedPageBreak/>
        <w:t xml:space="preserve">routine metabolic rates of embryos and larvae under steadily decreasing oxygen levels, which gave thresholds for </w:t>
      </w:r>
      <w:r w:rsidR="008D152F">
        <w:t xml:space="preserve">oxygen levels below which the stress function would be turned on (above the threshold oxygen-related stress would not affect the parameter). </w:t>
      </w:r>
    </w:p>
    <w:p w14:paraId="43580DE6" w14:textId="40287196" w:rsidR="00BF0745" w:rsidRDefault="002126BE" w:rsidP="00AB2324">
      <w:pPr>
        <w:pStyle w:val="TS"/>
        <w:numPr>
          <w:ilvl w:val="1"/>
          <w:numId w:val="1"/>
        </w:numPr>
        <w:spacing w:line="480" w:lineRule="auto"/>
      </w:pPr>
      <w:r>
        <w:t>Could we try using a stress function on multiple parameters (either at once or separately)</w:t>
      </w:r>
      <w:r w:rsidR="00162C98">
        <w:t>, and see which ones let us get the closest fit to the experimental data</w:t>
      </w:r>
      <w:r>
        <w:t>?</w:t>
      </w:r>
    </w:p>
    <w:p w14:paraId="014DBB29" w14:textId="005003C4" w:rsidR="002513C4" w:rsidRDefault="002513C4" w:rsidP="00AB2324">
      <w:pPr>
        <w:pStyle w:val="TS"/>
        <w:numPr>
          <w:ilvl w:val="1"/>
          <w:numId w:val="1"/>
        </w:numPr>
        <w:spacing w:line="480" w:lineRule="auto"/>
      </w:pPr>
      <w:r>
        <w:t>Do we need to fix the parameter(s) the stress function is applied to?</w:t>
      </w:r>
      <w:r w:rsidR="00B52565">
        <w:t xml:space="preserve"> </w:t>
      </w:r>
    </w:p>
    <w:p w14:paraId="3140473C" w14:textId="09F98904" w:rsidR="00BF0745" w:rsidRDefault="00BF0745" w:rsidP="00AB2324">
      <w:pPr>
        <w:pStyle w:val="TS"/>
        <w:spacing w:line="480" w:lineRule="auto"/>
      </w:pPr>
    </w:p>
    <w:p w14:paraId="04F0CFE2" w14:textId="77777777" w:rsidR="00925162" w:rsidRDefault="002513C4" w:rsidP="00AB2324">
      <w:pPr>
        <w:pStyle w:val="TS"/>
        <w:spacing w:line="480" w:lineRule="auto"/>
      </w:pPr>
      <w:r>
        <w:t xml:space="preserve">Adding a stress function to reduce </w:t>
      </w:r>
      <w:proofErr w:type="spellStart"/>
      <w:r>
        <w:rPr>
          <w:i/>
          <w:iCs/>
        </w:rPr>
        <w:t>y</w:t>
      </w:r>
      <w:r>
        <w:rPr>
          <w:i/>
          <w:iCs/>
          <w:vertAlign w:val="subscript"/>
        </w:rPr>
        <w:t>VA</w:t>
      </w:r>
      <w:proofErr w:type="spellEnd"/>
      <w:r>
        <w:rPr>
          <w:i/>
          <w:iCs/>
        </w:rPr>
        <w:t xml:space="preserve"> </w:t>
      </w:r>
      <w:r>
        <w:t xml:space="preserve">as oxygen decreases will result in lower length-at-age during both the pre- and post-hatching stages. </w:t>
      </w:r>
      <w:r w:rsidR="00B52565">
        <w:t xml:space="preserve">We also want the stress function to reproduce delayed hatching and reduced survival to hatching that we observed in experiments. </w:t>
      </w:r>
      <w:r>
        <w:t xml:space="preserve">A stress function for </w:t>
      </w:r>
      <w:proofErr w:type="spellStart"/>
      <w:r w:rsidRPr="00B52565">
        <w:rPr>
          <w:rFonts w:cs="Times New Roman"/>
          <w:i/>
          <w:iCs/>
        </w:rPr>
        <w:t>μ</w:t>
      </w:r>
      <w:r w:rsidRPr="00B52565">
        <w:rPr>
          <w:i/>
          <w:iCs/>
          <w:vertAlign w:val="subscript"/>
        </w:rPr>
        <w:t>emb</w:t>
      </w:r>
      <w:proofErr w:type="spellEnd"/>
      <w:r>
        <w:t xml:space="preserve"> would directly result in lower embryonic survival to hatching </w:t>
      </w:r>
      <w:r w:rsidR="00B52565">
        <w:t xml:space="preserve">but not affect hatch timing or size, and it would not get at a mechanism for this (or perhaps the mechanism is general damage). Reducing </w:t>
      </w:r>
      <w:proofErr w:type="spellStart"/>
      <w:r w:rsidR="00B52565">
        <w:rPr>
          <w:i/>
          <w:iCs/>
        </w:rPr>
        <w:t>y</w:t>
      </w:r>
      <w:r w:rsidR="00B52565">
        <w:rPr>
          <w:i/>
          <w:iCs/>
          <w:vertAlign w:val="subscript"/>
        </w:rPr>
        <w:t>VA</w:t>
      </w:r>
      <w:proofErr w:type="spellEnd"/>
      <w:r w:rsidR="00B52565">
        <w:t xml:space="preserve">, on the other hand, delays hatching so with a constant </w:t>
      </w:r>
      <w:proofErr w:type="spellStart"/>
      <w:r w:rsidR="00B52565" w:rsidRPr="00B52565">
        <w:rPr>
          <w:rFonts w:cs="Times New Roman"/>
          <w:i/>
          <w:iCs/>
        </w:rPr>
        <w:t>μ</w:t>
      </w:r>
      <w:r w:rsidR="00B52565" w:rsidRPr="00B52565">
        <w:rPr>
          <w:i/>
          <w:iCs/>
          <w:vertAlign w:val="subscript"/>
        </w:rPr>
        <w:t>emb</w:t>
      </w:r>
      <w:proofErr w:type="spellEnd"/>
      <w:r w:rsidR="00B52565">
        <w:t xml:space="preserve">, the oxygen effect on </w:t>
      </w:r>
      <w:proofErr w:type="spellStart"/>
      <w:r w:rsidR="00B52565">
        <w:rPr>
          <w:i/>
          <w:iCs/>
        </w:rPr>
        <w:t>y</w:t>
      </w:r>
      <w:r w:rsidR="00B52565">
        <w:rPr>
          <w:i/>
          <w:iCs/>
          <w:vertAlign w:val="subscript"/>
        </w:rPr>
        <w:t>VA</w:t>
      </w:r>
      <w:proofErr w:type="spellEnd"/>
      <w:r w:rsidR="00B52565">
        <w:t xml:space="preserve"> will lead to lower survival to hatching. A plausible reason for </w:t>
      </w:r>
      <w:proofErr w:type="spellStart"/>
      <w:r w:rsidR="00B52565">
        <w:rPr>
          <w:i/>
          <w:iCs/>
        </w:rPr>
        <w:t>y</w:t>
      </w:r>
      <w:r w:rsidR="00B52565">
        <w:rPr>
          <w:i/>
          <w:iCs/>
          <w:vertAlign w:val="subscript"/>
        </w:rPr>
        <w:t>VA</w:t>
      </w:r>
      <w:proofErr w:type="spellEnd"/>
      <w:r w:rsidR="00B52565">
        <w:t xml:space="preserve"> to be reduced under hypoxia is </w:t>
      </w:r>
      <w:r w:rsidR="00C71A2C">
        <w:t xml:space="preserve">a reduction in aerobic metabolism and increased reliance on anaerobic metabolism, which is less efficient and would therefore reduce the yield of structure from assimilates (Thomas et al., 2019). </w:t>
      </w:r>
    </w:p>
    <w:p w14:paraId="7FDAEF09" w14:textId="77777777" w:rsidR="00925162" w:rsidRDefault="00925162" w:rsidP="00AB2324">
      <w:pPr>
        <w:pStyle w:val="TS"/>
        <w:spacing w:line="480" w:lineRule="auto"/>
      </w:pPr>
    </w:p>
    <w:p w14:paraId="335DE72D" w14:textId="77777777" w:rsidR="00EA2DAC" w:rsidRDefault="00866781" w:rsidP="00AB2324">
      <w:pPr>
        <w:pStyle w:val="TS"/>
        <w:spacing w:line="480" w:lineRule="auto"/>
      </w:pPr>
      <w:r>
        <w:t xml:space="preserve">Reducing the assimilation rate similarly </w:t>
      </w:r>
      <w:r w:rsidR="00925162">
        <w:t xml:space="preserve">reduces growth and delays hatching, indirectly reducing survival at hatching. Assimilation affects the shape of the growth curve differently than </w:t>
      </w:r>
      <w:proofErr w:type="spellStart"/>
      <w:r w:rsidR="00925162">
        <w:rPr>
          <w:i/>
          <w:iCs/>
        </w:rPr>
        <w:t>y</w:t>
      </w:r>
      <w:r w:rsidR="00925162">
        <w:rPr>
          <w:i/>
          <w:iCs/>
          <w:vertAlign w:val="subscript"/>
        </w:rPr>
        <w:t>VA</w:t>
      </w:r>
      <w:proofErr w:type="spellEnd"/>
      <w:r w:rsidR="00925162">
        <w:t xml:space="preserve">, however, with a lower assimilation rate limiting ultimate length more abruptly while reducing </w:t>
      </w:r>
      <w:proofErr w:type="spellStart"/>
      <w:r w:rsidR="00925162">
        <w:rPr>
          <w:i/>
          <w:iCs/>
        </w:rPr>
        <w:t>y</w:t>
      </w:r>
      <w:r w:rsidR="00925162">
        <w:rPr>
          <w:i/>
          <w:iCs/>
          <w:vertAlign w:val="subscript"/>
        </w:rPr>
        <w:t>VA</w:t>
      </w:r>
      <w:proofErr w:type="spellEnd"/>
      <w:r w:rsidR="00925162">
        <w:t xml:space="preserve"> allows growth to continue increasing for longer. </w:t>
      </w:r>
    </w:p>
    <w:p w14:paraId="5B83348C" w14:textId="77777777" w:rsidR="00EA2DAC" w:rsidRDefault="00EA2DAC" w:rsidP="00AB2324">
      <w:pPr>
        <w:pStyle w:val="TS"/>
        <w:spacing w:line="480" w:lineRule="auto"/>
      </w:pPr>
    </w:p>
    <w:p w14:paraId="4A7FDC84" w14:textId="474E19DB" w:rsidR="00866781" w:rsidRDefault="00925162" w:rsidP="00AB2324">
      <w:pPr>
        <w:pStyle w:val="TS"/>
        <w:spacing w:line="480" w:lineRule="auto"/>
      </w:pPr>
      <w:r>
        <w:lastRenderedPageBreak/>
        <w:t>Hypoxia may</w:t>
      </w:r>
      <w:r w:rsidR="004237DD">
        <w:t xml:space="preserve"> change assimilation efficiency and thus the overall assimilation rate, but the direction of the effect is species-dependent (reviewed in Thomas et al., 2019). </w:t>
      </w:r>
      <w:r w:rsidR="00866781">
        <w:t xml:space="preserve">Assimilation is when food and oxygen are transformed into reserve (or in </w:t>
      </w:r>
      <w:proofErr w:type="spellStart"/>
      <w:r w:rsidR="00866781">
        <w:t>DEBkiss</w:t>
      </w:r>
      <w:proofErr w:type="spellEnd"/>
      <w:r w:rsidR="00866781">
        <w:t xml:space="preserve"> directly into structure) and metabolic products. </w:t>
      </w:r>
      <w:proofErr w:type="gramStart"/>
      <w:r w:rsidR="00866781">
        <w:t>So</w:t>
      </w:r>
      <w:proofErr w:type="gramEnd"/>
      <w:r w:rsidR="00866781">
        <w:t xml:space="preserve"> </w:t>
      </w:r>
      <w:r w:rsidR="00162C98">
        <w:t xml:space="preserve">with </w:t>
      </w:r>
      <w:r w:rsidR="00EA2DAC">
        <w:t>less</w:t>
      </w:r>
      <w:r w:rsidR="00866781">
        <w:t xml:space="preserve"> oxygen,</w:t>
      </w:r>
      <w:r w:rsidR="00EA2DAC">
        <w:t xml:space="preserve"> less</w:t>
      </w:r>
      <w:r w:rsidR="00866781">
        <w:t xml:space="preserve"> assimilation </w:t>
      </w:r>
      <w:r w:rsidR="00EA2DAC">
        <w:t xml:space="preserve">can happen and more anaerobic metabolism is used instead (also leading to the effect on conversion efficiency described above). </w:t>
      </w:r>
    </w:p>
    <w:p w14:paraId="57829B70" w14:textId="67829356" w:rsidR="00BF0745" w:rsidRDefault="00BF0745"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r>
        <w:rPr>
          <w:b/>
          <w:bCs/>
        </w:rPr>
        <w:t>References</w:t>
      </w:r>
    </w:p>
    <w:p w14:paraId="69145B8F" w14:textId="1E4AFF85" w:rsidR="0097432D" w:rsidRDefault="0097432D" w:rsidP="00AB2324">
      <w:pPr>
        <w:pStyle w:val="TS"/>
        <w:spacing w:line="480" w:lineRule="auto"/>
      </w:pPr>
      <w:r>
        <w:t xml:space="preserve">Jager et al 2013 – </w:t>
      </w:r>
      <w:proofErr w:type="spellStart"/>
      <w:r>
        <w:t>DEBkiss</w:t>
      </w:r>
      <w:proofErr w:type="spellEnd"/>
      <w:r>
        <w:t xml:space="preserve"> or the quest for simplest</w:t>
      </w:r>
    </w:p>
    <w:p w14:paraId="3EFE6CEB" w14:textId="49518247" w:rsidR="0097432D" w:rsidRPr="0097432D" w:rsidRDefault="0097432D" w:rsidP="00AB2324">
      <w:pPr>
        <w:pStyle w:val="TS"/>
        <w:spacing w:line="480" w:lineRule="auto"/>
      </w:pPr>
      <w:r>
        <w:t xml:space="preserve">Jager 2018 – </w:t>
      </w:r>
      <w:proofErr w:type="spellStart"/>
      <w:r>
        <w:t>DEBkiss</w:t>
      </w:r>
      <w:proofErr w:type="spellEnd"/>
      <w:r>
        <w:t xml:space="preserve"> book</w:t>
      </w:r>
    </w:p>
    <w:sectPr w:rsidR="0097432D" w:rsidRPr="009743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3-02-13T16:41:00Z" w:initials="TGS">
    <w:p w14:paraId="0B6DA90F" w14:textId="6887D836" w:rsidR="00A73CA5" w:rsidRDefault="00A73CA5">
      <w:pPr>
        <w:pStyle w:val="CommentText"/>
      </w:pPr>
      <w:r>
        <w:rPr>
          <w:rStyle w:val="CommentReference"/>
        </w:rPr>
        <w:annotationRef/>
      </w:r>
      <w:r>
        <w:t xml:space="preserve">AIC assumes equal weights of data, but by looking at specific data points and how different predicted vs observed you can give some more weight than others.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6DA9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E6AE" w16cex:dateUtc="2023-02-13T2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6DA90F" w16cid:durableId="2794E6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791824">
    <w:abstractNumId w:val="1"/>
  </w:num>
  <w:num w:numId="2" w16cid:durableId="10879270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842"/>
    <w:rsid w:val="0004196A"/>
    <w:rsid w:val="0006789D"/>
    <w:rsid w:val="00072F46"/>
    <w:rsid w:val="00076242"/>
    <w:rsid w:val="000E5B61"/>
    <w:rsid w:val="00100716"/>
    <w:rsid w:val="00162C98"/>
    <w:rsid w:val="0020401D"/>
    <w:rsid w:val="002126BE"/>
    <w:rsid w:val="00235D9D"/>
    <w:rsid w:val="002513C4"/>
    <w:rsid w:val="00321AC3"/>
    <w:rsid w:val="003F2AB9"/>
    <w:rsid w:val="004237DD"/>
    <w:rsid w:val="00495AFA"/>
    <w:rsid w:val="00496CED"/>
    <w:rsid w:val="00542FDB"/>
    <w:rsid w:val="00551A70"/>
    <w:rsid w:val="006C2669"/>
    <w:rsid w:val="00733DA2"/>
    <w:rsid w:val="0077048B"/>
    <w:rsid w:val="007718D4"/>
    <w:rsid w:val="00781F3F"/>
    <w:rsid w:val="007934CB"/>
    <w:rsid w:val="00866781"/>
    <w:rsid w:val="00876CDC"/>
    <w:rsid w:val="0088267D"/>
    <w:rsid w:val="008909B0"/>
    <w:rsid w:val="008D152F"/>
    <w:rsid w:val="00917E61"/>
    <w:rsid w:val="00925162"/>
    <w:rsid w:val="009624EF"/>
    <w:rsid w:val="0097432D"/>
    <w:rsid w:val="00A4451C"/>
    <w:rsid w:val="00A73CA5"/>
    <w:rsid w:val="00AB2324"/>
    <w:rsid w:val="00AB7842"/>
    <w:rsid w:val="00AF4A18"/>
    <w:rsid w:val="00B41152"/>
    <w:rsid w:val="00B52565"/>
    <w:rsid w:val="00B5366E"/>
    <w:rsid w:val="00B639A6"/>
    <w:rsid w:val="00BF0745"/>
    <w:rsid w:val="00C71A2C"/>
    <w:rsid w:val="00CA3DC2"/>
    <w:rsid w:val="00CE019C"/>
    <w:rsid w:val="00DF6C70"/>
    <w:rsid w:val="00E159CC"/>
    <w:rsid w:val="00E56AEB"/>
    <w:rsid w:val="00EA2DAC"/>
    <w:rsid w:val="00F6560C"/>
    <w:rsid w:val="00FB3DD0"/>
    <w:rsid w:val="00FB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7</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5</cp:revision>
  <dcterms:created xsi:type="dcterms:W3CDTF">2023-03-01T21:46:00Z</dcterms:created>
  <dcterms:modified xsi:type="dcterms:W3CDTF">2023-03-02T16:19:00Z</dcterms:modified>
</cp:coreProperties>
</file>