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w:t>
      </w:r>
      <w:r w:rsidR="00B968EE">
        <w:lastRenderedPageBreak/>
        <w:t xml:space="preserve">hypoxic zones and how their sensitivity to predation and additional environmental stressors could change. </w:t>
      </w:r>
    </w:p>
    <w:p w14:paraId="21322DE6" w14:textId="6C53A61F" w:rsidR="00244892" w:rsidRDefault="008301C5" w:rsidP="00725FAE">
      <w:pPr>
        <w:pStyle w:val="TS"/>
        <w:spacing w:line="480" w:lineRule="auto"/>
        <w:ind w:firstLine="720"/>
      </w:pPr>
      <w:r>
        <w:t xml:space="preserve">When targeted conservation action is </w:t>
      </w:r>
      <w:r w:rsidR="00725FAE">
        <w:t>desired</w:t>
      </w:r>
      <w:r>
        <w:t>, population-level risks associated with stressors are important to quantify</w:t>
      </w:r>
      <w:r w:rsidR="008F477E">
        <w:t xml:space="preserve"> because this level is most often used for management</w:t>
      </w:r>
      <w:r>
        <w:t xml:space="preserve">. </w:t>
      </w:r>
      <w:r w:rsidR="00725FAE">
        <w:t>M</w:t>
      </w:r>
      <w:r w:rsidR="008F477E">
        <w:t>uch</w:t>
      </w:r>
      <w:r w:rsidR="00725FAE">
        <w:t xml:space="preserve"> research on </w:t>
      </w:r>
      <w:r w:rsidR="008F477E">
        <w:t>stressor</w:t>
      </w:r>
      <w:r w:rsidR="00725FAE">
        <w:t xml:space="preserve"> effects uses laboratory experiments to measure physiological responses, but</w:t>
      </w:r>
      <w:r w:rsidR="008F477E">
        <w:t xml:space="preserve"> additional steps can be taken to elucidate how these translate to life history outcomes such as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Dynamic Energy Budget (DEB) modeling is a bioenergetic framework designed to bridge multiple levels of biological organization in assessing stressor effects in </w:t>
      </w:r>
      <w:r w:rsidR="00B56D28">
        <w:t>a vast variety of species</w:t>
      </w:r>
      <w:r w:rsidR="00244892">
        <w:t xml:space="preserve"> (</w:t>
      </w:r>
      <w:proofErr w:type="spellStart"/>
      <w:r w:rsidR="00244892">
        <w:t>Kooijman</w:t>
      </w:r>
      <w:proofErr w:type="spellEnd"/>
      <w:r w:rsidR="00244892">
        <w:t>, 2010</w:t>
      </w:r>
      <w:r w:rsidR="00B56D28">
        <w:t xml:space="preserve">; </w:t>
      </w:r>
      <w:proofErr w:type="spellStart"/>
      <w:r w:rsidR="00B56D28">
        <w:t>AmP</w:t>
      </w:r>
      <w:proofErr w:type="spellEnd"/>
      <w:r w:rsidR="00B56D28">
        <w:t>, 202</w:t>
      </w:r>
      <w:r w:rsidR="00F22C10">
        <w:t>3</w:t>
      </w:r>
      <w:r w:rsidR="00244892">
        <w:t xml:space="preserve">). </w:t>
      </w:r>
      <w:r w:rsidR="0024173E">
        <w:t xml:space="preserve">The model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58F509DC" w:rsidR="00244892" w:rsidRPr="005C2DF2" w:rsidRDefault="00CF09D7" w:rsidP="00725FAE">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 xml:space="preserve">Martin et al., </w:t>
      </w:r>
      <w:r w:rsidR="00216209">
        <w:lastRenderedPageBreak/>
        <w:t>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w:t>
      </w:r>
      <w:r w:rsidR="005C2DF2">
        <w:t>the model has clear assumptions for sustained starvation</w:t>
      </w:r>
      <w:r w:rsidR="005C2DF2">
        <w:t xml:space="preserve"> (Jager, 2018). </w:t>
      </w:r>
      <w:r w:rsidR="007A332A">
        <w:t xml:space="preserve">The lack of reserve also means that </w:t>
      </w:r>
      <w:proofErr w:type="spellStart"/>
      <w:r w:rsidR="007A332A">
        <w:t>DEBkiss</w:t>
      </w:r>
      <w:proofErr w:type="spellEnd"/>
      <w:r w:rsidR="007A332A">
        <w:t xml:space="preserve"> is best suited for animals with a small ultimate body size because reserve plays a smaller role in such species </w:t>
      </w:r>
      <w:r w:rsidR="00EC616F">
        <w:t>under DEB theory (Nisbet et al., 2000).</w:t>
      </w:r>
      <w:r w:rsidR="007A332A">
        <w:t xml:space="preserve"> </w:t>
      </w:r>
      <w:proofErr w:type="spellStart"/>
      <w:r w:rsidR="007A332A">
        <w:t>DEBkiss</w:t>
      </w:r>
      <w:proofErr w:type="spellEnd"/>
      <w:r w:rsidR="007A332A">
        <w:t xml:space="preserve"> also differs from standard DEB theory by using body size thresholds to trigger life stage transitions, while DEB theory does this by having a state variable for ‘maturity’ (</w:t>
      </w:r>
      <w:proofErr w:type="spellStart"/>
      <w:r w:rsidR="007A332A">
        <w:t>Kooijman</w:t>
      </w:r>
      <w:proofErr w:type="spellEnd"/>
      <w:r w:rsidR="007A332A">
        <w:t>, 2010; Jager et al., 2013).</w:t>
      </w:r>
    </w:p>
    <w:p w14:paraId="30E89E82" w14:textId="77DCE265" w:rsidR="0050164F" w:rsidRDefault="0050164F" w:rsidP="0050164F">
      <w:pPr>
        <w:pStyle w:val="TS"/>
        <w:spacing w:line="480" w:lineRule="auto"/>
        <w:ind w:firstLine="720"/>
      </w:pPr>
      <w:r>
        <w:t xml:space="preserve">We used a </w:t>
      </w:r>
      <w:proofErr w:type="spellStart"/>
      <w:r>
        <w:t>DEBkiss</w:t>
      </w:r>
      <w:proofErr w:type="spellEnd"/>
      <w:r>
        <w:t xml:space="preserve"> 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w:t>
      </w:r>
      <w:proofErr w:type="spellStart"/>
      <w:r>
        <w:rPr>
          <w:i/>
          <w:iCs/>
        </w:rPr>
        <w:t>menidia</w:t>
      </w:r>
      <w:proofErr w:type="spellEnd"/>
      <w:r>
        <w:t xml:space="preserve">. </w:t>
      </w:r>
      <w:r w:rsidR="00142B39">
        <w:t xml:space="preserve">In a series of experiments, </w:t>
      </w:r>
      <w:r w:rsidR="00142B39">
        <w:rPr>
          <w:i/>
          <w:iCs/>
        </w:rPr>
        <w:t>M. menidia</w:t>
      </w:r>
      <w:r w:rsidR="00142B39">
        <w:t xml:space="preserve"> offspring were reared in static or diel fluctuating </w:t>
      </w:r>
      <w:r w:rsidR="00142B39">
        <w:lastRenderedPageBreak/>
        <w:t>combinations of oxygen and CO</w:t>
      </w:r>
      <w:r w:rsidR="00142B39">
        <w:rPr>
          <w:vertAlign w:val="subscript"/>
        </w:rPr>
        <w:t>2</w:t>
      </w:r>
      <w:r w:rsidR="00142B39">
        <w:t xml:space="preserve"> treatments to quantify their sensitivity to two co-occurring stressors prevalent in their early life estuarine habitat (Cross et al., 2019). </w:t>
      </w:r>
      <w:r w:rsidR="00760952">
        <w:t xml:space="preserve">Although diel fluctuations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0"/>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0"/>
      <w:r w:rsidR="00D762DD">
        <w:rPr>
          <w:rStyle w:val="CommentReference"/>
          <w:rFonts w:asciiTheme="minorHAnsi" w:hAnsiTheme="minorHAnsi"/>
        </w:rPr>
        <w:commentReference w:id="0"/>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proofErr w:type="spellStart"/>
      <w:r w:rsidR="0011010D">
        <w:t>Lavaud</w:t>
      </w:r>
      <w:proofErr w:type="spellEnd"/>
      <w:r w:rsidR="0011010D">
        <w:t xml:space="preserve"> et al., 2021)</w:t>
      </w:r>
      <w:r w:rsidR="00A65034">
        <w:t xml:space="preserve">. </w:t>
      </w:r>
      <w:r w:rsidR="00A65034">
        <w:t>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w:t>
      </w:r>
      <w:r w:rsidR="00A65034">
        <w:t xml:space="preserve"> </w:t>
      </w:r>
      <w:r w:rsidR="00D90FCB">
        <w:t xml:space="preserve">Hypoxia is a widespread condition that often co-occurs with </w:t>
      </w:r>
      <w:r w:rsidR="00D90FCB">
        <w:t xml:space="preserve">other </w:t>
      </w:r>
      <w:r w:rsidR="00D90FCB">
        <w:t xml:space="preserve">stressors, but logistical constraints generally prevent </w:t>
      </w:r>
      <w:r w:rsidR="00D90FCB">
        <w:t>the experimental testing of more 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 xml:space="preserve">help researchers predict how multiple stressors interact without having to conduct enormous </w:t>
      </w:r>
      <w:proofErr w:type="spellStart"/>
      <w:r w:rsidR="00D90FCB">
        <w:t>multistressor</w:t>
      </w:r>
      <w:proofErr w:type="spellEnd"/>
      <w:r w:rsidR="00D90FCB">
        <w:t xml:space="preserve"> experiments and sacrifice large numbers of animals</w:t>
      </w:r>
      <w:r w:rsidR="00A65034">
        <w:t xml:space="preserve">. </w:t>
      </w:r>
      <w:r w:rsidR="009E0C2B">
        <w:t xml:space="preserve">Furthermore, the </w:t>
      </w:r>
      <w:proofErr w:type="spellStart"/>
      <w:r w:rsidR="009E0C2B">
        <w:t>DEBkiss</w:t>
      </w:r>
      <w:proofErr w:type="spellEnd"/>
      <w:r w:rsidR="009E0C2B">
        <w:t xml:space="preserve"> framework is simple enough to be adapted to other species and the </w:t>
      </w:r>
      <w:r w:rsidR="009E0C2B">
        <w:lastRenderedPageBreak/>
        <w:t xml:space="preserve">types of data we used – growth and survival – are some of the most commonly measured variables in laboratory experiments, so this method could easily be applied to other species of ecological or commercial importance. </w:t>
      </w:r>
    </w:p>
    <w:p w14:paraId="4BB94593" w14:textId="7766941C"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on faster ventilation and heartbeat to increase oxygen uptake when ambient DO is low </w:t>
      </w:r>
      <w:r w:rsidR="00D42DCB">
        <w:t>(Kramer, 1987; Maxime et al., 2000</w:t>
      </w:r>
      <w:r w:rsidR="00FB78FC">
        <w:t xml:space="preserve">),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w:t>
      </w:r>
      <w:r w:rsidR="00FB78FC">
        <w:lastRenderedPageBreak/>
        <w:t xml:space="preserve">assimilates that are converted into structure rather than burned on overhead costs of growth (Jager, 2018). When oxygen is low enough that anaerobic metabolism must be used, this reduces conversion efficiency so that less growth results from the same amount of yolk or food. This </w:t>
      </w:r>
      <w:r w:rsidR="00FB78FC">
        <w:t xml:space="preserve">would lead to a smaller hatch size and slower growth post-hatch. </w:t>
      </w:r>
    </w:p>
    <w:p w14:paraId="4A32924E" w14:textId="6FE63E51" w:rsidR="00B41152" w:rsidRDefault="00FB78FC" w:rsidP="009E0C2B">
      <w:pPr>
        <w:pStyle w:val="TS"/>
        <w:spacing w:line="480" w:lineRule="auto"/>
        <w:ind w:firstLine="720"/>
      </w:pPr>
      <w:r>
        <w:t xml:space="preserve">Maximum assimilation may best explain the observed hypoxia effects. </w:t>
      </w:r>
      <w:r w:rsidR="00CF696B">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rsidR="00CF696B">
        <w:t>Dutil</w:t>
      </w:r>
      <w:proofErr w:type="spellEnd"/>
      <w:r w:rsidR="00CF696B">
        <w:t>, 1999; Thomas et al., 2019). However,</w:t>
      </w:r>
      <w:r>
        <w:t xml:space="preserve"> feeding </w:t>
      </w:r>
      <w:r w:rsidR="00CF696B">
        <w:t xml:space="preserve">effects </w:t>
      </w:r>
      <w:proofErr w:type="spellStart"/>
      <w:r w:rsidR="00CF696B">
        <w:t>can not</w:t>
      </w:r>
      <w:proofErr w:type="spellEnd"/>
      <w:r w:rsidR="00CF696B">
        <w:t xml:space="preserve">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w:t>
      </w:r>
      <w:r>
        <w:t xml:space="preserve">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reduces hatch survival under hypoxia. We therefore hypothesize that maximum assimilation rate 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affect mortality after hatching, so using the stress function </w:t>
      </w:r>
      <w:r w:rsidR="004349A8">
        <w:lastRenderedPageBreak/>
        <w:t xml:space="preserve">on assimilation and post-hatch mortality parameters may be necessary to fully replicate the observed hypoxia data.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w:t>
      </w:r>
      <w:r w:rsidR="00733DA2">
        <w:lastRenderedPageBreak/>
        <w:t xml:space="preserve">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identical and both are referred to as the juvenile stage.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larval/juveniles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w:t>
      </w:r>
      <w:r w:rsidR="00FB40AF">
        <w:rPr>
          <w:rFonts w:cs="Times New Roman"/>
        </w:rPr>
        <w:lastRenderedPageBreak/>
        <w:t xml:space="preserve">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1"/>
      <w:r>
        <w:t>boxes</w:t>
      </w:r>
      <w:commentRangeEnd w:id="1"/>
      <w:r w:rsidR="00E93064">
        <w:rPr>
          <w:rStyle w:val="CommentReference"/>
          <w:rFonts w:asciiTheme="minorHAnsi" w:hAnsiTheme="minorHAnsi"/>
        </w:rPr>
        <w:commentReference w:id="1"/>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lastRenderedPageBreak/>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w:t>
      </w:r>
      <w:r w:rsidR="00731F55">
        <w:rPr>
          <w:rFonts w:eastAsiaTheme="minorEastAsia" w:cs="Times New Roman"/>
        </w:rPr>
        <w:t xml:space="preserve">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similar to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w:t>
      </w:r>
      <w:r w:rsidR="00C02245">
        <w:lastRenderedPageBreak/>
        <w:t xml:space="preserve">(Murray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lastRenderedPageBreak/>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w:t>
      </w:r>
      <w:proofErr w:type="spellStart"/>
      <w:r>
        <w:t>Matlab</w:t>
      </w:r>
      <w:proofErr w:type="spellEnd"/>
      <w:r>
        <w:t xml:space="preserve"> </w:t>
      </w:r>
      <w:r>
        <w:t xml:space="preserve">with the </w:t>
      </w:r>
      <w:r>
        <w:t xml:space="preserve">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Both of these parameters affect growth and egg buffer depletion </w:t>
      </w:r>
      <w:r w:rsidR="00026B3B">
        <w:rPr>
          <w:rFonts w:cs="Times New Roman"/>
        </w:rPr>
        <w:lastRenderedPageBreak/>
        <w:t xml:space="preserve">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w:lastRenderedPageBreak/>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t xml:space="preserve">The parameters of interest we increased with the stress function were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cs="Times New Roman"/>
          <w:i/>
          <w:iCs/>
        </w:rPr>
        <w:t>μ</w:t>
      </w:r>
      <w:r>
        <w:rPr>
          <w:rFonts w:cs="Times New Roman"/>
          <w:i/>
          <w:iCs/>
          <w:vertAlign w:val="subscript"/>
        </w:rPr>
        <w:t>emb</w:t>
      </w:r>
      <w:proofErr w:type="spellEnd"/>
      <w:r>
        <w:rPr>
          <w:rFonts w:cs="Times New Roman"/>
        </w:rPr>
        <w:t>,</w:t>
      </w:r>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w:t>
      </w:r>
      <w:r>
        <w:rPr>
          <w:rFonts w:eastAsiaTheme="minorEastAsia"/>
        </w:rPr>
        <w:t xml:space="preserve"> 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w:t>
      </w:r>
      <w:r>
        <w:rPr>
          <w:rFonts w:eastAsiaTheme="minorEastAsia"/>
        </w:rPr>
        <w:t xml:space="preserve">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lastRenderedPageBreak/>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lastRenderedPageBreak/>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2"/>
      <w:r w:rsidR="002E684E">
        <w:rPr>
          <w:i/>
          <w:iCs/>
        </w:rPr>
        <w:t>menidia</w:t>
      </w:r>
      <w:commentRangeEnd w:id="2"/>
      <w:r w:rsidR="00CF6861">
        <w:rPr>
          <w:rStyle w:val="CommentReference"/>
          <w:rFonts w:asciiTheme="minorHAnsi" w:hAnsiTheme="minorHAnsi"/>
        </w:rPr>
        <w:commentReference w:id="2"/>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thresholds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lastRenderedPageBreak/>
        <w:t>Assimilation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6"/>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lastRenderedPageBreak/>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7"/>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8"/>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lastRenderedPageBreak/>
        <w:t>Embryo mortality (</w:t>
      </w:r>
      <w:proofErr w:type="spellStart"/>
      <w:r>
        <w:rPr>
          <w:rFonts w:cs="Times New Roman"/>
          <w:i/>
          <w:iCs/>
        </w:rPr>
        <w:t>μ</w:t>
      </w:r>
      <w:r>
        <w:rPr>
          <w:i/>
          <w:iCs/>
          <w:vertAlign w:val="subscript"/>
        </w:rPr>
        <w:t>emb</w:t>
      </w:r>
      <w:proofErr w:type="spellEnd"/>
      <w:r>
        <w:t xml:space="preserve">): only affects survival to hatching, and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9"/>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Similar to embryo mortality, but also doesn’t explain why survival was zero at the lowest oxygen level (2.5 mg/L) because there is no combination of the thresholds </w:t>
      </w:r>
      <w:r>
        <w:rPr>
          <w:i/>
          <w:iCs/>
        </w:rPr>
        <w:t xml:space="preserve">A </w:t>
      </w:r>
      <w:r>
        <w:lastRenderedPageBreak/>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20"/>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01604D7B" w14:textId="30EE6C58"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21"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50F52D6C" w:rsidR="003F5E32" w:rsidRDefault="003F5E32" w:rsidP="00CC2B70">
      <w:pPr>
        <w:pStyle w:val="TS"/>
        <w:spacing w:line="480" w:lineRule="auto"/>
        <w:ind w:left="720" w:hanging="720"/>
      </w:pPr>
      <w:r>
        <w:lastRenderedPageBreak/>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8DC594E" w14:textId="738F13FF" w:rsidR="00E323A7" w:rsidRP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0B8CB164" w14:textId="727B874A" w:rsidR="00CF304A" w:rsidRDefault="00CF304A" w:rsidP="00CC2B70">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3D5035B2" w:rsidR="00C0015A" w:rsidRP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3628B665"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22" w:history="1">
        <w:r w:rsidRPr="00F81C0D">
          <w:rPr>
            <w:rStyle w:val="Hyperlink"/>
          </w:rPr>
          <w:t>https://leanpub.com/debkiss_book</w:t>
        </w:r>
      </w:hyperlink>
      <w:r>
        <w:t xml:space="preserve">. </w:t>
      </w:r>
    </w:p>
    <w:p w14:paraId="3FBB5E8E" w14:textId="5EBED23A" w:rsidR="00A11D2B" w:rsidRPr="00A11D2B" w:rsidRDefault="00A11D2B" w:rsidP="00CC2B70">
      <w:pPr>
        <w:pStyle w:val="TS"/>
        <w:spacing w:line="480" w:lineRule="auto"/>
        <w:ind w:left="720" w:hanging="720"/>
      </w:pPr>
      <w:r>
        <w:lastRenderedPageBreak/>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33D87199" w14:textId="35A34DCD"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06BA1FF3"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5D9A3749"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lastRenderedPageBreak/>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7A1EB2B1" w:rsidR="00912774" w:rsidRP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72522C7" w14:textId="3213CD7E"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3CBF209B" w14:textId="1FD447AB" w:rsidR="001120CA" w:rsidRP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52EA12BD"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w:t>
      </w:r>
      <w:r>
        <w:lastRenderedPageBreak/>
        <w:t xml:space="preserve">Observed patterns and modelling assumptions within the context of Dynamic Energy Budget (DEB) theory. </w:t>
      </w:r>
      <w:r>
        <w:rPr>
          <w:i/>
          <w:iCs/>
        </w:rPr>
        <w:t>J. Sea Res.</w:t>
      </w:r>
      <w:r>
        <w:t xml:space="preserve">, 143: 231-242.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3T14:46:00Z" w:initials="TGS">
    <w:p w14:paraId="3327AFBC" w14:textId="480EFAB3" w:rsidR="00D762DD" w:rsidRDefault="00D762DD">
      <w:pPr>
        <w:pStyle w:val="CommentText"/>
      </w:pPr>
      <w:r>
        <w:rPr>
          <w:rStyle w:val="CommentReference"/>
        </w:rPr>
        <w:annotationRef/>
      </w:r>
      <w:r>
        <w:t>citations</w:t>
      </w:r>
    </w:p>
  </w:comment>
  <w:comment w:id="1"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actually make it look like embryo mortality applies to the assimilation part of the energy budget and post hatch applies to growth, maintenance, and reproduction…which is not what I was going for lol. </w:t>
      </w:r>
    </w:p>
  </w:comment>
  <w:comment w:id="2"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7AFBC" w15:done="0"/>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7AFBC" w16cid:durableId="27AC86A8"/>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1010D"/>
    <w:rsid w:val="001120CA"/>
    <w:rsid w:val="00142B39"/>
    <w:rsid w:val="00162C98"/>
    <w:rsid w:val="00163CF3"/>
    <w:rsid w:val="001C1AE4"/>
    <w:rsid w:val="001C41A3"/>
    <w:rsid w:val="0020401D"/>
    <w:rsid w:val="002126BE"/>
    <w:rsid w:val="00216209"/>
    <w:rsid w:val="00227BA8"/>
    <w:rsid w:val="00235D9D"/>
    <w:rsid w:val="0024173E"/>
    <w:rsid w:val="00244892"/>
    <w:rsid w:val="002513C4"/>
    <w:rsid w:val="00286733"/>
    <w:rsid w:val="0029731B"/>
    <w:rsid w:val="002A4659"/>
    <w:rsid w:val="002B7F87"/>
    <w:rsid w:val="002E2496"/>
    <w:rsid w:val="002E684E"/>
    <w:rsid w:val="002F662D"/>
    <w:rsid w:val="00303274"/>
    <w:rsid w:val="00321AC3"/>
    <w:rsid w:val="00391BD8"/>
    <w:rsid w:val="003A348D"/>
    <w:rsid w:val="003F2AB9"/>
    <w:rsid w:val="003F5E32"/>
    <w:rsid w:val="00400292"/>
    <w:rsid w:val="004237DD"/>
    <w:rsid w:val="004349A8"/>
    <w:rsid w:val="00495AFA"/>
    <w:rsid w:val="00496CED"/>
    <w:rsid w:val="004A7ED6"/>
    <w:rsid w:val="004B7230"/>
    <w:rsid w:val="0050164F"/>
    <w:rsid w:val="00514DA9"/>
    <w:rsid w:val="00527345"/>
    <w:rsid w:val="00542FDB"/>
    <w:rsid w:val="00551A70"/>
    <w:rsid w:val="00557955"/>
    <w:rsid w:val="005C2DF2"/>
    <w:rsid w:val="00635A32"/>
    <w:rsid w:val="0068755F"/>
    <w:rsid w:val="006A0BB5"/>
    <w:rsid w:val="006C2669"/>
    <w:rsid w:val="006E1415"/>
    <w:rsid w:val="006E774A"/>
    <w:rsid w:val="00725FAE"/>
    <w:rsid w:val="00731F55"/>
    <w:rsid w:val="00732454"/>
    <w:rsid w:val="00733DA2"/>
    <w:rsid w:val="00756B47"/>
    <w:rsid w:val="00760952"/>
    <w:rsid w:val="0077048B"/>
    <w:rsid w:val="007718D4"/>
    <w:rsid w:val="00781F3F"/>
    <w:rsid w:val="00783211"/>
    <w:rsid w:val="007934CB"/>
    <w:rsid w:val="00794F38"/>
    <w:rsid w:val="007A2B4B"/>
    <w:rsid w:val="007A332A"/>
    <w:rsid w:val="008301C5"/>
    <w:rsid w:val="00830A7F"/>
    <w:rsid w:val="00845679"/>
    <w:rsid w:val="00866781"/>
    <w:rsid w:val="00876CDC"/>
    <w:rsid w:val="0088267D"/>
    <w:rsid w:val="008909B0"/>
    <w:rsid w:val="008C0A32"/>
    <w:rsid w:val="008D152F"/>
    <w:rsid w:val="008F477E"/>
    <w:rsid w:val="008F5EE6"/>
    <w:rsid w:val="009011E3"/>
    <w:rsid w:val="00906367"/>
    <w:rsid w:val="00912774"/>
    <w:rsid w:val="00917E61"/>
    <w:rsid w:val="00924662"/>
    <w:rsid w:val="00925162"/>
    <w:rsid w:val="009352B2"/>
    <w:rsid w:val="009624EF"/>
    <w:rsid w:val="00967ED2"/>
    <w:rsid w:val="0097432D"/>
    <w:rsid w:val="009839F0"/>
    <w:rsid w:val="009B13C2"/>
    <w:rsid w:val="009E0C2B"/>
    <w:rsid w:val="00A11D2B"/>
    <w:rsid w:val="00A20931"/>
    <w:rsid w:val="00A23224"/>
    <w:rsid w:val="00A320A9"/>
    <w:rsid w:val="00A4451C"/>
    <w:rsid w:val="00A65034"/>
    <w:rsid w:val="00A73CA5"/>
    <w:rsid w:val="00A82CC5"/>
    <w:rsid w:val="00A83794"/>
    <w:rsid w:val="00AB2324"/>
    <w:rsid w:val="00AB274A"/>
    <w:rsid w:val="00AB7842"/>
    <w:rsid w:val="00AF4A18"/>
    <w:rsid w:val="00B0236F"/>
    <w:rsid w:val="00B335CF"/>
    <w:rsid w:val="00B34E97"/>
    <w:rsid w:val="00B364E9"/>
    <w:rsid w:val="00B41152"/>
    <w:rsid w:val="00B47398"/>
    <w:rsid w:val="00B52565"/>
    <w:rsid w:val="00B5366E"/>
    <w:rsid w:val="00B56D28"/>
    <w:rsid w:val="00B639A6"/>
    <w:rsid w:val="00B76865"/>
    <w:rsid w:val="00B968EE"/>
    <w:rsid w:val="00BB65E9"/>
    <w:rsid w:val="00BF0745"/>
    <w:rsid w:val="00C0015A"/>
    <w:rsid w:val="00C02245"/>
    <w:rsid w:val="00C14C62"/>
    <w:rsid w:val="00C71A2C"/>
    <w:rsid w:val="00C87F30"/>
    <w:rsid w:val="00C9033F"/>
    <w:rsid w:val="00CA3DC2"/>
    <w:rsid w:val="00CC2B70"/>
    <w:rsid w:val="00CE019C"/>
    <w:rsid w:val="00CE1F7B"/>
    <w:rsid w:val="00CF09D7"/>
    <w:rsid w:val="00CF304A"/>
    <w:rsid w:val="00CF6861"/>
    <w:rsid w:val="00CF696B"/>
    <w:rsid w:val="00D05B50"/>
    <w:rsid w:val="00D33B80"/>
    <w:rsid w:val="00D42DCB"/>
    <w:rsid w:val="00D7223A"/>
    <w:rsid w:val="00D7317A"/>
    <w:rsid w:val="00D762DD"/>
    <w:rsid w:val="00D80B1B"/>
    <w:rsid w:val="00D85E40"/>
    <w:rsid w:val="00D90FCB"/>
    <w:rsid w:val="00DC3FBC"/>
    <w:rsid w:val="00DF6C70"/>
    <w:rsid w:val="00E00685"/>
    <w:rsid w:val="00E13389"/>
    <w:rsid w:val="00E159CC"/>
    <w:rsid w:val="00E323A7"/>
    <w:rsid w:val="00E37589"/>
    <w:rsid w:val="00E377A1"/>
    <w:rsid w:val="00E43F91"/>
    <w:rsid w:val="00E56AEB"/>
    <w:rsid w:val="00E93064"/>
    <w:rsid w:val="00EA2DAC"/>
    <w:rsid w:val="00EC616F"/>
    <w:rsid w:val="00F02D30"/>
    <w:rsid w:val="00F22C10"/>
    <w:rsid w:val="00F6560C"/>
    <w:rsid w:val="00F723B0"/>
    <w:rsid w:val="00FB3DD0"/>
    <w:rsid w:val="00FB40AF"/>
    <w:rsid w:val="00FB78FC"/>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styleId="UnresolvedMention">
    <w:name w:val="Unresolved Mention"/>
    <w:basedOn w:val="DefaultParagraphFont"/>
    <w:uiPriority w:val="99"/>
    <w:semiHidden/>
    <w:unhideWhenUsed/>
    <w:rsid w:val="00CC2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io.vu.nl/thb/deb/deblab/add_my_pet/"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leanpub.com/debkiss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7A3D-C319-40C8-A7AA-C1803C6B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25</Pages>
  <Words>5031</Words>
  <Characters>28682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51</cp:revision>
  <dcterms:created xsi:type="dcterms:W3CDTF">2023-03-01T21:46:00Z</dcterms:created>
  <dcterms:modified xsi:type="dcterms:W3CDTF">2023-03-03T21:55:00Z</dcterms:modified>
</cp:coreProperties>
</file>