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DA86" w14:textId="0FCED7C5" w:rsidR="00FB3DD0" w:rsidRDefault="00C1499C" w:rsidP="00C1499C">
      <w:pPr>
        <w:pStyle w:val="TS"/>
      </w:pPr>
      <w:r>
        <w:t>DEB Notes December 2023</w:t>
      </w:r>
    </w:p>
    <w:p w14:paraId="44398476" w14:textId="77777777" w:rsidR="00C1499C" w:rsidRDefault="00C1499C" w:rsidP="00C1499C">
      <w:pPr>
        <w:pStyle w:val="TS"/>
      </w:pPr>
    </w:p>
    <w:p w14:paraId="02BB2A08" w14:textId="77777777" w:rsidR="00C1499C" w:rsidRDefault="00C1499C" w:rsidP="00C1499C">
      <w:pPr>
        <w:pStyle w:val="TS"/>
      </w:pPr>
    </w:p>
    <w:p w14:paraId="278A118E" w14:textId="7B981E41" w:rsidR="00C1499C" w:rsidRDefault="00C1499C" w:rsidP="00C1499C">
      <w:pPr>
        <w:pStyle w:val="TS"/>
      </w:pPr>
      <w:r>
        <w:t xml:space="preserve">Changing weights </w:t>
      </w:r>
    </w:p>
    <w:p w14:paraId="0C4EE378" w14:textId="77777777" w:rsidR="00C1499C" w:rsidRDefault="00C1499C" w:rsidP="00C1499C">
      <w:pPr>
        <w:pStyle w:val="TS"/>
      </w:pPr>
    </w:p>
    <w:p w14:paraId="4A70D2C9" w14:textId="77777777" w:rsidR="00C1499C" w:rsidRDefault="00C1499C" w:rsidP="00C1499C">
      <w:pPr>
        <w:pStyle w:val="TS"/>
      </w:pPr>
    </w:p>
    <w:p w14:paraId="458F2B39" w14:textId="7E6F25F9" w:rsidR="00C1499C" w:rsidRDefault="00C1499C" w:rsidP="00C1499C">
      <w:pPr>
        <w:pStyle w:val="TS"/>
      </w:pPr>
      <w:r>
        <w:t xml:space="preserve">Original weights: </w:t>
      </w:r>
    </w:p>
    <w:p w14:paraId="6263C7D4" w14:textId="77777777" w:rsidR="00C1499C" w:rsidRDefault="00C1499C" w:rsidP="00C1499C">
      <w:pPr>
        <w:pStyle w:val="TS"/>
      </w:pPr>
    </w:p>
    <w:p w14:paraId="0240ACE0" w14:textId="625F1947" w:rsidR="00C1499C" w:rsidRDefault="00C1499C" w:rsidP="00C1499C">
      <w:pPr>
        <w:pStyle w:val="TS"/>
      </w:pPr>
      <w:r>
        <w:t xml:space="preserve">Total length: </w:t>
      </w:r>
    </w:p>
    <w:p w14:paraId="05F0979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W{1} = [50      50     50    50</w:t>
      </w:r>
    </w:p>
    <w:p w14:paraId="79F3139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 mg/L</w:t>
      </w:r>
    </w:p>
    <w:p w14:paraId="7D42EB4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2 mg/L</w:t>
      </w:r>
    </w:p>
    <w:p w14:paraId="0B4A07C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</w:t>
      </w:r>
    </w:p>
    <w:p w14:paraId="3218005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 mg/L</w:t>
      </w:r>
    </w:p>
    <w:p w14:paraId="5DD17D7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3 mg/L</w:t>
      </w:r>
    </w:p>
    <w:p w14:paraId="48C72E1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</w:t>
      </w:r>
    </w:p>
    <w:p w14:paraId="1C40563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</w:t>
      </w:r>
    </w:p>
    <w:p w14:paraId="6B3758D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 mg/L</w:t>
      </w:r>
    </w:p>
    <w:p w14:paraId="4558DF9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</w:t>
      </w:r>
    </w:p>
    <w:p w14:paraId="7D858A0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 mg/L</w:t>
      </w:r>
    </w:p>
    <w:p w14:paraId="070D0BE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50      50     50    50             </w:t>
      </w: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3 mg/L</w:t>
      </w:r>
    </w:p>
    <w:p w14:paraId="1A8E835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36      36     36    36</w:t>
      </w:r>
    </w:p>
    <w:p w14:paraId="6851AC6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30      30     30    30</w:t>
      </w:r>
    </w:p>
    <w:p w14:paraId="205082D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36      36     36    36</w:t>
      </w:r>
    </w:p>
    <w:p w14:paraId="4BB7BF7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11      11     11    11</w:t>
      </w:r>
    </w:p>
    <w:p w14:paraId="6338A71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189     189    189   189</w:t>
      </w:r>
    </w:p>
    <w:p w14:paraId="0F6E46E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391     391    391   391];  </w:t>
      </w:r>
    </w:p>
    <w:p w14:paraId="087AC11B" w14:textId="77777777" w:rsidR="00C1499C" w:rsidRDefault="00C1499C" w:rsidP="00C1499C">
      <w:pPr>
        <w:pStyle w:val="TS"/>
      </w:pPr>
    </w:p>
    <w:p w14:paraId="338F4467" w14:textId="5F44A071" w:rsidR="00C1499C" w:rsidRDefault="00C1499C" w:rsidP="00C1499C">
      <w:pPr>
        <w:pStyle w:val="TS"/>
      </w:pPr>
      <w:r>
        <w:t xml:space="preserve">Egg buffer: </w:t>
      </w:r>
    </w:p>
    <w:p w14:paraId="6A045A0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weight factors (number of replicates per observation)</w:t>
      </w:r>
    </w:p>
    <w:p w14:paraId="43FE345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W{3} = [100    100    100    100</w:t>
      </w:r>
    </w:p>
    <w:p w14:paraId="0A2B45ED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100    100    100    100</w:t>
      </w:r>
    </w:p>
    <w:p w14:paraId="392657C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100    100    100    100</w:t>
      </w:r>
    </w:p>
    <w:p w14:paraId="0F0286D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100    100    100    100</w:t>
      </w:r>
    </w:p>
    <w:p w14:paraId="6EFB071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100    100    100    100];</w:t>
      </w:r>
    </w:p>
    <w:p w14:paraId="37B24480" w14:textId="77777777" w:rsidR="00C1499C" w:rsidRDefault="00C1499C" w:rsidP="00C1499C">
      <w:pPr>
        <w:pStyle w:val="TS"/>
      </w:pPr>
    </w:p>
    <w:p w14:paraId="15337BB2" w14:textId="3051B66F" w:rsidR="00C1499C" w:rsidRDefault="00C1499C" w:rsidP="00C1499C">
      <w:pPr>
        <w:pStyle w:val="TS"/>
      </w:pPr>
      <w:r>
        <w:t xml:space="preserve">Survival: </w:t>
      </w:r>
    </w:p>
    <w:p w14:paraId="03BFAA0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% weight factors (number of tanks per observation) </w:t>
      </w:r>
    </w:p>
    <w:p w14:paraId="6AE99B3D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W{4} = [1   1   1   1</w:t>
      </w:r>
    </w:p>
    <w:p w14:paraId="1EF559D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58354B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A557CE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CA6230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C9BA83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A909DB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9006D7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074809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0750AB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5284E9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65AECD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93CC31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B16314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D6D24A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F239C1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1   1   1   1</w:t>
      </w:r>
    </w:p>
    <w:p w14:paraId="4428098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F016A1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450A29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47B573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ACD042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625816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7E2CE9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31D810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DECC10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EB5828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45C76C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A45FAB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9B169A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62ECD3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C845F0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D3E360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6AC9ED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7574DB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B4D3F9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D8E7DF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E8275D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DEEC90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CA25C1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BB4D79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3C0B7D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358AAA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B97F82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017B33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843A7B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685E3A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97C8DA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A52709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7B7456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CEE386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9F6221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2872E1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700F33D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A8049C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69BDA6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41632E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2AAA19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7057B5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858900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899CF2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FAC117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7279C7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5AB241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194D86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63DE06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ED676C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496B1D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430616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F14F13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17704E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E02F82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1   1   1   1</w:t>
      </w:r>
    </w:p>
    <w:p w14:paraId="12F7479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38227A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337E33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213D17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D5806C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508780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0F2654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E2578C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E96D4B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B6B3E5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C431227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41C42C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B399ED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C8F3E7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E5C93C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09E21B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D8157F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61814F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4EA169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37148D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C0348F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5136A7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4E97583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B4DE13B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5C6689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7A6CEE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155D602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A3E438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1B28FC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A4396E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E01A15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F9793FF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5156E1C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22E052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A88B95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A3AB7A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9A3DD2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E68F5F2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BAFFC49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96E5F46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7A49E9DA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09D3FD8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BA6E77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3D0A50DE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4FCD2010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0B53EC05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2D92260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5AC8B1F4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</w:t>
      </w:r>
    </w:p>
    <w:p w14:paraId="605FC351" w14:textId="77777777" w:rsidR="00C1499C" w:rsidRPr="00C1499C" w:rsidRDefault="00C1499C" w:rsidP="00C149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149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1   1   1   1];</w:t>
      </w:r>
    </w:p>
    <w:p w14:paraId="60AEC656" w14:textId="77777777" w:rsidR="00C1499C" w:rsidRDefault="00C1499C" w:rsidP="00C1499C">
      <w:pPr>
        <w:pStyle w:val="TS"/>
      </w:pPr>
    </w:p>
    <w:p w14:paraId="2245B146" w14:textId="77777777" w:rsidR="00C1499C" w:rsidRDefault="00C1499C" w:rsidP="00C1499C">
      <w:pPr>
        <w:pStyle w:val="TS"/>
      </w:pPr>
    </w:p>
    <w:p w14:paraId="51C1A0B1" w14:textId="1B85AFE6" w:rsidR="00C1499C" w:rsidRDefault="00C1499C" w:rsidP="00C1499C">
      <w:pPr>
        <w:pStyle w:val="TS"/>
      </w:pPr>
      <w:r>
        <w:t>New weights</w:t>
      </w:r>
    </w:p>
    <w:p w14:paraId="6DFD6486" w14:textId="77777777" w:rsidR="00C1499C" w:rsidRDefault="00C1499C" w:rsidP="00C1499C">
      <w:pPr>
        <w:pStyle w:val="TS"/>
      </w:pPr>
    </w:p>
    <w:p w14:paraId="66E77AD2" w14:textId="7EB88932" w:rsidR="00C1499C" w:rsidRDefault="00C1499C" w:rsidP="00C1499C">
      <w:pPr>
        <w:pStyle w:val="TS"/>
      </w:pPr>
      <w:r>
        <w:lastRenderedPageBreak/>
        <w:t xml:space="preserve">Total length: </w:t>
      </w:r>
    </w:p>
    <w:p w14:paraId="6D6374D3" w14:textId="55D23201" w:rsidR="00C1499C" w:rsidRDefault="00777BE1" w:rsidP="00777BE1">
      <w:pPr>
        <w:pStyle w:val="TS"/>
        <w:numPr>
          <w:ilvl w:val="0"/>
          <w:numId w:val="1"/>
        </w:numPr>
      </w:pPr>
      <w:r>
        <w:t>Number of datapoints based on sample size</w:t>
      </w:r>
    </w:p>
    <w:p w14:paraId="28EDE769" w14:textId="7FED2826" w:rsidR="00777BE1" w:rsidRDefault="00777BE1" w:rsidP="00777BE1">
      <w:pPr>
        <w:pStyle w:val="TS"/>
        <w:numPr>
          <w:ilvl w:val="1"/>
          <w:numId w:val="1"/>
        </w:numPr>
      </w:pPr>
      <w:r>
        <w:t>8 mg/L: 50+50+50+50+50+36+30+36+11+189+391 = 943</w:t>
      </w:r>
    </w:p>
    <w:p w14:paraId="162B7A0C" w14:textId="0AE91481" w:rsidR="00777BE1" w:rsidRDefault="00777BE1" w:rsidP="00777BE1">
      <w:pPr>
        <w:pStyle w:val="TS"/>
        <w:numPr>
          <w:ilvl w:val="1"/>
          <w:numId w:val="1"/>
        </w:numPr>
      </w:pPr>
      <w:r>
        <w:t>4 mg/L: 50+50+50+50 = 200</w:t>
      </w:r>
    </w:p>
    <w:p w14:paraId="49552465" w14:textId="542C91AF" w:rsidR="00777BE1" w:rsidRDefault="00777BE1" w:rsidP="00777BE1">
      <w:pPr>
        <w:pStyle w:val="TS"/>
        <w:numPr>
          <w:ilvl w:val="1"/>
          <w:numId w:val="1"/>
        </w:numPr>
      </w:pPr>
      <w:r>
        <w:t>3 mg/L: 50+50 = 100</w:t>
      </w:r>
    </w:p>
    <w:p w14:paraId="75E5C93E" w14:textId="457E8C01" w:rsidR="00777BE1" w:rsidRDefault="00777BE1" w:rsidP="00777BE1">
      <w:pPr>
        <w:pStyle w:val="TS"/>
        <w:numPr>
          <w:ilvl w:val="1"/>
          <w:numId w:val="1"/>
        </w:numPr>
      </w:pPr>
      <w:r>
        <w:t>2 mg/L: 50</w:t>
      </w:r>
    </w:p>
    <w:p w14:paraId="3DD78682" w14:textId="75428A7D" w:rsidR="00777BE1" w:rsidRDefault="00777BE1" w:rsidP="00777BE1">
      <w:pPr>
        <w:pStyle w:val="TS"/>
        <w:numPr>
          <w:ilvl w:val="0"/>
          <w:numId w:val="1"/>
        </w:numPr>
      </w:pPr>
      <w:r>
        <w:t xml:space="preserve">Number of datapoints based on </w:t>
      </w:r>
      <w:r w:rsidR="004F156C">
        <w:t>values in matrix (I think this is the correct one to base it on – remove the weighting by sample size and then base it on the number of data points being used to fit the model)</w:t>
      </w:r>
    </w:p>
    <w:p w14:paraId="37376C7C" w14:textId="6482DCB9" w:rsidR="004F156C" w:rsidRDefault="004F156C" w:rsidP="004F156C">
      <w:pPr>
        <w:pStyle w:val="TS"/>
        <w:numPr>
          <w:ilvl w:val="1"/>
          <w:numId w:val="1"/>
        </w:numPr>
      </w:pPr>
      <w:r>
        <w:t>8 mg/L: 11</w:t>
      </w:r>
    </w:p>
    <w:p w14:paraId="4CB6923D" w14:textId="1BEBC347" w:rsidR="004F156C" w:rsidRDefault="004F156C" w:rsidP="004F156C">
      <w:pPr>
        <w:pStyle w:val="TS"/>
        <w:numPr>
          <w:ilvl w:val="1"/>
          <w:numId w:val="1"/>
        </w:numPr>
      </w:pPr>
      <w:r>
        <w:t>4 mg/L: 4</w:t>
      </w:r>
    </w:p>
    <w:p w14:paraId="77FF0926" w14:textId="055B5580" w:rsidR="004F156C" w:rsidRDefault="004F156C" w:rsidP="004F156C">
      <w:pPr>
        <w:pStyle w:val="TS"/>
        <w:numPr>
          <w:ilvl w:val="1"/>
          <w:numId w:val="1"/>
        </w:numPr>
      </w:pPr>
      <w:r>
        <w:t>3 mg/L: 2</w:t>
      </w:r>
    </w:p>
    <w:p w14:paraId="13E31876" w14:textId="6BD696A1" w:rsidR="004F156C" w:rsidRDefault="004F156C" w:rsidP="004F156C">
      <w:pPr>
        <w:pStyle w:val="TS"/>
        <w:numPr>
          <w:ilvl w:val="1"/>
          <w:numId w:val="1"/>
        </w:numPr>
      </w:pPr>
      <w:r>
        <w:t>2 mg/L: 1</w:t>
      </w:r>
    </w:p>
    <w:p w14:paraId="79B53F77" w14:textId="478CFD0F" w:rsidR="000D25A3" w:rsidRDefault="000D25A3" w:rsidP="000D25A3">
      <w:pPr>
        <w:pStyle w:val="TS"/>
        <w:numPr>
          <w:ilvl w:val="0"/>
          <w:numId w:val="1"/>
        </w:numPr>
      </w:pPr>
      <w:r>
        <w:t>Weight to multiply it by the sample size and get same overall weight</w:t>
      </w:r>
    </w:p>
    <w:p w14:paraId="34A8E3D9" w14:textId="2118DCA7" w:rsidR="000D25A3" w:rsidRDefault="000D25A3" w:rsidP="000D25A3">
      <w:pPr>
        <w:pStyle w:val="TS"/>
        <w:numPr>
          <w:ilvl w:val="1"/>
          <w:numId w:val="1"/>
        </w:numPr>
      </w:pPr>
      <w:r>
        <w:t>8 mg/L: 11*</w:t>
      </w:r>
      <w:r w:rsidRPr="000D25A3">
        <w:rPr>
          <w:b/>
          <w:bCs/>
        </w:rPr>
        <w:t>4</w:t>
      </w:r>
      <w:r>
        <w:t xml:space="preserve"> = 44</w:t>
      </w:r>
    </w:p>
    <w:p w14:paraId="6E1758DF" w14:textId="2D81F920" w:rsidR="000D25A3" w:rsidRDefault="000D25A3" w:rsidP="000D25A3">
      <w:pPr>
        <w:pStyle w:val="TS"/>
        <w:numPr>
          <w:ilvl w:val="1"/>
          <w:numId w:val="1"/>
        </w:numPr>
      </w:pPr>
      <w:r>
        <w:t>4 mg/L: 4*</w:t>
      </w:r>
      <w:r w:rsidRPr="000D25A3">
        <w:rPr>
          <w:b/>
          <w:bCs/>
        </w:rPr>
        <w:t>11</w:t>
      </w:r>
      <w:r>
        <w:t xml:space="preserve"> = 44</w:t>
      </w:r>
    </w:p>
    <w:p w14:paraId="642CB186" w14:textId="0B037575" w:rsidR="000D25A3" w:rsidRDefault="000D25A3" w:rsidP="000D25A3">
      <w:pPr>
        <w:pStyle w:val="TS"/>
        <w:numPr>
          <w:ilvl w:val="1"/>
          <w:numId w:val="1"/>
        </w:numPr>
      </w:pPr>
      <w:r>
        <w:t>3 mg/L: 2*</w:t>
      </w:r>
      <w:r w:rsidRPr="000D25A3">
        <w:rPr>
          <w:b/>
          <w:bCs/>
        </w:rPr>
        <w:t>22</w:t>
      </w:r>
      <w:r>
        <w:t xml:space="preserve"> = 44</w:t>
      </w:r>
    </w:p>
    <w:p w14:paraId="1AE70741" w14:textId="226F28CC" w:rsidR="000D25A3" w:rsidRDefault="000D25A3" w:rsidP="000D25A3">
      <w:pPr>
        <w:pStyle w:val="TS"/>
        <w:numPr>
          <w:ilvl w:val="1"/>
          <w:numId w:val="1"/>
        </w:numPr>
      </w:pPr>
      <w:r>
        <w:t>2 mg/L: 1*</w:t>
      </w:r>
      <w:r w:rsidRPr="000D25A3">
        <w:rPr>
          <w:b/>
          <w:bCs/>
        </w:rPr>
        <w:t>44</w:t>
      </w:r>
      <w:r>
        <w:t xml:space="preserve"> = 44</w:t>
      </w:r>
    </w:p>
    <w:p w14:paraId="2AFB4E09" w14:textId="77777777" w:rsidR="00E83445" w:rsidRDefault="00E83445" w:rsidP="00E83445">
      <w:pPr>
        <w:pStyle w:val="TS"/>
      </w:pPr>
    </w:p>
    <w:p w14:paraId="0410D017" w14:textId="0E22BCC6" w:rsidR="00E83445" w:rsidRDefault="00E83445" w:rsidP="00E83445">
      <w:pPr>
        <w:pStyle w:val="TS"/>
      </w:pPr>
      <w:r>
        <w:t xml:space="preserve">Egg buffer: </w:t>
      </w:r>
    </w:p>
    <w:p w14:paraId="46E8B83A" w14:textId="63729B26" w:rsidR="00E83445" w:rsidRDefault="00E83445" w:rsidP="00E83445">
      <w:pPr>
        <w:pStyle w:val="TS"/>
        <w:numPr>
          <w:ilvl w:val="0"/>
          <w:numId w:val="2"/>
        </w:numPr>
      </w:pPr>
      <w:r>
        <w:t>Number of datapoints based on sample size</w:t>
      </w:r>
    </w:p>
    <w:p w14:paraId="09394EBF" w14:textId="2BAF7568" w:rsidR="00E83445" w:rsidRDefault="00E83445" w:rsidP="00E83445">
      <w:pPr>
        <w:pStyle w:val="TS"/>
        <w:numPr>
          <w:ilvl w:val="1"/>
          <w:numId w:val="2"/>
        </w:numPr>
      </w:pPr>
      <w:r>
        <w:t>8 mg/L: 100</w:t>
      </w:r>
    </w:p>
    <w:p w14:paraId="108D021D" w14:textId="6F912024" w:rsidR="00E83445" w:rsidRDefault="00E83445" w:rsidP="00E83445">
      <w:pPr>
        <w:pStyle w:val="TS"/>
        <w:numPr>
          <w:ilvl w:val="1"/>
          <w:numId w:val="2"/>
        </w:numPr>
      </w:pPr>
      <w:r>
        <w:t>4 mg/L: 100</w:t>
      </w:r>
    </w:p>
    <w:p w14:paraId="1B736A1D" w14:textId="363F541A" w:rsidR="00E83445" w:rsidRDefault="00E83445" w:rsidP="00E83445">
      <w:pPr>
        <w:pStyle w:val="TS"/>
        <w:numPr>
          <w:ilvl w:val="1"/>
          <w:numId w:val="2"/>
        </w:numPr>
      </w:pPr>
      <w:r>
        <w:t>3 mg/L: 100</w:t>
      </w:r>
    </w:p>
    <w:p w14:paraId="6102EAAD" w14:textId="4ED3AD3A" w:rsidR="00E83445" w:rsidRDefault="00E83445" w:rsidP="00E83445">
      <w:pPr>
        <w:pStyle w:val="TS"/>
        <w:numPr>
          <w:ilvl w:val="1"/>
          <w:numId w:val="2"/>
        </w:numPr>
      </w:pPr>
      <w:r>
        <w:t>2 mg/L: 100</w:t>
      </w:r>
    </w:p>
    <w:p w14:paraId="2B619444" w14:textId="6218780E" w:rsidR="00E83445" w:rsidRDefault="00E83445" w:rsidP="00E83445">
      <w:pPr>
        <w:pStyle w:val="TS"/>
        <w:numPr>
          <w:ilvl w:val="0"/>
          <w:numId w:val="2"/>
        </w:numPr>
      </w:pPr>
      <w:r>
        <w:t>Number of datapoints based on values in matrix:</w:t>
      </w:r>
    </w:p>
    <w:p w14:paraId="46106F7E" w14:textId="61AFDBB9" w:rsidR="00E83445" w:rsidRDefault="00E83445" w:rsidP="00E83445">
      <w:pPr>
        <w:pStyle w:val="TS"/>
        <w:numPr>
          <w:ilvl w:val="1"/>
          <w:numId w:val="2"/>
        </w:numPr>
      </w:pPr>
      <w:r>
        <w:t>8 mg/L: 2</w:t>
      </w:r>
    </w:p>
    <w:p w14:paraId="01DE5D50" w14:textId="6B34D9F8" w:rsidR="00E83445" w:rsidRDefault="00E83445" w:rsidP="00E83445">
      <w:pPr>
        <w:pStyle w:val="TS"/>
        <w:numPr>
          <w:ilvl w:val="1"/>
          <w:numId w:val="2"/>
        </w:numPr>
      </w:pPr>
      <w:r>
        <w:t>4 mg/L: 2</w:t>
      </w:r>
    </w:p>
    <w:p w14:paraId="061E5186" w14:textId="03F392F2" w:rsidR="00E83445" w:rsidRDefault="00E83445" w:rsidP="00E83445">
      <w:pPr>
        <w:pStyle w:val="TS"/>
        <w:numPr>
          <w:ilvl w:val="1"/>
          <w:numId w:val="2"/>
        </w:numPr>
      </w:pPr>
      <w:r>
        <w:t>3 mg/L: 2</w:t>
      </w:r>
    </w:p>
    <w:p w14:paraId="406A40EB" w14:textId="1DBC324D" w:rsidR="00E83445" w:rsidRDefault="00E83445" w:rsidP="00E83445">
      <w:pPr>
        <w:pStyle w:val="TS"/>
        <w:numPr>
          <w:ilvl w:val="1"/>
          <w:numId w:val="2"/>
        </w:numPr>
      </w:pPr>
      <w:r>
        <w:t>2 mg/L: 2</w:t>
      </w:r>
    </w:p>
    <w:p w14:paraId="3D2F0459" w14:textId="256B55B8" w:rsidR="00E83445" w:rsidRDefault="00E83445" w:rsidP="00E83445">
      <w:pPr>
        <w:pStyle w:val="TS"/>
        <w:numPr>
          <w:ilvl w:val="0"/>
          <w:numId w:val="2"/>
        </w:numPr>
      </w:pPr>
      <w:r>
        <w:t>Weight to use:</w:t>
      </w:r>
    </w:p>
    <w:p w14:paraId="01A8D27A" w14:textId="231D3B6B" w:rsidR="00E83445" w:rsidRDefault="00E83445" w:rsidP="00E83445">
      <w:pPr>
        <w:pStyle w:val="TS"/>
        <w:numPr>
          <w:ilvl w:val="1"/>
          <w:numId w:val="2"/>
        </w:numPr>
      </w:pPr>
      <w:r>
        <w:t xml:space="preserve">Keep them the same or maybe change so the data is weighted evenly with the other variables. </w:t>
      </w:r>
    </w:p>
    <w:p w14:paraId="6744C0DA" w14:textId="1008A7A9" w:rsidR="00E83445" w:rsidRDefault="00E83445" w:rsidP="00E83445">
      <w:pPr>
        <w:pStyle w:val="TS"/>
        <w:numPr>
          <w:ilvl w:val="1"/>
          <w:numId w:val="2"/>
        </w:numPr>
      </w:pPr>
      <w:r>
        <w:t xml:space="preserve">What would accomplish this? Have it add up to the same amount of total sample size (44)? Or should the weights just be on the same order of magnitude? </w:t>
      </w:r>
    </w:p>
    <w:p w14:paraId="0C747750" w14:textId="77777777" w:rsidR="008E6A83" w:rsidRDefault="008E6A83" w:rsidP="008E6A83">
      <w:pPr>
        <w:pStyle w:val="TS"/>
      </w:pPr>
    </w:p>
    <w:p w14:paraId="2A7D13AF" w14:textId="74C0CAF7" w:rsidR="008E6A83" w:rsidRDefault="008E6A83" w:rsidP="008E6A83">
      <w:pPr>
        <w:pStyle w:val="TS"/>
      </w:pPr>
      <w:r>
        <w:t>Survival:</w:t>
      </w:r>
    </w:p>
    <w:p w14:paraId="1BA81DAE" w14:textId="4694FB87" w:rsidR="008E6A83" w:rsidRDefault="008E6A83" w:rsidP="008E6A83">
      <w:pPr>
        <w:pStyle w:val="TS"/>
        <w:numPr>
          <w:ilvl w:val="0"/>
          <w:numId w:val="3"/>
        </w:numPr>
      </w:pPr>
      <w:r>
        <w:t>Number of datapoints based on sample size</w:t>
      </w:r>
    </w:p>
    <w:p w14:paraId="0EBA8C86" w14:textId="19BBB891" w:rsidR="008E6A83" w:rsidRDefault="008E6A83" w:rsidP="008E6A83">
      <w:pPr>
        <w:pStyle w:val="TS"/>
        <w:numPr>
          <w:ilvl w:val="1"/>
          <w:numId w:val="3"/>
        </w:numPr>
      </w:pPr>
      <w:r>
        <w:t>8 mg/L:</w:t>
      </w:r>
      <w:r w:rsidR="007937BB">
        <w:t xml:space="preserve"> 38+23+16+3 = 80</w:t>
      </w:r>
    </w:p>
    <w:p w14:paraId="6EC0E05C" w14:textId="122065C6" w:rsidR="008E6A83" w:rsidRDefault="008E6A83" w:rsidP="008E6A83">
      <w:pPr>
        <w:pStyle w:val="TS"/>
        <w:numPr>
          <w:ilvl w:val="1"/>
          <w:numId w:val="3"/>
        </w:numPr>
      </w:pPr>
      <w:r>
        <w:t xml:space="preserve">4 mg/L: </w:t>
      </w:r>
      <w:r w:rsidR="007937BB">
        <w:t>10+10 = 20</w:t>
      </w:r>
    </w:p>
    <w:p w14:paraId="76B84C98" w14:textId="242B5435" w:rsidR="008E6A83" w:rsidRDefault="008E6A83" w:rsidP="008E6A83">
      <w:pPr>
        <w:pStyle w:val="TS"/>
        <w:numPr>
          <w:ilvl w:val="1"/>
          <w:numId w:val="3"/>
        </w:numPr>
      </w:pPr>
      <w:r>
        <w:t xml:space="preserve">3 mg/L: </w:t>
      </w:r>
      <w:r w:rsidR="007937BB">
        <w:t>5+5 = 10</w:t>
      </w:r>
    </w:p>
    <w:p w14:paraId="31F3FF67" w14:textId="0B08900A" w:rsidR="008E6A83" w:rsidRDefault="008E6A83" w:rsidP="008E6A83">
      <w:pPr>
        <w:pStyle w:val="TS"/>
        <w:numPr>
          <w:ilvl w:val="1"/>
          <w:numId w:val="3"/>
        </w:numPr>
      </w:pPr>
      <w:r>
        <w:t>2 mg/L:</w:t>
      </w:r>
      <w:r w:rsidR="007937BB">
        <w:t xml:space="preserve"> 5+5 = 10</w:t>
      </w:r>
    </w:p>
    <w:p w14:paraId="1C7AA245" w14:textId="0E6F169E" w:rsidR="008E6A83" w:rsidRDefault="008E6A83" w:rsidP="008E6A83">
      <w:pPr>
        <w:pStyle w:val="TS"/>
        <w:numPr>
          <w:ilvl w:val="0"/>
          <w:numId w:val="3"/>
        </w:numPr>
      </w:pPr>
      <w:r>
        <w:t>Number of datapoints based on values in matrix:</w:t>
      </w:r>
    </w:p>
    <w:p w14:paraId="39B1D997" w14:textId="62D3A084" w:rsidR="008E6A83" w:rsidRDefault="008E6A83" w:rsidP="008E6A83">
      <w:pPr>
        <w:pStyle w:val="TS"/>
        <w:numPr>
          <w:ilvl w:val="1"/>
          <w:numId w:val="3"/>
        </w:numPr>
      </w:pPr>
      <w:r>
        <w:t>8 mg/L:</w:t>
      </w:r>
      <w:r w:rsidR="007937BB">
        <w:t xml:space="preserve"> 80</w:t>
      </w:r>
    </w:p>
    <w:p w14:paraId="76F54593" w14:textId="08531F73" w:rsidR="008E6A83" w:rsidRDefault="008E6A83" w:rsidP="008E6A83">
      <w:pPr>
        <w:pStyle w:val="TS"/>
        <w:numPr>
          <w:ilvl w:val="1"/>
          <w:numId w:val="3"/>
        </w:numPr>
      </w:pPr>
      <w:r>
        <w:t xml:space="preserve">4 mg/L: </w:t>
      </w:r>
      <w:r w:rsidR="007937BB">
        <w:t>20</w:t>
      </w:r>
    </w:p>
    <w:p w14:paraId="3A7B22CC" w14:textId="6EA238C4" w:rsidR="008E6A83" w:rsidRDefault="008E6A83" w:rsidP="008E6A83">
      <w:pPr>
        <w:pStyle w:val="TS"/>
        <w:numPr>
          <w:ilvl w:val="1"/>
          <w:numId w:val="3"/>
        </w:numPr>
      </w:pPr>
      <w:r>
        <w:t xml:space="preserve">3 mg/L: </w:t>
      </w:r>
      <w:r w:rsidR="007937BB">
        <w:t>10</w:t>
      </w:r>
    </w:p>
    <w:p w14:paraId="3A2F0A7B" w14:textId="38728DE5" w:rsidR="008E6A83" w:rsidRDefault="008E6A83" w:rsidP="008E6A83">
      <w:pPr>
        <w:pStyle w:val="TS"/>
        <w:numPr>
          <w:ilvl w:val="1"/>
          <w:numId w:val="3"/>
        </w:numPr>
      </w:pPr>
      <w:r>
        <w:lastRenderedPageBreak/>
        <w:t>2 mg/L:</w:t>
      </w:r>
      <w:r w:rsidR="007937BB">
        <w:t xml:space="preserve"> 10</w:t>
      </w:r>
    </w:p>
    <w:p w14:paraId="2223D1A4" w14:textId="246BCEA3" w:rsidR="008E6A83" w:rsidRDefault="008E6A83" w:rsidP="008E6A83">
      <w:pPr>
        <w:pStyle w:val="TS"/>
        <w:numPr>
          <w:ilvl w:val="0"/>
          <w:numId w:val="3"/>
        </w:numPr>
      </w:pPr>
      <w:r>
        <w:t>Weight to use:</w:t>
      </w:r>
    </w:p>
    <w:p w14:paraId="5C05283A" w14:textId="558E2223" w:rsidR="00233C69" w:rsidRDefault="00233C69" w:rsidP="00233C69">
      <w:pPr>
        <w:pStyle w:val="TS"/>
        <w:numPr>
          <w:ilvl w:val="1"/>
          <w:numId w:val="3"/>
        </w:numPr>
      </w:pPr>
      <w:r>
        <w:t>8 mg/L: 80*1=80</w:t>
      </w:r>
    </w:p>
    <w:p w14:paraId="4CE5172E" w14:textId="66990A92" w:rsidR="00233C69" w:rsidRDefault="00233C69" w:rsidP="00233C69">
      <w:pPr>
        <w:pStyle w:val="TS"/>
        <w:numPr>
          <w:ilvl w:val="1"/>
          <w:numId w:val="3"/>
        </w:numPr>
      </w:pPr>
      <w:r>
        <w:t>4 mg/L: 20*4=80</w:t>
      </w:r>
    </w:p>
    <w:p w14:paraId="0BB71EF3" w14:textId="1E23B2DA" w:rsidR="00233C69" w:rsidRDefault="00233C69" w:rsidP="00233C69">
      <w:pPr>
        <w:pStyle w:val="TS"/>
        <w:numPr>
          <w:ilvl w:val="1"/>
          <w:numId w:val="3"/>
        </w:numPr>
      </w:pPr>
      <w:r>
        <w:t>3 mg/L: 10*8=80</w:t>
      </w:r>
    </w:p>
    <w:p w14:paraId="0B2AFE96" w14:textId="3FA2D82E" w:rsidR="00233C69" w:rsidRDefault="00233C69" w:rsidP="00233C69">
      <w:pPr>
        <w:pStyle w:val="TS"/>
        <w:numPr>
          <w:ilvl w:val="1"/>
          <w:numId w:val="3"/>
        </w:numPr>
      </w:pPr>
      <w:r>
        <w:t>2 mg/L: 10*8=80</w:t>
      </w:r>
    </w:p>
    <w:p w14:paraId="54C99ACC" w14:textId="77777777" w:rsidR="00515103" w:rsidRDefault="00515103" w:rsidP="00515103">
      <w:pPr>
        <w:pStyle w:val="TS"/>
      </w:pPr>
    </w:p>
    <w:p w14:paraId="3C56339F" w14:textId="4EA71538" w:rsidR="00515103" w:rsidRDefault="00515103" w:rsidP="00515103">
      <w:pPr>
        <w:pStyle w:val="TS"/>
      </w:pPr>
      <w:r>
        <w:t xml:space="preserve">If I want all three variables to have similar weights I could just double the weights used for length and egg buffer mass so they add up to 88 instead of 44. </w:t>
      </w:r>
    </w:p>
    <w:p w14:paraId="30C45B23" w14:textId="34CBBA03" w:rsidR="00FB6583" w:rsidRDefault="00FB6583" w:rsidP="00FB6583">
      <w:pPr>
        <w:pStyle w:val="TS"/>
        <w:numPr>
          <w:ilvl w:val="0"/>
          <w:numId w:val="4"/>
        </w:numPr>
      </w:pPr>
      <w:r>
        <w:t>I did this and it didn’t change the K estimated but I’ll just leave it like this.</w:t>
      </w:r>
    </w:p>
    <w:p w14:paraId="5E3B1DA8" w14:textId="77777777" w:rsidR="008E6A83" w:rsidRDefault="008E6A83" w:rsidP="00233C69">
      <w:pPr>
        <w:pStyle w:val="TS"/>
      </w:pPr>
    </w:p>
    <w:p w14:paraId="5505CC0A" w14:textId="77777777" w:rsidR="00830384" w:rsidRDefault="00830384" w:rsidP="00233C69">
      <w:pPr>
        <w:pStyle w:val="TS"/>
      </w:pPr>
    </w:p>
    <w:p w14:paraId="4C5004AA" w14:textId="77777777" w:rsidR="00830384" w:rsidRDefault="00830384" w:rsidP="00233C69">
      <w:pPr>
        <w:pStyle w:val="TS"/>
      </w:pPr>
    </w:p>
    <w:p w14:paraId="23EF35D3" w14:textId="77777777" w:rsidR="00830384" w:rsidRDefault="00830384" w:rsidP="00233C69">
      <w:pPr>
        <w:pStyle w:val="TS"/>
      </w:pPr>
    </w:p>
    <w:p w14:paraId="6A6029A0" w14:textId="1974B824" w:rsidR="00830384" w:rsidRDefault="00830384" w:rsidP="00233C69">
      <w:pPr>
        <w:pStyle w:val="TS"/>
      </w:pPr>
      <w:r>
        <w:t>New results table</w:t>
      </w:r>
    </w:p>
    <w:p w14:paraId="1042CEF4" w14:textId="77777777" w:rsidR="00830384" w:rsidRDefault="00830384" w:rsidP="00233C69">
      <w:pPr>
        <w:pStyle w:val="TS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3150"/>
        <w:gridCol w:w="1260"/>
        <w:gridCol w:w="1260"/>
        <w:gridCol w:w="1260"/>
      </w:tblGrid>
      <w:tr w:rsidR="00830384" w14:paraId="03B07E8C" w14:textId="77777777" w:rsidTr="00830384">
        <w:tc>
          <w:tcPr>
            <w:tcW w:w="2515" w:type="dxa"/>
          </w:tcPr>
          <w:p w14:paraId="69A0F39F" w14:textId="7D02C621" w:rsidR="00830384" w:rsidRDefault="00830384" w:rsidP="00233C69">
            <w:pPr>
              <w:pStyle w:val="TS"/>
            </w:pPr>
            <w:r>
              <w:t>Parameter(s) affected by hypoxia</w:t>
            </w:r>
          </w:p>
        </w:tc>
        <w:tc>
          <w:tcPr>
            <w:tcW w:w="3150" w:type="dxa"/>
          </w:tcPr>
          <w:p w14:paraId="7AD053C2" w14:textId="3F8D6A66" w:rsidR="00830384" w:rsidRPr="00830384" w:rsidRDefault="00830384" w:rsidP="00233C69">
            <w:pPr>
              <w:pStyle w:val="TS"/>
            </w:pPr>
            <w:r>
              <w:t xml:space="preserve">Estimated </w:t>
            </w:r>
            <w:r>
              <w:rPr>
                <w:i/>
                <w:iCs/>
              </w:rPr>
              <w:t>Z</w:t>
            </w:r>
            <w:r>
              <w:t xml:space="preserve"> [95% CI)</w:t>
            </w:r>
          </w:p>
        </w:tc>
        <w:tc>
          <w:tcPr>
            <w:tcW w:w="1260" w:type="dxa"/>
          </w:tcPr>
          <w:p w14:paraId="252A3350" w14:textId="172267D3" w:rsidR="00830384" w:rsidRDefault="00830384" w:rsidP="00233C69">
            <w:pPr>
              <w:pStyle w:val="TS"/>
            </w:pPr>
            <w:proofErr w:type="spellStart"/>
            <w:r>
              <w:t>AICc</w:t>
            </w:r>
            <w:proofErr w:type="spellEnd"/>
          </w:p>
        </w:tc>
        <w:tc>
          <w:tcPr>
            <w:tcW w:w="1260" w:type="dxa"/>
          </w:tcPr>
          <w:p w14:paraId="5EFF4506" w14:textId="27FAD8E7" w:rsidR="00830384" w:rsidRDefault="00830384" w:rsidP="00233C69">
            <w:pPr>
              <w:pStyle w:val="TS"/>
            </w:pPr>
            <w:proofErr w:type="spellStart"/>
            <w:r>
              <w:rPr>
                <w:rFonts w:cs="Times New Roman"/>
              </w:rPr>
              <w:t>Δ</w:t>
            </w:r>
            <w:r>
              <w:t>AICc</w:t>
            </w:r>
            <w:proofErr w:type="spellEnd"/>
          </w:p>
        </w:tc>
        <w:tc>
          <w:tcPr>
            <w:tcW w:w="1260" w:type="dxa"/>
          </w:tcPr>
          <w:p w14:paraId="0207E388" w14:textId="0B47CDAC" w:rsidR="00830384" w:rsidRDefault="00830384" w:rsidP="00233C69">
            <w:pPr>
              <w:pStyle w:val="TS"/>
            </w:pPr>
            <w:r>
              <w:t>Akaike weight</w:t>
            </w:r>
          </w:p>
        </w:tc>
      </w:tr>
      <w:tr w:rsidR="00BB2648" w14:paraId="4483564E" w14:textId="77777777" w:rsidTr="00090891">
        <w:tc>
          <w:tcPr>
            <w:tcW w:w="2515" w:type="dxa"/>
          </w:tcPr>
          <w:p w14:paraId="24F385CC" w14:textId="6C637595" w:rsidR="00BB2648" w:rsidRPr="00C5671E" w:rsidRDefault="00BB2648" w:rsidP="00BB2648">
            <w:pPr>
              <w:pStyle w:val="TS"/>
              <w:rPr>
                <w:i/>
                <w:iCs/>
                <w:vertAlign w:val="subscript"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</w:p>
        </w:tc>
        <w:tc>
          <w:tcPr>
            <w:tcW w:w="3150" w:type="dxa"/>
          </w:tcPr>
          <w:p w14:paraId="7190DF3E" w14:textId="3EF06991" w:rsidR="00BB2648" w:rsidRDefault="00BB2648" w:rsidP="00BB2648">
            <w:pPr>
              <w:pStyle w:val="TS"/>
            </w:pPr>
            <w:r>
              <w:t>3.019 [2.512-3.612]</w:t>
            </w:r>
          </w:p>
        </w:tc>
        <w:tc>
          <w:tcPr>
            <w:tcW w:w="1260" w:type="dxa"/>
          </w:tcPr>
          <w:p w14:paraId="5DD13BB4" w14:textId="06B06324" w:rsidR="00BB2648" w:rsidRDefault="00BB2648" w:rsidP="00BB2648">
            <w:pPr>
              <w:pStyle w:val="TS"/>
            </w:pPr>
            <w:r>
              <w:t>856.06</w:t>
            </w:r>
          </w:p>
        </w:tc>
        <w:tc>
          <w:tcPr>
            <w:tcW w:w="1260" w:type="dxa"/>
            <w:vAlign w:val="bottom"/>
          </w:tcPr>
          <w:p w14:paraId="3EEC5975" w14:textId="5D12A8C7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94.89</w:t>
            </w:r>
          </w:p>
        </w:tc>
        <w:tc>
          <w:tcPr>
            <w:tcW w:w="1260" w:type="dxa"/>
          </w:tcPr>
          <w:p w14:paraId="0C30BB05" w14:textId="32552064" w:rsidR="00BB2648" w:rsidRDefault="00BB2648" w:rsidP="00BB2648">
            <w:pPr>
              <w:pStyle w:val="TS"/>
            </w:pPr>
            <w:r>
              <w:t>2.4e-21</w:t>
            </w:r>
          </w:p>
        </w:tc>
      </w:tr>
      <w:tr w:rsidR="00BB2648" w14:paraId="31766F81" w14:textId="77777777" w:rsidTr="00090891">
        <w:tc>
          <w:tcPr>
            <w:tcW w:w="2515" w:type="dxa"/>
          </w:tcPr>
          <w:p w14:paraId="7D92BD9B" w14:textId="36D58AAF" w:rsidR="00BB2648" w:rsidRPr="00C5671E" w:rsidRDefault="00BB2648" w:rsidP="00BB2648">
            <w:pPr>
              <w:pStyle w:val="TS"/>
              <w:rPr>
                <w:i/>
                <w:iCs/>
                <w:vertAlign w:val="subscript"/>
              </w:rPr>
            </w:pPr>
            <w:proofErr w:type="spellStart"/>
            <w:r w:rsidRPr="00C5671E">
              <w:rPr>
                <w:i/>
                <w:iCs/>
              </w:rPr>
              <w:t>y</w:t>
            </w:r>
            <w:r w:rsidRPr="00C5671E">
              <w:rPr>
                <w:i/>
                <w:iCs/>
                <w:vertAlign w:val="subscript"/>
              </w:rPr>
              <w:t>VA</w:t>
            </w:r>
            <w:proofErr w:type="spellEnd"/>
          </w:p>
        </w:tc>
        <w:tc>
          <w:tcPr>
            <w:tcW w:w="3150" w:type="dxa"/>
          </w:tcPr>
          <w:p w14:paraId="49A79EB2" w14:textId="791F4330" w:rsidR="00BB2648" w:rsidRDefault="00BB2648" w:rsidP="00BB2648">
            <w:pPr>
              <w:pStyle w:val="TS"/>
            </w:pPr>
            <w:r>
              <w:t>1.818 [1.601-2.342]</w:t>
            </w:r>
          </w:p>
        </w:tc>
        <w:tc>
          <w:tcPr>
            <w:tcW w:w="1260" w:type="dxa"/>
          </w:tcPr>
          <w:p w14:paraId="3E7FFFC3" w14:textId="328A7C25" w:rsidR="00BB2648" w:rsidRDefault="00BB2648" w:rsidP="00BB2648">
            <w:pPr>
              <w:pStyle w:val="TS"/>
            </w:pPr>
            <w:r>
              <w:t>848.65</w:t>
            </w:r>
          </w:p>
        </w:tc>
        <w:tc>
          <w:tcPr>
            <w:tcW w:w="1260" w:type="dxa"/>
            <w:vAlign w:val="bottom"/>
          </w:tcPr>
          <w:p w14:paraId="4F83ACC3" w14:textId="2FE1B6AE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87.48</w:t>
            </w:r>
          </w:p>
        </w:tc>
        <w:tc>
          <w:tcPr>
            <w:tcW w:w="1260" w:type="dxa"/>
          </w:tcPr>
          <w:p w14:paraId="09879547" w14:textId="7007CD9E" w:rsidR="00BB2648" w:rsidRDefault="00BB2648" w:rsidP="00BB2648">
            <w:pPr>
              <w:pStyle w:val="TS"/>
            </w:pPr>
            <w:r>
              <w:t>9.9e-20</w:t>
            </w:r>
          </w:p>
        </w:tc>
      </w:tr>
      <w:tr w:rsidR="00BB2648" w14:paraId="591B4E10" w14:textId="77777777" w:rsidTr="00090891">
        <w:tc>
          <w:tcPr>
            <w:tcW w:w="2515" w:type="dxa"/>
          </w:tcPr>
          <w:p w14:paraId="27A06FDF" w14:textId="49DD9477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  <w:vertAlign w:val="subscript"/>
              </w:rPr>
            </w:pPr>
            <w:proofErr w:type="spellStart"/>
            <w:r w:rsidRPr="00C5671E">
              <w:rPr>
                <w:i/>
                <w:iCs/>
                <w:color w:val="808080" w:themeColor="background1" w:themeShade="80"/>
              </w:rPr>
              <w:t>J</w:t>
            </w:r>
            <w:r w:rsidRPr="00C5671E">
              <w:rPr>
                <w:i/>
                <w:iCs/>
                <w:color w:val="808080" w:themeColor="background1" w:themeShade="80"/>
                <w:vertAlign w:val="superscript"/>
              </w:rPr>
              <w:t>v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M</w:t>
            </w:r>
            <w:proofErr w:type="spellEnd"/>
          </w:p>
        </w:tc>
        <w:tc>
          <w:tcPr>
            <w:tcW w:w="3150" w:type="dxa"/>
          </w:tcPr>
          <w:p w14:paraId="3671D53A" w14:textId="43EA2506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&gt;1000 [7.978-1000]</w:t>
            </w:r>
          </w:p>
        </w:tc>
        <w:tc>
          <w:tcPr>
            <w:tcW w:w="1260" w:type="dxa"/>
          </w:tcPr>
          <w:p w14:paraId="480DD3DB" w14:textId="05DB2A79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849.22</w:t>
            </w:r>
          </w:p>
        </w:tc>
        <w:tc>
          <w:tcPr>
            <w:tcW w:w="1260" w:type="dxa"/>
            <w:vAlign w:val="bottom"/>
          </w:tcPr>
          <w:p w14:paraId="558564D4" w14:textId="012A09A1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88.05</w:t>
            </w:r>
          </w:p>
        </w:tc>
        <w:tc>
          <w:tcPr>
            <w:tcW w:w="1260" w:type="dxa"/>
          </w:tcPr>
          <w:p w14:paraId="797A04E9" w14:textId="5AE77D56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7.4e-20</w:t>
            </w:r>
          </w:p>
        </w:tc>
      </w:tr>
      <w:tr w:rsidR="00BB2648" w14:paraId="16515D97" w14:textId="77777777" w:rsidTr="00090891">
        <w:tc>
          <w:tcPr>
            <w:tcW w:w="2515" w:type="dxa"/>
          </w:tcPr>
          <w:p w14:paraId="078E998D" w14:textId="1F365D2A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  <w:vertAlign w:val="subscript"/>
              </w:rPr>
            </w:pP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5A2ADA4F" w14:textId="36F456B6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0.9088 [0.6843-1.266]</w:t>
            </w:r>
          </w:p>
        </w:tc>
        <w:tc>
          <w:tcPr>
            <w:tcW w:w="1260" w:type="dxa"/>
          </w:tcPr>
          <w:p w14:paraId="3905EA68" w14:textId="1A8D6662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792.41</w:t>
            </w:r>
          </w:p>
        </w:tc>
        <w:tc>
          <w:tcPr>
            <w:tcW w:w="1260" w:type="dxa"/>
            <w:vAlign w:val="bottom"/>
          </w:tcPr>
          <w:p w14:paraId="32FE6C3A" w14:textId="44C025DA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31.24</w:t>
            </w:r>
          </w:p>
        </w:tc>
        <w:tc>
          <w:tcPr>
            <w:tcW w:w="1260" w:type="dxa"/>
          </w:tcPr>
          <w:p w14:paraId="658ABBBE" w14:textId="2FDD3AC9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1.6e-7</w:t>
            </w:r>
          </w:p>
        </w:tc>
      </w:tr>
      <w:tr w:rsidR="00BB2648" w14:paraId="1215C08D" w14:textId="77777777" w:rsidTr="00090891">
        <w:tc>
          <w:tcPr>
            <w:tcW w:w="2515" w:type="dxa"/>
          </w:tcPr>
          <w:p w14:paraId="4A801D1B" w14:textId="275D8BB4" w:rsidR="00BB2648" w:rsidRPr="00BB2648" w:rsidRDefault="00BB2648" w:rsidP="00BB2648">
            <w:pPr>
              <w:pStyle w:val="TS"/>
              <w:rPr>
                <w:b/>
                <w:bCs/>
                <w:i/>
                <w:iCs/>
                <w:color w:val="808080" w:themeColor="background1" w:themeShade="80"/>
                <w:vertAlign w:val="subscript"/>
              </w:rPr>
            </w:pPr>
            <w:proofErr w:type="spellStart"/>
            <w:r w:rsidRPr="00BB2648">
              <w:rPr>
                <w:rFonts w:cs="Times New Roman"/>
                <w:b/>
                <w:bCs/>
                <w:i/>
                <w:iCs/>
                <w:color w:val="808080" w:themeColor="background1" w:themeShade="80"/>
              </w:rPr>
              <w:t>μ</w:t>
            </w:r>
            <w:r w:rsidRPr="00BB2648">
              <w:rPr>
                <w:b/>
                <w:bCs/>
                <w:i/>
                <w:iCs/>
                <w:color w:val="808080" w:themeColor="background1" w:themeShade="80"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2AAB17F1" w14:textId="50FD59B6" w:rsidR="00BB2648" w:rsidRPr="00BB2648" w:rsidRDefault="00BB2648" w:rsidP="00BB2648">
            <w:pPr>
              <w:pStyle w:val="TS"/>
              <w:rPr>
                <w:b/>
                <w:bCs/>
                <w:color w:val="808080" w:themeColor="background1" w:themeShade="80"/>
              </w:rPr>
            </w:pPr>
            <w:r w:rsidRPr="00BB2648">
              <w:rPr>
                <w:b/>
                <w:bCs/>
                <w:color w:val="808080" w:themeColor="background1" w:themeShade="80"/>
              </w:rPr>
              <w:t>0.3592 [0.2578-0.5068]</w:t>
            </w:r>
          </w:p>
        </w:tc>
        <w:tc>
          <w:tcPr>
            <w:tcW w:w="1260" w:type="dxa"/>
          </w:tcPr>
          <w:p w14:paraId="00C245A8" w14:textId="5EB6DF07" w:rsidR="00BB2648" w:rsidRPr="00BB2648" w:rsidRDefault="00BB2648" w:rsidP="00BB2648">
            <w:pPr>
              <w:pStyle w:val="TS"/>
              <w:rPr>
                <w:b/>
                <w:bCs/>
                <w:color w:val="808080" w:themeColor="background1" w:themeShade="80"/>
              </w:rPr>
            </w:pPr>
            <w:r w:rsidRPr="00BB2648">
              <w:rPr>
                <w:b/>
                <w:bCs/>
                <w:color w:val="808080" w:themeColor="background1" w:themeShade="80"/>
              </w:rPr>
              <w:t>761.17</w:t>
            </w:r>
          </w:p>
        </w:tc>
        <w:tc>
          <w:tcPr>
            <w:tcW w:w="1260" w:type="dxa"/>
            <w:vAlign w:val="bottom"/>
          </w:tcPr>
          <w:p w14:paraId="37F6EDFC" w14:textId="1A78F729" w:rsidR="00BB2648" w:rsidRPr="00BB2648" w:rsidRDefault="00BB2648" w:rsidP="00BB2648">
            <w:pPr>
              <w:pStyle w:val="TS"/>
              <w:rPr>
                <w:rFonts w:cs="Times New Roman"/>
                <w:b/>
                <w:bCs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260" w:type="dxa"/>
          </w:tcPr>
          <w:p w14:paraId="1714BFFB" w14:textId="12BB2FDF" w:rsidR="00BB2648" w:rsidRPr="00BB2648" w:rsidRDefault="00BB2648" w:rsidP="00BB2648">
            <w:pPr>
              <w:pStyle w:val="TS"/>
              <w:rPr>
                <w:b/>
                <w:bCs/>
                <w:color w:val="808080" w:themeColor="background1" w:themeShade="80"/>
              </w:rPr>
            </w:pPr>
            <w:r>
              <w:rPr>
                <w:b/>
                <w:bCs/>
                <w:color w:val="808080" w:themeColor="background1" w:themeShade="80"/>
              </w:rPr>
              <w:t>0.98</w:t>
            </w:r>
          </w:p>
        </w:tc>
      </w:tr>
      <w:tr w:rsidR="00BB2648" w14:paraId="5C31400B" w14:textId="77777777" w:rsidTr="00090891">
        <w:tc>
          <w:tcPr>
            <w:tcW w:w="2515" w:type="dxa"/>
          </w:tcPr>
          <w:p w14:paraId="678895D2" w14:textId="6929AB16" w:rsidR="00BB2648" w:rsidRPr="00C5671E" w:rsidRDefault="00BB2648" w:rsidP="00BB2648">
            <w:pPr>
              <w:pStyle w:val="TS"/>
              <w:rPr>
                <w:i/>
                <w:iCs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v</w:t>
            </w:r>
            <w:r w:rsidRPr="00C5671E">
              <w:rPr>
                <w:i/>
                <w:iCs/>
                <w:vertAlign w:val="subscript"/>
              </w:rPr>
              <w:t>M</w:t>
            </w:r>
            <w:proofErr w:type="spellEnd"/>
          </w:p>
        </w:tc>
        <w:tc>
          <w:tcPr>
            <w:tcW w:w="3150" w:type="dxa"/>
          </w:tcPr>
          <w:p w14:paraId="5C86A8C6" w14:textId="79983D9B" w:rsidR="00BB2648" w:rsidRDefault="00BB2648" w:rsidP="00BB2648">
            <w:pPr>
              <w:pStyle w:val="TS"/>
            </w:pPr>
            <w:r>
              <w:t>3.105 [2.651-3.726]</w:t>
            </w:r>
          </w:p>
        </w:tc>
        <w:tc>
          <w:tcPr>
            <w:tcW w:w="1260" w:type="dxa"/>
          </w:tcPr>
          <w:p w14:paraId="3505AE24" w14:textId="16A34D80" w:rsidR="00BB2648" w:rsidRDefault="00BB2648" w:rsidP="00BB2648">
            <w:pPr>
              <w:pStyle w:val="TS"/>
            </w:pPr>
            <w:r>
              <w:t>855.00</w:t>
            </w:r>
          </w:p>
        </w:tc>
        <w:tc>
          <w:tcPr>
            <w:tcW w:w="1260" w:type="dxa"/>
            <w:vAlign w:val="bottom"/>
          </w:tcPr>
          <w:p w14:paraId="35F6585F" w14:textId="2DAEB278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93.83</w:t>
            </w:r>
          </w:p>
        </w:tc>
        <w:tc>
          <w:tcPr>
            <w:tcW w:w="1260" w:type="dxa"/>
          </w:tcPr>
          <w:p w14:paraId="46A8FE51" w14:textId="20C4F8E2" w:rsidR="00BB2648" w:rsidRDefault="00BB2648" w:rsidP="00BB2648">
            <w:pPr>
              <w:pStyle w:val="TS"/>
            </w:pPr>
            <w:r>
              <w:t>4.1e-21</w:t>
            </w:r>
          </w:p>
        </w:tc>
      </w:tr>
      <w:tr w:rsidR="00BB2648" w14:paraId="081AA24B" w14:textId="77777777" w:rsidTr="00090891">
        <w:tc>
          <w:tcPr>
            <w:tcW w:w="2515" w:type="dxa"/>
          </w:tcPr>
          <w:p w14:paraId="6872BEEF" w14:textId="6CC98EC4" w:rsidR="00BB2648" w:rsidRPr="00C5671E" w:rsidRDefault="00BB2648" w:rsidP="00BB2648">
            <w:pPr>
              <w:pStyle w:val="TS"/>
              <w:rPr>
                <w:i/>
                <w:iCs/>
              </w:rPr>
            </w:pPr>
            <w:proofErr w:type="spellStart"/>
            <w:r w:rsidRPr="00C5671E">
              <w:rPr>
                <w:i/>
                <w:iCs/>
              </w:rPr>
              <w:t>y</w:t>
            </w:r>
            <w:r w:rsidRPr="00C5671E">
              <w:rPr>
                <w:i/>
                <w:iCs/>
                <w:vertAlign w:val="subscript"/>
              </w:rPr>
              <w:t>VA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v</w:t>
            </w:r>
            <w:r w:rsidRPr="00C5671E">
              <w:rPr>
                <w:i/>
                <w:iCs/>
                <w:vertAlign w:val="subscript"/>
              </w:rPr>
              <w:t>M</w:t>
            </w:r>
            <w:proofErr w:type="spellEnd"/>
          </w:p>
        </w:tc>
        <w:tc>
          <w:tcPr>
            <w:tcW w:w="3150" w:type="dxa"/>
          </w:tcPr>
          <w:p w14:paraId="32EB3336" w14:textId="694B434F" w:rsidR="00BB2648" w:rsidRDefault="00BB2648" w:rsidP="00BB2648">
            <w:pPr>
              <w:pStyle w:val="TS"/>
            </w:pPr>
            <w:r>
              <w:t>1.985 [1.688-2.774]</w:t>
            </w:r>
          </w:p>
        </w:tc>
        <w:tc>
          <w:tcPr>
            <w:tcW w:w="1260" w:type="dxa"/>
          </w:tcPr>
          <w:p w14:paraId="0418685A" w14:textId="462D4D67" w:rsidR="00BB2648" w:rsidRDefault="00BB2648" w:rsidP="00BB2648">
            <w:pPr>
              <w:pStyle w:val="TS"/>
            </w:pPr>
            <w:r>
              <w:t>850.64</w:t>
            </w:r>
          </w:p>
        </w:tc>
        <w:tc>
          <w:tcPr>
            <w:tcW w:w="1260" w:type="dxa"/>
            <w:vAlign w:val="bottom"/>
          </w:tcPr>
          <w:p w14:paraId="3767EDFB" w14:textId="22015F84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89.47</w:t>
            </w:r>
          </w:p>
        </w:tc>
        <w:tc>
          <w:tcPr>
            <w:tcW w:w="1260" w:type="dxa"/>
          </w:tcPr>
          <w:p w14:paraId="2921933F" w14:textId="26D0344D" w:rsidR="00BB2648" w:rsidRDefault="00BB2648" w:rsidP="00BB2648">
            <w:pPr>
              <w:pStyle w:val="TS"/>
            </w:pPr>
            <w:r>
              <w:t>3.6e-20</w:t>
            </w:r>
          </w:p>
        </w:tc>
      </w:tr>
      <w:tr w:rsidR="00BB2648" w14:paraId="57D8D1A0" w14:textId="77777777" w:rsidTr="00090891">
        <w:tc>
          <w:tcPr>
            <w:tcW w:w="2515" w:type="dxa"/>
          </w:tcPr>
          <w:p w14:paraId="3FACD09C" w14:textId="43320282" w:rsidR="00BB2648" w:rsidRPr="00C5671E" w:rsidRDefault="00BB2648" w:rsidP="00BB2648">
            <w:pPr>
              <w:pStyle w:val="TS"/>
              <w:rPr>
                <w:i/>
                <w:iCs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63CBB767" w14:textId="1940C9CF" w:rsidR="00BB2648" w:rsidRDefault="00BB2648" w:rsidP="00BB2648">
            <w:pPr>
              <w:pStyle w:val="TS"/>
            </w:pPr>
            <w:r>
              <w:t>2.804 [1.605-3.287]</w:t>
            </w:r>
          </w:p>
        </w:tc>
        <w:tc>
          <w:tcPr>
            <w:tcW w:w="1260" w:type="dxa"/>
          </w:tcPr>
          <w:p w14:paraId="1947D63E" w14:textId="75453FC2" w:rsidR="00BB2648" w:rsidRDefault="00BB2648" w:rsidP="00BB2648">
            <w:pPr>
              <w:pStyle w:val="TS"/>
            </w:pPr>
            <w:r>
              <w:t>823.24</w:t>
            </w:r>
          </w:p>
        </w:tc>
        <w:tc>
          <w:tcPr>
            <w:tcW w:w="1260" w:type="dxa"/>
            <w:vAlign w:val="bottom"/>
          </w:tcPr>
          <w:p w14:paraId="73F2CA9B" w14:textId="29BA0E17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62.07</w:t>
            </w:r>
          </w:p>
        </w:tc>
        <w:tc>
          <w:tcPr>
            <w:tcW w:w="1260" w:type="dxa"/>
          </w:tcPr>
          <w:p w14:paraId="4453A474" w14:textId="3071A743" w:rsidR="00BB2648" w:rsidRDefault="00BB2648" w:rsidP="00BB2648">
            <w:pPr>
              <w:pStyle w:val="TS"/>
            </w:pPr>
            <w:r>
              <w:t>3.2e-14</w:t>
            </w:r>
          </w:p>
        </w:tc>
      </w:tr>
      <w:tr w:rsidR="00BB2648" w14:paraId="7F76EF1F" w14:textId="77777777" w:rsidTr="00090891">
        <w:tc>
          <w:tcPr>
            <w:tcW w:w="2515" w:type="dxa"/>
          </w:tcPr>
          <w:p w14:paraId="1D673461" w14:textId="2B980B90" w:rsidR="00BB2648" w:rsidRPr="00C5671E" w:rsidRDefault="00BB2648" w:rsidP="00BB2648">
            <w:pPr>
              <w:pStyle w:val="TS"/>
              <w:rPr>
                <w:i/>
                <w:iCs/>
              </w:rPr>
            </w:pPr>
            <w:proofErr w:type="spellStart"/>
            <w:r w:rsidRPr="00C5671E">
              <w:rPr>
                <w:i/>
                <w:iCs/>
              </w:rPr>
              <w:t>y</w:t>
            </w:r>
            <w:r w:rsidRPr="00C5671E">
              <w:rPr>
                <w:i/>
                <w:iCs/>
                <w:vertAlign w:val="subscript"/>
              </w:rPr>
              <w:t>VA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1B513193" w14:textId="4891237C" w:rsidR="00BB2648" w:rsidRDefault="00BB2648" w:rsidP="00BB2648">
            <w:pPr>
              <w:pStyle w:val="TS"/>
            </w:pPr>
            <w:r>
              <w:t>1.801 [1.570-2.167]</w:t>
            </w:r>
          </w:p>
        </w:tc>
        <w:tc>
          <w:tcPr>
            <w:tcW w:w="1260" w:type="dxa"/>
          </w:tcPr>
          <w:p w14:paraId="14E7A10F" w14:textId="291AFA3D" w:rsidR="00BB2648" w:rsidRDefault="00BB2648" w:rsidP="00BB2648">
            <w:pPr>
              <w:pStyle w:val="TS"/>
            </w:pPr>
            <w:r>
              <w:t>808.12</w:t>
            </w:r>
          </w:p>
        </w:tc>
        <w:tc>
          <w:tcPr>
            <w:tcW w:w="1260" w:type="dxa"/>
            <w:vAlign w:val="bottom"/>
          </w:tcPr>
          <w:p w14:paraId="151A68F6" w14:textId="61BB589A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46.95</w:t>
            </w:r>
          </w:p>
        </w:tc>
        <w:tc>
          <w:tcPr>
            <w:tcW w:w="1260" w:type="dxa"/>
          </w:tcPr>
          <w:p w14:paraId="313954CC" w14:textId="64B3CDCE" w:rsidR="00BB2648" w:rsidRDefault="00BB2648" w:rsidP="00BB2648">
            <w:pPr>
              <w:pStyle w:val="TS"/>
            </w:pPr>
            <w:r>
              <w:t>6.2e-11</w:t>
            </w:r>
          </w:p>
        </w:tc>
      </w:tr>
      <w:tr w:rsidR="00BB2648" w14:paraId="372AB939" w14:textId="77777777" w:rsidTr="00090891">
        <w:tc>
          <w:tcPr>
            <w:tcW w:w="2515" w:type="dxa"/>
          </w:tcPr>
          <w:p w14:paraId="5CD351CA" w14:textId="4246F630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</w:rPr>
            </w:pPr>
            <w:proofErr w:type="spellStart"/>
            <w:r w:rsidRPr="00C5671E">
              <w:rPr>
                <w:i/>
                <w:iCs/>
                <w:color w:val="808080" w:themeColor="background1" w:themeShade="80"/>
              </w:rPr>
              <w:t>J</w:t>
            </w:r>
            <w:r w:rsidRPr="00C5671E">
              <w:rPr>
                <w:i/>
                <w:iCs/>
                <w:color w:val="808080" w:themeColor="background1" w:themeShade="80"/>
                <w:vertAlign w:val="superscript"/>
              </w:rPr>
              <w:t>v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M</w:t>
            </w:r>
            <w:proofErr w:type="spellEnd"/>
            <w:r w:rsidRPr="00C5671E">
              <w:rPr>
                <w:i/>
                <w:iCs/>
                <w:color w:val="808080" w:themeColor="background1" w:themeShade="80"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31F59F1B" w14:textId="394721E5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0.9463 [0.7125-1.325]</w:t>
            </w:r>
          </w:p>
        </w:tc>
        <w:tc>
          <w:tcPr>
            <w:tcW w:w="1260" w:type="dxa"/>
          </w:tcPr>
          <w:p w14:paraId="36E597CA" w14:textId="13763637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796.55</w:t>
            </w:r>
          </w:p>
        </w:tc>
        <w:tc>
          <w:tcPr>
            <w:tcW w:w="1260" w:type="dxa"/>
            <w:vAlign w:val="bottom"/>
          </w:tcPr>
          <w:p w14:paraId="20FCF714" w14:textId="6B42FA63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35.38</w:t>
            </w:r>
          </w:p>
        </w:tc>
        <w:tc>
          <w:tcPr>
            <w:tcW w:w="1260" w:type="dxa"/>
          </w:tcPr>
          <w:p w14:paraId="239F73D0" w14:textId="5FC0F563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2.0e-8</w:t>
            </w:r>
          </w:p>
        </w:tc>
      </w:tr>
      <w:tr w:rsidR="00BB2648" w14:paraId="2A7FD086" w14:textId="77777777" w:rsidTr="00090891">
        <w:tc>
          <w:tcPr>
            <w:tcW w:w="2515" w:type="dxa"/>
          </w:tcPr>
          <w:p w14:paraId="5C133E5A" w14:textId="3C1195B4" w:rsidR="00BB2648" w:rsidRPr="00C5671E" w:rsidRDefault="00BB2648" w:rsidP="00BB2648">
            <w:pPr>
              <w:pStyle w:val="TS"/>
              <w:rPr>
                <w:i/>
                <w:iCs/>
                <w:vertAlign w:val="subscript"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rFonts w:cs="Times New Roman"/>
                <w:i/>
                <w:iCs/>
              </w:rPr>
              <w:softHyphen/>
            </w:r>
            <w:r w:rsidRPr="00C5671E">
              <w:rPr>
                <w:rFonts w:cs="Times New Roman"/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694BFC01" w14:textId="5DBA6C70" w:rsidR="00BB2648" w:rsidRDefault="00BB2648" w:rsidP="00BB2648">
            <w:pPr>
              <w:pStyle w:val="TS"/>
            </w:pPr>
            <w:r>
              <w:t>2.930 [2.165-3.428]</w:t>
            </w:r>
          </w:p>
        </w:tc>
        <w:tc>
          <w:tcPr>
            <w:tcW w:w="1260" w:type="dxa"/>
          </w:tcPr>
          <w:p w14:paraId="230F8F20" w14:textId="406CCE34" w:rsidR="00BB2648" w:rsidRDefault="00BB2648" w:rsidP="00BB2648">
            <w:pPr>
              <w:pStyle w:val="TS"/>
            </w:pPr>
            <w:r>
              <w:t>838.17</w:t>
            </w:r>
          </w:p>
        </w:tc>
        <w:tc>
          <w:tcPr>
            <w:tcW w:w="1260" w:type="dxa"/>
            <w:vAlign w:val="bottom"/>
          </w:tcPr>
          <w:p w14:paraId="26F29385" w14:textId="038C9E21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1260" w:type="dxa"/>
          </w:tcPr>
          <w:p w14:paraId="43122770" w14:textId="230B15A6" w:rsidR="00BB2648" w:rsidRDefault="00BB2648" w:rsidP="00BB2648">
            <w:pPr>
              <w:pStyle w:val="TS"/>
            </w:pPr>
            <w:r>
              <w:t>1.9e-17</w:t>
            </w:r>
          </w:p>
        </w:tc>
      </w:tr>
      <w:tr w:rsidR="00BB2648" w14:paraId="3F9F272F" w14:textId="77777777" w:rsidTr="00090891">
        <w:tc>
          <w:tcPr>
            <w:tcW w:w="2515" w:type="dxa"/>
          </w:tcPr>
          <w:p w14:paraId="3D933AD8" w14:textId="42068681" w:rsidR="00BB2648" w:rsidRPr="00C5671E" w:rsidRDefault="00BB2648" w:rsidP="00BB2648">
            <w:pPr>
              <w:pStyle w:val="TS"/>
              <w:rPr>
                <w:i/>
                <w:iCs/>
                <w:vertAlign w:val="subscript"/>
              </w:rPr>
            </w:pPr>
            <w:proofErr w:type="spellStart"/>
            <w:r w:rsidRPr="00C5671E">
              <w:rPr>
                <w:i/>
                <w:iCs/>
              </w:rPr>
              <w:t>y</w:t>
            </w:r>
            <w:r w:rsidRPr="00C5671E">
              <w:rPr>
                <w:i/>
                <w:iCs/>
                <w:vertAlign w:val="subscript"/>
              </w:rPr>
              <w:t>VA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rFonts w:cs="Times New Roman"/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54454C08" w14:textId="31F8813E" w:rsidR="00BB2648" w:rsidRDefault="00BB2648" w:rsidP="00BB2648">
            <w:pPr>
              <w:pStyle w:val="TS"/>
            </w:pPr>
            <w:r>
              <w:t>1.767 [1.536-2.111]</w:t>
            </w:r>
          </w:p>
        </w:tc>
        <w:tc>
          <w:tcPr>
            <w:tcW w:w="1260" w:type="dxa"/>
          </w:tcPr>
          <w:p w14:paraId="0182A767" w14:textId="0C02CFBD" w:rsidR="00BB2648" w:rsidRDefault="00BB2648" w:rsidP="00BB2648">
            <w:pPr>
              <w:pStyle w:val="TS"/>
            </w:pPr>
            <w:r>
              <w:t>821.30</w:t>
            </w:r>
          </w:p>
        </w:tc>
        <w:tc>
          <w:tcPr>
            <w:tcW w:w="1260" w:type="dxa"/>
            <w:vAlign w:val="bottom"/>
          </w:tcPr>
          <w:p w14:paraId="0C5CBB64" w14:textId="449B1CB3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60.13</w:t>
            </w:r>
          </w:p>
        </w:tc>
        <w:tc>
          <w:tcPr>
            <w:tcW w:w="1260" w:type="dxa"/>
          </w:tcPr>
          <w:p w14:paraId="5C8D9BCE" w14:textId="5D74212A" w:rsidR="00BB2648" w:rsidRDefault="00BB2648" w:rsidP="00BB2648">
            <w:pPr>
              <w:pStyle w:val="TS"/>
            </w:pPr>
            <w:r>
              <w:t>8.6e-14</w:t>
            </w:r>
          </w:p>
        </w:tc>
      </w:tr>
      <w:tr w:rsidR="00BB2648" w14:paraId="2E687863" w14:textId="77777777" w:rsidTr="00090891">
        <w:tc>
          <w:tcPr>
            <w:tcW w:w="2515" w:type="dxa"/>
          </w:tcPr>
          <w:p w14:paraId="0527FC18" w14:textId="1DF82680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  <w:vertAlign w:val="subscript"/>
              </w:rPr>
            </w:pPr>
            <w:proofErr w:type="spellStart"/>
            <w:r w:rsidRPr="00C5671E">
              <w:rPr>
                <w:i/>
                <w:iCs/>
                <w:color w:val="808080" w:themeColor="background1" w:themeShade="80"/>
              </w:rPr>
              <w:t>J</w:t>
            </w:r>
            <w:r w:rsidRPr="00C5671E">
              <w:rPr>
                <w:i/>
                <w:iCs/>
                <w:color w:val="808080" w:themeColor="background1" w:themeShade="80"/>
                <w:vertAlign w:val="superscript"/>
              </w:rPr>
              <w:t>v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M</w:t>
            </w:r>
            <w:proofErr w:type="spellEnd"/>
            <w:r w:rsidRPr="00C5671E">
              <w:rPr>
                <w:i/>
                <w:iCs/>
                <w:color w:val="808080" w:themeColor="background1" w:themeShade="80"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rFonts w:cs="Times New Roman"/>
                <w:i/>
                <w:iCs/>
                <w:color w:val="808080" w:themeColor="background1" w:themeShade="80"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69FEDE7C" w14:textId="72AEA9A4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0.3898 [0.2899-0.5443]</w:t>
            </w:r>
          </w:p>
        </w:tc>
        <w:tc>
          <w:tcPr>
            <w:tcW w:w="1260" w:type="dxa"/>
          </w:tcPr>
          <w:p w14:paraId="71AA3CF8" w14:textId="4D4E10E1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768.89</w:t>
            </w:r>
          </w:p>
        </w:tc>
        <w:tc>
          <w:tcPr>
            <w:tcW w:w="1260" w:type="dxa"/>
            <w:vAlign w:val="bottom"/>
          </w:tcPr>
          <w:p w14:paraId="2AF1F4F3" w14:textId="0DA8C829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7.72</w:t>
            </w:r>
          </w:p>
        </w:tc>
        <w:tc>
          <w:tcPr>
            <w:tcW w:w="1260" w:type="dxa"/>
          </w:tcPr>
          <w:p w14:paraId="1F4ED5B0" w14:textId="5428968F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0.021</w:t>
            </w:r>
          </w:p>
        </w:tc>
      </w:tr>
      <w:tr w:rsidR="00BB2648" w14:paraId="63E0A5DB" w14:textId="77777777" w:rsidTr="00090891">
        <w:tc>
          <w:tcPr>
            <w:tcW w:w="2515" w:type="dxa"/>
          </w:tcPr>
          <w:p w14:paraId="7A1D1390" w14:textId="5AF82D0F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</w:rPr>
            </w:pP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emb</w:t>
            </w:r>
            <w:proofErr w:type="spellEnd"/>
            <w:r w:rsidRPr="00C5671E">
              <w:rPr>
                <w:i/>
                <w:iCs/>
                <w:color w:val="808080" w:themeColor="background1" w:themeShade="80"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4884791E" w14:textId="50765599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1.252 [0.9706-1.668]</w:t>
            </w:r>
          </w:p>
        </w:tc>
        <w:tc>
          <w:tcPr>
            <w:tcW w:w="1260" w:type="dxa"/>
          </w:tcPr>
          <w:p w14:paraId="1D274CD7" w14:textId="1A2F3780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773.91</w:t>
            </w:r>
          </w:p>
        </w:tc>
        <w:tc>
          <w:tcPr>
            <w:tcW w:w="1260" w:type="dxa"/>
            <w:vAlign w:val="bottom"/>
          </w:tcPr>
          <w:p w14:paraId="07BB9EE3" w14:textId="1F138B2A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12.74</w:t>
            </w:r>
          </w:p>
        </w:tc>
        <w:tc>
          <w:tcPr>
            <w:tcW w:w="1260" w:type="dxa"/>
          </w:tcPr>
          <w:p w14:paraId="43CB2895" w14:textId="2441688C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0.0017</w:t>
            </w:r>
          </w:p>
        </w:tc>
      </w:tr>
      <w:tr w:rsidR="00BB2648" w14:paraId="13F569FD" w14:textId="77777777" w:rsidTr="00090891">
        <w:tc>
          <w:tcPr>
            <w:tcW w:w="2515" w:type="dxa"/>
          </w:tcPr>
          <w:p w14:paraId="4BD06745" w14:textId="4E2A7BA0" w:rsidR="00BB2648" w:rsidRPr="00C5671E" w:rsidRDefault="00BB2648" w:rsidP="00BB2648">
            <w:pPr>
              <w:pStyle w:val="TS"/>
              <w:rPr>
                <w:rFonts w:cs="Times New Roman"/>
                <w:i/>
                <w:iCs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emb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1516AE91" w14:textId="451BBB26" w:rsidR="00BB2648" w:rsidRDefault="00BB2648" w:rsidP="00BB2648">
            <w:pPr>
              <w:pStyle w:val="TS"/>
            </w:pPr>
            <w:r>
              <w:t>2.819 [1.920-3.286]</w:t>
            </w:r>
          </w:p>
        </w:tc>
        <w:tc>
          <w:tcPr>
            <w:tcW w:w="1260" w:type="dxa"/>
          </w:tcPr>
          <w:p w14:paraId="2233A4C1" w14:textId="32D0864A" w:rsidR="00BB2648" w:rsidRDefault="00BB2648" w:rsidP="00BB2648">
            <w:pPr>
              <w:pStyle w:val="TS"/>
            </w:pPr>
            <w:r>
              <w:t>810.21</w:t>
            </w:r>
          </w:p>
        </w:tc>
        <w:tc>
          <w:tcPr>
            <w:tcW w:w="1260" w:type="dxa"/>
            <w:vAlign w:val="bottom"/>
          </w:tcPr>
          <w:p w14:paraId="32443CCE" w14:textId="4BCE7B8F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49.04</w:t>
            </w:r>
          </w:p>
        </w:tc>
        <w:tc>
          <w:tcPr>
            <w:tcW w:w="1260" w:type="dxa"/>
          </w:tcPr>
          <w:p w14:paraId="7EDD899E" w14:textId="4D2C1410" w:rsidR="00BB2648" w:rsidRDefault="00BB2648" w:rsidP="00BB2648">
            <w:pPr>
              <w:pStyle w:val="TS"/>
            </w:pPr>
            <w:r>
              <w:t>2.2e-11</w:t>
            </w:r>
          </w:p>
        </w:tc>
      </w:tr>
      <w:tr w:rsidR="00BB2648" w14:paraId="3E121A45" w14:textId="77777777" w:rsidTr="00090891">
        <w:tc>
          <w:tcPr>
            <w:tcW w:w="2515" w:type="dxa"/>
          </w:tcPr>
          <w:p w14:paraId="173D902A" w14:textId="4ED58EA7" w:rsidR="00BB2648" w:rsidRPr="00BB2648" w:rsidRDefault="00BB2648" w:rsidP="00BB2648">
            <w:pPr>
              <w:pStyle w:val="TS"/>
              <w:rPr>
                <w:i/>
                <w:iCs/>
              </w:rPr>
            </w:pPr>
            <w:proofErr w:type="spellStart"/>
            <w:r w:rsidRPr="00BB2648">
              <w:rPr>
                <w:i/>
                <w:iCs/>
              </w:rPr>
              <w:t>y</w:t>
            </w:r>
            <w:r w:rsidRPr="00BB2648">
              <w:rPr>
                <w:i/>
                <w:iCs/>
                <w:vertAlign w:val="subscript"/>
              </w:rPr>
              <w:t>VA</w:t>
            </w:r>
            <w:proofErr w:type="spellEnd"/>
            <w:r w:rsidRPr="00BB2648">
              <w:rPr>
                <w:i/>
                <w:iCs/>
              </w:rPr>
              <w:t xml:space="preserve"> + </w:t>
            </w:r>
            <w:proofErr w:type="spellStart"/>
            <w:r w:rsidRPr="00BB2648">
              <w:rPr>
                <w:rFonts w:cs="Times New Roman"/>
                <w:i/>
                <w:iCs/>
              </w:rPr>
              <w:t>μ</w:t>
            </w:r>
            <w:r w:rsidRPr="00BB2648">
              <w:rPr>
                <w:i/>
                <w:iCs/>
                <w:vertAlign w:val="subscript"/>
              </w:rPr>
              <w:t>emb</w:t>
            </w:r>
            <w:proofErr w:type="spellEnd"/>
            <w:r w:rsidRPr="00BB2648">
              <w:rPr>
                <w:i/>
                <w:iCs/>
              </w:rPr>
              <w:t xml:space="preserve"> + </w:t>
            </w:r>
            <w:proofErr w:type="spellStart"/>
            <w:r w:rsidRPr="00BB2648">
              <w:rPr>
                <w:rFonts w:cs="Times New Roman"/>
                <w:i/>
                <w:iCs/>
              </w:rPr>
              <w:t>μ</w:t>
            </w:r>
            <w:r w:rsidRPr="00BB2648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2FD05A20" w14:textId="273F07B8" w:rsidR="00BB2648" w:rsidRPr="00BB2648" w:rsidRDefault="00BB2648" w:rsidP="00BB2648">
            <w:pPr>
              <w:pStyle w:val="TS"/>
            </w:pPr>
            <w:r w:rsidRPr="00BB2648">
              <w:t>1.827 [1.620-2.269]</w:t>
            </w:r>
          </w:p>
        </w:tc>
        <w:tc>
          <w:tcPr>
            <w:tcW w:w="1260" w:type="dxa"/>
          </w:tcPr>
          <w:p w14:paraId="671E404F" w14:textId="7786E1E4" w:rsidR="00BB2648" w:rsidRPr="00BB2648" w:rsidRDefault="00BB2648" w:rsidP="00BB2648">
            <w:pPr>
              <w:pStyle w:val="TS"/>
            </w:pPr>
            <w:r w:rsidRPr="00BB2648">
              <w:t>794.03</w:t>
            </w:r>
          </w:p>
        </w:tc>
        <w:tc>
          <w:tcPr>
            <w:tcW w:w="1260" w:type="dxa"/>
            <w:vAlign w:val="bottom"/>
          </w:tcPr>
          <w:p w14:paraId="0E9609DE" w14:textId="4B670AB8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32.86</w:t>
            </w:r>
          </w:p>
        </w:tc>
        <w:tc>
          <w:tcPr>
            <w:tcW w:w="1260" w:type="dxa"/>
          </w:tcPr>
          <w:p w14:paraId="2D054418" w14:textId="061259E2" w:rsidR="00BB2648" w:rsidRDefault="00BB2648" w:rsidP="00BB2648">
            <w:pPr>
              <w:pStyle w:val="TS"/>
            </w:pPr>
            <w:r>
              <w:t>7.2e-8</w:t>
            </w:r>
          </w:p>
        </w:tc>
      </w:tr>
      <w:tr w:rsidR="00BB2648" w14:paraId="24B6AEFD" w14:textId="77777777" w:rsidTr="00090891">
        <w:tc>
          <w:tcPr>
            <w:tcW w:w="2515" w:type="dxa"/>
          </w:tcPr>
          <w:p w14:paraId="124B8591" w14:textId="71CE7B3A" w:rsidR="00BB2648" w:rsidRPr="00C5671E" w:rsidRDefault="00BB2648" w:rsidP="00BB2648">
            <w:pPr>
              <w:pStyle w:val="TS"/>
              <w:rPr>
                <w:i/>
                <w:iCs/>
                <w:color w:val="808080" w:themeColor="background1" w:themeShade="80"/>
              </w:rPr>
            </w:pPr>
            <w:proofErr w:type="spellStart"/>
            <w:r w:rsidRPr="00C5671E">
              <w:rPr>
                <w:i/>
                <w:iCs/>
                <w:color w:val="808080" w:themeColor="background1" w:themeShade="80"/>
              </w:rPr>
              <w:t>J</w:t>
            </w:r>
            <w:r w:rsidRPr="00C5671E">
              <w:rPr>
                <w:i/>
                <w:iCs/>
                <w:color w:val="808080" w:themeColor="background1" w:themeShade="80"/>
                <w:vertAlign w:val="superscript"/>
              </w:rPr>
              <w:t>v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M</w:t>
            </w:r>
            <w:proofErr w:type="spellEnd"/>
            <w:r w:rsidRPr="00C5671E">
              <w:rPr>
                <w:i/>
                <w:iCs/>
                <w:color w:val="808080" w:themeColor="background1" w:themeShade="80"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emb</w:t>
            </w:r>
            <w:proofErr w:type="spellEnd"/>
            <w:r w:rsidRPr="00C5671E">
              <w:rPr>
                <w:i/>
                <w:iCs/>
                <w:color w:val="808080" w:themeColor="background1" w:themeShade="80"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  <w:color w:val="808080" w:themeColor="background1" w:themeShade="80"/>
              </w:rPr>
              <w:t>μ</w:t>
            </w:r>
            <w:r w:rsidRPr="00C5671E">
              <w:rPr>
                <w:i/>
                <w:iCs/>
                <w:color w:val="808080" w:themeColor="background1" w:themeShade="80"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764FD46E" w14:textId="3A503B70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1.286 [0.9959-1.721]</w:t>
            </w:r>
          </w:p>
        </w:tc>
        <w:tc>
          <w:tcPr>
            <w:tcW w:w="1260" w:type="dxa"/>
          </w:tcPr>
          <w:p w14:paraId="6F95681C" w14:textId="42089F72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 w:rsidRPr="001172C0">
              <w:rPr>
                <w:color w:val="808080" w:themeColor="background1" w:themeShade="80"/>
              </w:rPr>
              <w:t>777.59</w:t>
            </w:r>
          </w:p>
        </w:tc>
        <w:tc>
          <w:tcPr>
            <w:tcW w:w="1260" w:type="dxa"/>
            <w:vAlign w:val="bottom"/>
          </w:tcPr>
          <w:p w14:paraId="51C7E698" w14:textId="4B1312A7" w:rsidR="00BB2648" w:rsidRPr="00BB2648" w:rsidRDefault="00BB2648" w:rsidP="00BB2648">
            <w:pPr>
              <w:pStyle w:val="TS"/>
              <w:rPr>
                <w:rFonts w:cs="Times New Roman"/>
                <w:color w:val="808080" w:themeColor="background1" w:themeShade="80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16.42</w:t>
            </w:r>
          </w:p>
        </w:tc>
        <w:tc>
          <w:tcPr>
            <w:tcW w:w="1260" w:type="dxa"/>
          </w:tcPr>
          <w:p w14:paraId="7CE628C3" w14:textId="53F23643" w:rsidR="00BB2648" w:rsidRPr="001172C0" w:rsidRDefault="00BB2648" w:rsidP="00BB2648">
            <w:pPr>
              <w:pStyle w:val="TS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2.7e-4</w:t>
            </w:r>
          </w:p>
        </w:tc>
      </w:tr>
      <w:tr w:rsidR="00BB2648" w14:paraId="5CFA89CD" w14:textId="77777777" w:rsidTr="00090891">
        <w:tc>
          <w:tcPr>
            <w:tcW w:w="2515" w:type="dxa"/>
          </w:tcPr>
          <w:p w14:paraId="4F955140" w14:textId="119703B2" w:rsidR="00BB2648" w:rsidRPr="00C5671E" w:rsidRDefault="00BB2648" w:rsidP="00BB2648">
            <w:pPr>
              <w:pStyle w:val="TS"/>
              <w:rPr>
                <w:i/>
                <w:iCs/>
              </w:rPr>
            </w:pPr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a</w:t>
            </w:r>
            <w:r w:rsidRPr="00C5671E">
              <w:rPr>
                <w:i/>
                <w:iCs/>
                <w:vertAlign w:val="subscript"/>
              </w:rPr>
              <w:t>Am</w:t>
            </w:r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v</w:t>
            </w:r>
            <w:r w:rsidRPr="00C5671E">
              <w:rPr>
                <w:i/>
                <w:iCs/>
                <w:vertAlign w:val="subscript"/>
              </w:rPr>
              <w:t>M</w:t>
            </w:r>
            <w:proofErr w:type="spellEnd"/>
            <w:r w:rsidRPr="00C5671E">
              <w:rPr>
                <w:i/>
                <w:iCs/>
              </w:rPr>
              <w:t xml:space="preserve"> +</w:t>
            </w:r>
            <w:r w:rsidRPr="00C5671E">
              <w:rPr>
                <w:i/>
                <w:iCs/>
              </w:rPr>
              <w:t xml:space="preserve">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emb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2E5ADDCB" w14:textId="14572E48" w:rsidR="00BB2648" w:rsidRDefault="00BB2648" w:rsidP="00BB2648">
            <w:pPr>
              <w:pStyle w:val="TS"/>
            </w:pPr>
            <w:r>
              <w:t>2.913 [2.288, 3.387]</w:t>
            </w:r>
          </w:p>
        </w:tc>
        <w:tc>
          <w:tcPr>
            <w:tcW w:w="1260" w:type="dxa"/>
          </w:tcPr>
          <w:p w14:paraId="6EFB78EE" w14:textId="7AF8926D" w:rsidR="00BB2648" w:rsidRDefault="00BB2648" w:rsidP="00BB2648">
            <w:pPr>
              <w:pStyle w:val="TS"/>
            </w:pPr>
            <w:r>
              <w:t>809.96</w:t>
            </w:r>
          </w:p>
        </w:tc>
        <w:tc>
          <w:tcPr>
            <w:tcW w:w="1260" w:type="dxa"/>
            <w:vAlign w:val="bottom"/>
          </w:tcPr>
          <w:p w14:paraId="405B278A" w14:textId="35BF7A65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48.79</w:t>
            </w:r>
          </w:p>
        </w:tc>
        <w:tc>
          <w:tcPr>
            <w:tcW w:w="1260" w:type="dxa"/>
          </w:tcPr>
          <w:p w14:paraId="0408B453" w14:textId="535BF5F5" w:rsidR="00BB2648" w:rsidRDefault="00BB2648" w:rsidP="00BB2648">
            <w:pPr>
              <w:pStyle w:val="TS"/>
            </w:pPr>
            <w:r>
              <w:t>2.5e-11</w:t>
            </w:r>
          </w:p>
        </w:tc>
      </w:tr>
      <w:tr w:rsidR="00BB2648" w14:paraId="27AA3621" w14:textId="77777777" w:rsidTr="00090891">
        <w:tc>
          <w:tcPr>
            <w:tcW w:w="2515" w:type="dxa"/>
          </w:tcPr>
          <w:p w14:paraId="4DD7B748" w14:textId="0DADAE8D" w:rsidR="00BB2648" w:rsidRPr="00C5671E" w:rsidRDefault="00BB2648" w:rsidP="00BB2648">
            <w:pPr>
              <w:pStyle w:val="TS"/>
              <w:rPr>
                <w:i/>
                <w:iCs/>
              </w:rPr>
            </w:pPr>
            <w:proofErr w:type="spellStart"/>
            <w:r w:rsidRPr="00C5671E">
              <w:rPr>
                <w:i/>
                <w:iCs/>
              </w:rPr>
              <w:t>y</w:t>
            </w:r>
            <w:r w:rsidRPr="00C5671E">
              <w:rPr>
                <w:i/>
                <w:iCs/>
                <w:vertAlign w:val="subscript"/>
              </w:rPr>
              <w:t>VA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i/>
                <w:iCs/>
              </w:rPr>
              <w:t>J</w:t>
            </w:r>
            <w:r w:rsidRPr="00C5671E">
              <w:rPr>
                <w:i/>
                <w:iCs/>
                <w:vertAlign w:val="superscript"/>
              </w:rPr>
              <w:t>v</w:t>
            </w:r>
            <w:r w:rsidRPr="00C5671E">
              <w:rPr>
                <w:i/>
                <w:iCs/>
                <w:vertAlign w:val="subscript"/>
              </w:rPr>
              <w:t>M</w:t>
            </w:r>
            <w:proofErr w:type="spellEnd"/>
            <w:r w:rsidRPr="00C5671E">
              <w:rPr>
                <w:i/>
                <w:iCs/>
              </w:rPr>
              <w:t xml:space="preserve"> </w:t>
            </w:r>
            <w:r w:rsidRPr="00C5671E">
              <w:rPr>
                <w:i/>
                <w:iCs/>
              </w:rPr>
              <w:t xml:space="preserve">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emb</w:t>
            </w:r>
            <w:proofErr w:type="spellEnd"/>
            <w:r w:rsidRPr="00C5671E">
              <w:rPr>
                <w:i/>
                <w:iCs/>
              </w:rPr>
              <w:t xml:space="preserve"> + </w:t>
            </w:r>
            <w:proofErr w:type="spellStart"/>
            <w:r w:rsidRPr="00C5671E">
              <w:rPr>
                <w:rFonts w:cs="Times New Roman"/>
                <w:i/>
                <w:iCs/>
              </w:rPr>
              <w:t>μ</w:t>
            </w:r>
            <w:r w:rsidRPr="00C5671E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679F23B7" w14:textId="2961A57C" w:rsidR="00BB2648" w:rsidRDefault="00BB2648" w:rsidP="00BB2648">
            <w:pPr>
              <w:pStyle w:val="TS"/>
            </w:pPr>
            <w:r>
              <w:t>1.981 [1.700, 2.456]</w:t>
            </w:r>
          </w:p>
        </w:tc>
        <w:tc>
          <w:tcPr>
            <w:tcW w:w="1260" w:type="dxa"/>
          </w:tcPr>
          <w:p w14:paraId="5F2A0629" w14:textId="018271B5" w:rsidR="00BB2648" w:rsidRDefault="00BB2648" w:rsidP="00BB2648">
            <w:pPr>
              <w:pStyle w:val="TS"/>
            </w:pPr>
            <w:r>
              <w:t>795.97</w:t>
            </w:r>
          </w:p>
        </w:tc>
        <w:tc>
          <w:tcPr>
            <w:tcW w:w="1260" w:type="dxa"/>
            <w:vAlign w:val="bottom"/>
          </w:tcPr>
          <w:p w14:paraId="6A3B3533" w14:textId="0DC7337C" w:rsidR="00BB2648" w:rsidRPr="00BB2648" w:rsidRDefault="00BB2648" w:rsidP="00BB2648">
            <w:pPr>
              <w:pStyle w:val="TS"/>
              <w:rPr>
                <w:rFonts w:cs="Times New Roman"/>
                <w:szCs w:val="24"/>
              </w:rPr>
            </w:pPr>
            <w:r w:rsidRPr="00BB2648">
              <w:rPr>
                <w:rFonts w:cs="Times New Roman"/>
                <w:color w:val="000000"/>
                <w:szCs w:val="24"/>
              </w:rPr>
              <w:t>34.8</w:t>
            </w:r>
          </w:p>
        </w:tc>
        <w:tc>
          <w:tcPr>
            <w:tcW w:w="1260" w:type="dxa"/>
          </w:tcPr>
          <w:p w14:paraId="7C74CB5A" w14:textId="7B382BF8" w:rsidR="00BB2648" w:rsidRDefault="00BB2648" w:rsidP="00BB2648">
            <w:pPr>
              <w:pStyle w:val="TS"/>
            </w:pPr>
            <w:r>
              <w:t>2.7e-8</w:t>
            </w:r>
          </w:p>
        </w:tc>
      </w:tr>
    </w:tbl>
    <w:p w14:paraId="12F51574" w14:textId="77777777" w:rsidR="00830384" w:rsidRDefault="00830384" w:rsidP="00233C69">
      <w:pPr>
        <w:pStyle w:val="TS"/>
      </w:pPr>
    </w:p>
    <w:p w14:paraId="2E82588E" w14:textId="77777777" w:rsidR="00C5671E" w:rsidRDefault="00C5671E" w:rsidP="00233C69">
      <w:pPr>
        <w:pStyle w:val="TS"/>
      </w:pPr>
    </w:p>
    <w:p w14:paraId="6A994BBB" w14:textId="77777777" w:rsidR="00C5671E" w:rsidRDefault="00C5671E" w:rsidP="00233C69">
      <w:pPr>
        <w:pStyle w:val="TS"/>
      </w:pPr>
    </w:p>
    <w:p w14:paraId="6036E850" w14:textId="77777777" w:rsidR="00C5671E" w:rsidRDefault="00C5671E" w:rsidP="00233C69">
      <w:pPr>
        <w:pStyle w:val="TS"/>
      </w:pPr>
    </w:p>
    <w:p w14:paraId="5137A040" w14:textId="77777777" w:rsidR="00C5671E" w:rsidRDefault="00C5671E" w:rsidP="00233C69">
      <w:pPr>
        <w:pStyle w:val="TS"/>
      </w:pPr>
    </w:p>
    <w:p w14:paraId="7E4DFF91" w14:textId="77777777" w:rsidR="00C5671E" w:rsidRDefault="00C5671E" w:rsidP="00233C69">
      <w:pPr>
        <w:pStyle w:val="TS"/>
      </w:pPr>
    </w:p>
    <w:p w14:paraId="1CF4546D" w14:textId="77777777" w:rsidR="00C5671E" w:rsidRDefault="00C5671E" w:rsidP="00233C69">
      <w:pPr>
        <w:pStyle w:val="TS"/>
      </w:pPr>
    </w:p>
    <w:p w14:paraId="0F2D73AC" w14:textId="1B3C864A" w:rsidR="00C5671E" w:rsidRDefault="00C5671E" w:rsidP="00233C69">
      <w:pPr>
        <w:pStyle w:val="TS"/>
      </w:pPr>
    </w:p>
    <w:p w14:paraId="098F6C2C" w14:textId="77777777" w:rsidR="00C5671E" w:rsidRDefault="00C5671E" w:rsidP="00233C69">
      <w:pPr>
        <w:pStyle w:val="TS"/>
      </w:pPr>
    </w:p>
    <w:p w14:paraId="44A0A24D" w14:textId="1FE5FC4A" w:rsidR="00C5671E" w:rsidRDefault="00C5671E" w:rsidP="00233C69">
      <w:pPr>
        <w:pStyle w:val="TS"/>
      </w:pPr>
      <w:r>
        <w:lastRenderedPageBreak/>
        <w:t xml:space="preserve">Results table if you only include parameter combinations that result in all three variables being affected by hypoxia.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3150"/>
        <w:gridCol w:w="1260"/>
        <w:gridCol w:w="1260"/>
        <w:gridCol w:w="1260"/>
      </w:tblGrid>
      <w:tr w:rsidR="00C5671E" w14:paraId="6B3FCA26" w14:textId="77777777" w:rsidTr="009966D1">
        <w:tc>
          <w:tcPr>
            <w:tcW w:w="2515" w:type="dxa"/>
          </w:tcPr>
          <w:p w14:paraId="1CEBAE03" w14:textId="77777777" w:rsidR="00C5671E" w:rsidRPr="005B4AF3" w:rsidRDefault="00C5671E" w:rsidP="009966D1">
            <w:pPr>
              <w:pStyle w:val="TS"/>
            </w:pPr>
            <w:r w:rsidRPr="005B4AF3">
              <w:t>Parameter(s) affected by hypoxia</w:t>
            </w:r>
          </w:p>
        </w:tc>
        <w:tc>
          <w:tcPr>
            <w:tcW w:w="3150" w:type="dxa"/>
          </w:tcPr>
          <w:p w14:paraId="187F5886" w14:textId="77777777" w:rsidR="00C5671E" w:rsidRPr="005B4AF3" w:rsidRDefault="00C5671E" w:rsidP="009966D1">
            <w:pPr>
              <w:pStyle w:val="TS"/>
            </w:pPr>
            <w:r w:rsidRPr="005B4AF3">
              <w:t xml:space="preserve">Estimated </w:t>
            </w:r>
            <w:r w:rsidRPr="005B4AF3">
              <w:rPr>
                <w:i/>
                <w:iCs/>
              </w:rPr>
              <w:t>Z</w:t>
            </w:r>
            <w:r w:rsidRPr="005B4AF3">
              <w:t xml:space="preserve"> [95% CI)</w:t>
            </w:r>
          </w:p>
        </w:tc>
        <w:tc>
          <w:tcPr>
            <w:tcW w:w="1260" w:type="dxa"/>
          </w:tcPr>
          <w:p w14:paraId="6873BF54" w14:textId="77777777" w:rsidR="00C5671E" w:rsidRPr="005B4AF3" w:rsidRDefault="00C5671E" w:rsidP="009966D1">
            <w:pPr>
              <w:pStyle w:val="TS"/>
            </w:pPr>
            <w:proofErr w:type="spellStart"/>
            <w:r w:rsidRPr="005B4AF3">
              <w:t>AICc</w:t>
            </w:r>
            <w:proofErr w:type="spellEnd"/>
          </w:p>
        </w:tc>
        <w:tc>
          <w:tcPr>
            <w:tcW w:w="1260" w:type="dxa"/>
          </w:tcPr>
          <w:p w14:paraId="3B7FF1A0" w14:textId="77777777" w:rsidR="00C5671E" w:rsidRPr="005B4AF3" w:rsidRDefault="00C5671E" w:rsidP="009966D1">
            <w:pPr>
              <w:pStyle w:val="TS"/>
            </w:pPr>
            <w:proofErr w:type="spellStart"/>
            <w:r w:rsidRPr="005B4AF3">
              <w:rPr>
                <w:rFonts w:cs="Times New Roman"/>
              </w:rPr>
              <w:t>Δ</w:t>
            </w:r>
            <w:r w:rsidRPr="005B4AF3">
              <w:t>AICc</w:t>
            </w:r>
            <w:proofErr w:type="spellEnd"/>
          </w:p>
        </w:tc>
        <w:tc>
          <w:tcPr>
            <w:tcW w:w="1260" w:type="dxa"/>
          </w:tcPr>
          <w:p w14:paraId="3665677C" w14:textId="77777777" w:rsidR="00C5671E" w:rsidRPr="005B4AF3" w:rsidRDefault="00C5671E" w:rsidP="009966D1">
            <w:pPr>
              <w:pStyle w:val="TS"/>
            </w:pPr>
            <w:r w:rsidRPr="005B4AF3">
              <w:t>Akaike weight</w:t>
            </w:r>
          </w:p>
        </w:tc>
      </w:tr>
      <w:tr w:rsidR="00C5671E" w14:paraId="26011EFB" w14:textId="77777777" w:rsidTr="009966D1">
        <w:tc>
          <w:tcPr>
            <w:tcW w:w="2515" w:type="dxa"/>
          </w:tcPr>
          <w:p w14:paraId="093B064C" w14:textId="77777777" w:rsidR="00C5671E" w:rsidRPr="005B4AF3" w:rsidRDefault="00C5671E" w:rsidP="009966D1">
            <w:pPr>
              <w:pStyle w:val="TS"/>
              <w:rPr>
                <w:i/>
                <w:iCs/>
                <w:vertAlign w:val="subscript"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</w:p>
        </w:tc>
        <w:tc>
          <w:tcPr>
            <w:tcW w:w="3150" w:type="dxa"/>
          </w:tcPr>
          <w:p w14:paraId="386D5A11" w14:textId="77777777" w:rsidR="00C5671E" w:rsidRPr="005B4AF3" w:rsidRDefault="00C5671E" w:rsidP="009966D1">
            <w:pPr>
              <w:pStyle w:val="TS"/>
            </w:pPr>
            <w:r w:rsidRPr="005B4AF3">
              <w:t>3.019 [2.512-3.612]</w:t>
            </w:r>
          </w:p>
        </w:tc>
        <w:tc>
          <w:tcPr>
            <w:tcW w:w="1260" w:type="dxa"/>
          </w:tcPr>
          <w:p w14:paraId="56250A74" w14:textId="77777777" w:rsidR="00C5671E" w:rsidRPr="005B4AF3" w:rsidRDefault="00C5671E" w:rsidP="009966D1">
            <w:pPr>
              <w:pStyle w:val="TS"/>
            </w:pPr>
            <w:r w:rsidRPr="005B4AF3">
              <w:t>856.06</w:t>
            </w:r>
          </w:p>
        </w:tc>
        <w:tc>
          <w:tcPr>
            <w:tcW w:w="1260" w:type="dxa"/>
          </w:tcPr>
          <w:p w14:paraId="660EDA88" w14:textId="394BD746" w:rsidR="00C5671E" w:rsidRPr="005B4AF3" w:rsidRDefault="005B4AF3" w:rsidP="009966D1">
            <w:pPr>
              <w:pStyle w:val="TS"/>
            </w:pPr>
            <w:r w:rsidRPr="005B4AF3">
              <w:t>62.03</w:t>
            </w:r>
          </w:p>
        </w:tc>
        <w:tc>
          <w:tcPr>
            <w:tcW w:w="1260" w:type="dxa"/>
          </w:tcPr>
          <w:p w14:paraId="62E27DCD" w14:textId="11F34B3A" w:rsidR="00C5671E" w:rsidRPr="005B4AF3" w:rsidRDefault="005B4AF3" w:rsidP="009966D1">
            <w:pPr>
              <w:pStyle w:val="TS"/>
            </w:pPr>
            <w:r w:rsidRPr="005B4AF3">
              <w:t>2.5e-14</w:t>
            </w:r>
          </w:p>
        </w:tc>
      </w:tr>
      <w:tr w:rsidR="00C5671E" w14:paraId="5CB454F3" w14:textId="77777777" w:rsidTr="009966D1">
        <w:tc>
          <w:tcPr>
            <w:tcW w:w="2515" w:type="dxa"/>
          </w:tcPr>
          <w:p w14:paraId="140E402E" w14:textId="77777777" w:rsidR="00C5671E" w:rsidRPr="005B4AF3" w:rsidRDefault="00C5671E" w:rsidP="009966D1">
            <w:pPr>
              <w:pStyle w:val="TS"/>
              <w:rPr>
                <w:i/>
                <w:iCs/>
                <w:vertAlign w:val="subscript"/>
              </w:rPr>
            </w:pPr>
            <w:proofErr w:type="spellStart"/>
            <w:r w:rsidRPr="005B4AF3">
              <w:rPr>
                <w:i/>
                <w:iCs/>
              </w:rPr>
              <w:t>y</w:t>
            </w:r>
            <w:r w:rsidRPr="005B4AF3">
              <w:rPr>
                <w:i/>
                <w:iCs/>
                <w:vertAlign w:val="subscript"/>
              </w:rPr>
              <w:t>VA</w:t>
            </w:r>
            <w:proofErr w:type="spellEnd"/>
          </w:p>
        </w:tc>
        <w:tc>
          <w:tcPr>
            <w:tcW w:w="3150" w:type="dxa"/>
          </w:tcPr>
          <w:p w14:paraId="01C0D2A5" w14:textId="77777777" w:rsidR="00C5671E" w:rsidRPr="005B4AF3" w:rsidRDefault="00C5671E" w:rsidP="009966D1">
            <w:pPr>
              <w:pStyle w:val="TS"/>
            </w:pPr>
            <w:r w:rsidRPr="005B4AF3">
              <w:t>1.818 [1.601-2.342]</w:t>
            </w:r>
          </w:p>
        </w:tc>
        <w:tc>
          <w:tcPr>
            <w:tcW w:w="1260" w:type="dxa"/>
          </w:tcPr>
          <w:p w14:paraId="5D5DC4AE" w14:textId="77777777" w:rsidR="00C5671E" w:rsidRPr="005B4AF3" w:rsidRDefault="00C5671E" w:rsidP="009966D1">
            <w:pPr>
              <w:pStyle w:val="TS"/>
            </w:pPr>
            <w:r w:rsidRPr="005B4AF3">
              <w:t>848.65</w:t>
            </w:r>
          </w:p>
        </w:tc>
        <w:tc>
          <w:tcPr>
            <w:tcW w:w="1260" w:type="dxa"/>
          </w:tcPr>
          <w:p w14:paraId="714F1EA7" w14:textId="65F2018E" w:rsidR="00C5671E" w:rsidRPr="005B4AF3" w:rsidRDefault="005B4AF3" w:rsidP="009966D1">
            <w:pPr>
              <w:pStyle w:val="TS"/>
            </w:pPr>
            <w:r w:rsidRPr="005B4AF3">
              <w:t>54.62</w:t>
            </w:r>
          </w:p>
        </w:tc>
        <w:tc>
          <w:tcPr>
            <w:tcW w:w="1260" w:type="dxa"/>
          </w:tcPr>
          <w:p w14:paraId="0357DC8A" w14:textId="6E64ADC3" w:rsidR="00C5671E" w:rsidRPr="005B4AF3" w:rsidRDefault="005B4AF3" w:rsidP="009966D1">
            <w:pPr>
              <w:pStyle w:val="TS"/>
            </w:pPr>
            <w:r w:rsidRPr="005B4AF3">
              <w:t>1.0e-12</w:t>
            </w:r>
          </w:p>
        </w:tc>
      </w:tr>
      <w:tr w:rsidR="00C5671E" w14:paraId="364FB0B1" w14:textId="77777777" w:rsidTr="009966D1">
        <w:tc>
          <w:tcPr>
            <w:tcW w:w="2515" w:type="dxa"/>
          </w:tcPr>
          <w:p w14:paraId="239D817B" w14:textId="77777777" w:rsidR="00C5671E" w:rsidRPr="005B4AF3" w:rsidRDefault="00C5671E" w:rsidP="009966D1">
            <w:pPr>
              <w:pStyle w:val="TS"/>
              <w:rPr>
                <w:i/>
                <w:iCs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v</w:t>
            </w:r>
            <w:r w:rsidRPr="005B4AF3">
              <w:rPr>
                <w:i/>
                <w:iCs/>
                <w:vertAlign w:val="subscript"/>
              </w:rPr>
              <w:t>M</w:t>
            </w:r>
            <w:proofErr w:type="spellEnd"/>
          </w:p>
        </w:tc>
        <w:tc>
          <w:tcPr>
            <w:tcW w:w="3150" w:type="dxa"/>
          </w:tcPr>
          <w:p w14:paraId="6C7CFF15" w14:textId="77777777" w:rsidR="00C5671E" w:rsidRPr="005B4AF3" w:rsidRDefault="00C5671E" w:rsidP="009966D1">
            <w:pPr>
              <w:pStyle w:val="TS"/>
            </w:pPr>
            <w:r w:rsidRPr="005B4AF3">
              <w:t>3.105 [2.651-3.726]</w:t>
            </w:r>
          </w:p>
        </w:tc>
        <w:tc>
          <w:tcPr>
            <w:tcW w:w="1260" w:type="dxa"/>
          </w:tcPr>
          <w:p w14:paraId="1252B9B3" w14:textId="77777777" w:rsidR="00C5671E" w:rsidRPr="005B4AF3" w:rsidRDefault="00C5671E" w:rsidP="009966D1">
            <w:pPr>
              <w:pStyle w:val="TS"/>
            </w:pPr>
            <w:r w:rsidRPr="005B4AF3">
              <w:t>855.00</w:t>
            </w:r>
          </w:p>
        </w:tc>
        <w:tc>
          <w:tcPr>
            <w:tcW w:w="1260" w:type="dxa"/>
          </w:tcPr>
          <w:p w14:paraId="0AAABF41" w14:textId="7522517F" w:rsidR="00C5671E" w:rsidRPr="005B4AF3" w:rsidRDefault="005B4AF3" w:rsidP="009966D1">
            <w:pPr>
              <w:pStyle w:val="TS"/>
            </w:pPr>
            <w:r w:rsidRPr="005B4AF3">
              <w:t>60.97</w:t>
            </w:r>
          </w:p>
        </w:tc>
        <w:tc>
          <w:tcPr>
            <w:tcW w:w="1260" w:type="dxa"/>
          </w:tcPr>
          <w:p w14:paraId="5377CF11" w14:textId="3F5301F6" w:rsidR="00C5671E" w:rsidRPr="005B4AF3" w:rsidRDefault="005B4AF3" w:rsidP="009966D1">
            <w:pPr>
              <w:pStyle w:val="TS"/>
            </w:pPr>
            <w:r w:rsidRPr="005B4AF3">
              <w:t>4.2e-14</w:t>
            </w:r>
          </w:p>
        </w:tc>
      </w:tr>
      <w:tr w:rsidR="00C5671E" w14:paraId="42A04A51" w14:textId="77777777" w:rsidTr="009966D1">
        <w:tc>
          <w:tcPr>
            <w:tcW w:w="2515" w:type="dxa"/>
          </w:tcPr>
          <w:p w14:paraId="2A3A5742" w14:textId="77777777" w:rsidR="00C5671E" w:rsidRPr="005B4AF3" w:rsidRDefault="00C5671E" w:rsidP="009966D1">
            <w:pPr>
              <w:pStyle w:val="TS"/>
              <w:rPr>
                <w:i/>
                <w:iCs/>
              </w:rPr>
            </w:pPr>
            <w:proofErr w:type="spellStart"/>
            <w:r w:rsidRPr="005B4AF3">
              <w:rPr>
                <w:i/>
                <w:iCs/>
              </w:rPr>
              <w:t>y</w:t>
            </w:r>
            <w:r w:rsidRPr="005B4AF3">
              <w:rPr>
                <w:i/>
                <w:iCs/>
                <w:vertAlign w:val="subscript"/>
              </w:rPr>
              <w:t>VA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v</w:t>
            </w:r>
            <w:r w:rsidRPr="005B4AF3">
              <w:rPr>
                <w:i/>
                <w:iCs/>
                <w:vertAlign w:val="subscript"/>
              </w:rPr>
              <w:t>M</w:t>
            </w:r>
            <w:proofErr w:type="spellEnd"/>
          </w:p>
        </w:tc>
        <w:tc>
          <w:tcPr>
            <w:tcW w:w="3150" w:type="dxa"/>
          </w:tcPr>
          <w:p w14:paraId="1B325A77" w14:textId="77777777" w:rsidR="00C5671E" w:rsidRPr="005B4AF3" w:rsidRDefault="00C5671E" w:rsidP="009966D1">
            <w:pPr>
              <w:pStyle w:val="TS"/>
            </w:pPr>
            <w:r w:rsidRPr="005B4AF3">
              <w:t>1.985 [1.688-2.774]</w:t>
            </w:r>
          </w:p>
        </w:tc>
        <w:tc>
          <w:tcPr>
            <w:tcW w:w="1260" w:type="dxa"/>
          </w:tcPr>
          <w:p w14:paraId="75C558C0" w14:textId="77777777" w:rsidR="00C5671E" w:rsidRPr="005B4AF3" w:rsidRDefault="00C5671E" w:rsidP="009966D1">
            <w:pPr>
              <w:pStyle w:val="TS"/>
            </w:pPr>
            <w:r w:rsidRPr="005B4AF3">
              <w:t>850.64</w:t>
            </w:r>
          </w:p>
        </w:tc>
        <w:tc>
          <w:tcPr>
            <w:tcW w:w="1260" w:type="dxa"/>
          </w:tcPr>
          <w:p w14:paraId="2EEAAF91" w14:textId="3CC92BAB" w:rsidR="00C5671E" w:rsidRPr="005B4AF3" w:rsidRDefault="005B4AF3" w:rsidP="009966D1">
            <w:pPr>
              <w:pStyle w:val="TS"/>
            </w:pPr>
            <w:r w:rsidRPr="005B4AF3">
              <w:t>56.61</w:t>
            </w:r>
          </w:p>
        </w:tc>
        <w:tc>
          <w:tcPr>
            <w:tcW w:w="1260" w:type="dxa"/>
          </w:tcPr>
          <w:p w14:paraId="7C5E2437" w14:textId="50755C99" w:rsidR="00C5671E" w:rsidRPr="005B4AF3" w:rsidRDefault="005B4AF3" w:rsidP="009966D1">
            <w:pPr>
              <w:pStyle w:val="TS"/>
            </w:pPr>
            <w:r w:rsidRPr="005B4AF3">
              <w:t>3.7e-13</w:t>
            </w:r>
          </w:p>
        </w:tc>
      </w:tr>
      <w:tr w:rsidR="00C5671E" w14:paraId="2BF5F46F" w14:textId="77777777" w:rsidTr="009966D1">
        <w:tc>
          <w:tcPr>
            <w:tcW w:w="2515" w:type="dxa"/>
          </w:tcPr>
          <w:p w14:paraId="1A4FD47A" w14:textId="77777777" w:rsidR="00C5671E" w:rsidRPr="005B4AF3" w:rsidRDefault="00C5671E" w:rsidP="009966D1">
            <w:pPr>
              <w:pStyle w:val="TS"/>
              <w:rPr>
                <w:i/>
                <w:iCs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03971800" w14:textId="77777777" w:rsidR="00C5671E" w:rsidRPr="005B4AF3" w:rsidRDefault="00C5671E" w:rsidP="009966D1">
            <w:pPr>
              <w:pStyle w:val="TS"/>
            </w:pPr>
            <w:r w:rsidRPr="005B4AF3">
              <w:t>2.804 [1.605-3.287]</w:t>
            </w:r>
          </w:p>
        </w:tc>
        <w:tc>
          <w:tcPr>
            <w:tcW w:w="1260" w:type="dxa"/>
          </w:tcPr>
          <w:p w14:paraId="56807D02" w14:textId="77777777" w:rsidR="00C5671E" w:rsidRPr="005B4AF3" w:rsidRDefault="00C5671E" w:rsidP="009966D1">
            <w:pPr>
              <w:pStyle w:val="TS"/>
            </w:pPr>
            <w:r w:rsidRPr="005B4AF3">
              <w:t>823.24</w:t>
            </w:r>
          </w:p>
        </w:tc>
        <w:tc>
          <w:tcPr>
            <w:tcW w:w="1260" w:type="dxa"/>
          </w:tcPr>
          <w:p w14:paraId="1A489ABC" w14:textId="322FAE44" w:rsidR="00C5671E" w:rsidRPr="005B4AF3" w:rsidRDefault="005B4AF3" w:rsidP="009966D1">
            <w:pPr>
              <w:pStyle w:val="TS"/>
            </w:pPr>
            <w:r w:rsidRPr="005B4AF3">
              <w:t>29.21</w:t>
            </w:r>
          </w:p>
        </w:tc>
        <w:tc>
          <w:tcPr>
            <w:tcW w:w="1260" w:type="dxa"/>
          </w:tcPr>
          <w:p w14:paraId="6E64CC13" w14:textId="10CF9A79" w:rsidR="00C5671E" w:rsidRPr="005B4AF3" w:rsidRDefault="005B4AF3" w:rsidP="009966D1">
            <w:pPr>
              <w:pStyle w:val="TS"/>
            </w:pPr>
            <w:r w:rsidRPr="005B4AF3">
              <w:t>3.3e-7</w:t>
            </w:r>
          </w:p>
        </w:tc>
      </w:tr>
      <w:tr w:rsidR="00C5671E" w14:paraId="545D1632" w14:textId="77777777" w:rsidTr="009966D1">
        <w:tc>
          <w:tcPr>
            <w:tcW w:w="2515" w:type="dxa"/>
          </w:tcPr>
          <w:p w14:paraId="15AEFFCC" w14:textId="77777777" w:rsidR="00C5671E" w:rsidRPr="005B4AF3" w:rsidRDefault="00C5671E" w:rsidP="009966D1">
            <w:pPr>
              <w:pStyle w:val="TS"/>
              <w:rPr>
                <w:i/>
                <w:iCs/>
              </w:rPr>
            </w:pPr>
            <w:proofErr w:type="spellStart"/>
            <w:r w:rsidRPr="005B4AF3">
              <w:rPr>
                <w:i/>
                <w:iCs/>
              </w:rPr>
              <w:t>y</w:t>
            </w:r>
            <w:r w:rsidRPr="005B4AF3">
              <w:rPr>
                <w:i/>
                <w:iCs/>
                <w:vertAlign w:val="subscript"/>
              </w:rPr>
              <w:t>VA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emb</w:t>
            </w:r>
            <w:proofErr w:type="spellEnd"/>
          </w:p>
        </w:tc>
        <w:tc>
          <w:tcPr>
            <w:tcW w:w="3150" w:type="dxa"/>
          </w:tcPr>
          <w:p w14:paraId="7597F4CC" w14:textId="77777777" w:rsidR="00C5671E" w:rsidRPr="005B4AF3" w:rsidRDefault="00C5671E" w:rsidP="009966D1">
            <w:pPr>
              <w:pStyle w:val="TS"/>
            </w:pPr>
            <w:r w:rsidRPr="005B4AF3">
              <w:t>1.801 [1.570-2.167]</w:t>
            </w:r>
          </w:p>
        </w:tc>
        <w:tc>
          <w:tcPr>
            <w:tcW w:w="1260" w:type="dxa"/>
          </w:tcPr>
          <w:p w14:paraId="61971F15" w14:textId="77777777" w:rsidR="00C5671E" w:rsidRPr="005B4AF3" w:rsidRDefault="00C5671E" w:rsidP="009966D1">
            <w:pPr>
              <w:pStyle w:val="TS"/>
            </w:pPr>
            <w:r w:rsidRPr="005B4AF3">
              <w:t>808.12</w:t>
            </w:r>
          </w:p>
        </w:tc>
        <w:tc>
          <w:tcPr>
            <w:tcW w:w="1260" w:type="dxa"/>
          </w:tcPr>
          <w:p w14:paraId="7D9054E6" w14:textId="7EAD5D9C" w:rsidR="00C5671E" w:rsidRPr="005B4AF3" w:rsidRDefault="005B4AF3" w:rsidP="009966D1">
            <w:pPr>
              <w:pStyle w:val="TS"/>
            </w:pPr>
            <w:r w:rsidRPr="005B4AF3">
              <w:t>14.09</w:t>
            </w:r>
          </w:p>
        </w:tc>
        <w:tc>
          <w:tcPr>
            <w:tcW w:w="1260" w:type="dxa"/>
          </w:tcPr>
          <w:p w14:paraId="2515E774" w14:textId="0D642BBE" w:rsidR="00C5671E" w:rsidRPr="005B4AF3" w:rsidRDefault="005B4AF3" w:rsidP="009966D1">
            <w:pPr>
              <w:pStyle w:val="TS"/>
            </w:pPr>
            <w:r w:rsidRPr="005B4AF3">
              <w:t>6.3e-4</w:t>
            </w:r>
          </w:p>
        </w:tc>
      </w:tr>
      <w:tr w:rsidR="00BB2648" w14:paraId="2AD6A429" w14:textId="77777777" w:rsidTr="009966D1">
        <w:tc>
          <w:tcPr>
            <w:tcW w:w="2515" w:type="dxa"/>
          </w:tcPr>
          <w:p w14:paraId="122959D4" w14:textId="3E35677F" w:rsidR="00BB2648" w:rsidRPr="005B4AF3" w:rsidRDefault="00BB2648" w:rsidP="009966D1">
            <w:pPr>
              <w:pStyle w:val="TS"/>
              <w:rPr>
                <w:i/>
                <w:iCs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rFonts w:cs="Times New Roman"/>
                <w:i/>
                <w:iCs/>
              </w:rPr>
              <w:softHyphen/>
            </w:r>
            <w:r w:rsidRPr="005B4AF3">
              <w:rPr>
                <w:rFonts w:cs="Times New Roman"/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5767CF70" w14:textId="5067D602" w:rsidR="00BB2648" w:rsidRPr="005B4AF3" w:rsidRDefault="00BB2648" w:rsidP="009966D1">
            <w:pPr>
              <w:pStyle w:val="TS"/>
            </w:pPr>
            <w:r w:rsidRPr="005B4AF3">
              <w:t>2.930 [2.165-3.428]</w:t>
            </w:r>
          </w:p>
        </w:tc>
        <w:tc>
          <w:tcPr>
            <w:tcW w:w="1260" w:type="dxa"/>
          </w:tcPr>
          <w:p w14:paraId="448DE915" w14:textId="56D32331" w:rsidR="00BB2648" w:rsidRPr="005B4AF3" w:rsidRDefault="00BB2648" w:rsidP="009966D1">
            <w:pPr>
              <w:pStyle w:val="TS"/>
            </w:pPr>
            <w:r w:rsidRPr="005B4AF3">
              <w:t>838.17</w:t>
            </w:r>
          </w:p>
        </w:tc>
        <w:tc>
          <w:tcPr>
            <w:tcW w:w="1260" w:type="dxa"/>
          </w:tcPr>
          <w:p w14:paraId="1333ABF7" w14:textId="055FB9C3" w:rsidR="00BB2648" w:rsidRPr="005B4AF3" w:rsidRDefault="005B4AF3" w:rsidP="009966D1">
            <w:pPr>
              <w:pStyle w:val="TS"/>
            </w:pPr>
            <w:r w:rsidRPr="005B4AF3">
              <w:t>44.14</w:t>
            </w:r>
          </w:p>
        </w:tc>
        <w:tc>
          <w:tcPr>
            <w:tcW w:w="1260" w:type="dxa"/>
          </w:tcPr>
          <w:p w14:paraId="4058D455" w14:textId="4A247A49" w:rsidR="00BB2648" w:rsidRPr="005B4AF3" w:rsidRDefault="005B4AF3" w:rsidP="009966D1">
            <w:pPr>
              <w:pStyle w:val="TS"/>
            </w:pPr>
            <w:r w:rsidRPr="005B4AF3">
              <w:t>1.9e-10</w:t>
            </w:r>
          </w:p>
        </w:tc>
      </w:tr>
      <w:tr w:rsidR="00BB2648" w14:paraId="4E4C37AD" w14:textId="77777777" w:rsidTr="009966D1">
        <w:tc>
          <w:tcPr>
            <w:tcW w:w="2515" w:type="dxa"/>
          </w:tcPr>
          <w:p w14:paraId="07648639" w14:textId="1C6415F9" w:rsidR="00BB2648" w:rsidRPr="005B4AF3" w:rsidRDefault="00BB2648" w:rsidP="009966D1">
            <w:pPr>
              <w:pStyle w:val="TS"/>
              <w:rPr>
                <w:i/>
                <w:iCs/>
                <w:vertAlign w:val="subscript"/>
              </w:rPr>
            </w:pPr>
            <w:proofErr w:type="spellStart"/>
            <w:r w:rsidRPr="005B4AF3">
              <w:rPr>
                <w:i/>
                <w:iCs/>
              </w:rPr>
              <w:t>y</w:t>
            </w:r>
            <w:r w:rsidRPr="005B4AF3">
              <w:rPr>
                <w:i/>
                <w:iCs/>
                <w:vertAlign w:val="subscript"/>
              </w:rPr>
              <w:t>VA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rFonts w:cs="Times New Roman"/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367DFD91" w14:textId="45A90B0B" w:rsidR="00BB2648" w:rsidRPr="005B4AF3" w:rsidRDefault="00BB2648" w:rsidP="009966D1">
            <w:pPr>
              <w:pStyle w:val="TS"/>
            </w:pPr>
            <w:r w:rsidRPr="005B4AF3">
              <w:t>1.767 [1.536-2.111]</w:t>
            </w:r>
          </w:p>
        </w:tc>
        <w:tc>
          <w:tcPr>
            <w:tcW w:w="1260" w:type="dxa"/>
          </w:tcPr>
          <w:p w14:paraId="1A757ABF" w14:textId="49887066" w:rsidR="00BB2648" w:rsidRPr="005B4AF3" w:rsidRDefault="00BB2648" w:rsidP="009966D1">
            <w:pPr>
              <w:pStyle w:val="TS"/>
            </w:pPr>
            <w:r w:rsidRPr="005B4AF3">
              <w:t>821.30</w:t>
            </w:r>
          </w:p>
        </w:tc>
        <w:tc>
          <w:tcPr>
            <w:tcW w:w="1260" w:type="dxa"/>
          </w:tcPr>
          <w:p w14:paraId="27F2A769" w14:textId="576A76CC" w:rsidR="00BB2648" w:rsidRPr="005B4AF3" w:rsidRDefault="005B4AF3" w:rsidP="009966D1">
            <w:pPr>
              <w:pStyle w:val="TS"/>
            </w:pPr>
            <w:r w:rsidRPr="005B4AF3">
              <w:t>27.27</w:t>
            </w:r>
          </w:p>
        </w:tc>
        <w:tc>
          <w:tcPr>
            <w:tcW w:w="1260" w:type="dxa"/>
          </w:tcPr>
          <w:p w14:paraId="230D3F90" w14:textId="748CA9F7" w:rsidR="00BB2648" w:rsidRPr="005B4AF3" w:rsidRDefault="005B4AF3" w:rsidP="009966D1">
            <w:pPr>
              <w:pStyle w:val="TS"/>
            </w:pPr>
            <w:r w:rsidRPr="005B4AF3">
              <w:t>8.7e-7</w:t>
            </w:r>
          </w:p>
        </w:tc>
      </w:tr>
      <w:tr w:rsidR="00BB2648" w14:paraId="2AD9C939" w14:textId="77777777" w:rsidTr="009966D1">
        <w:tc>
          <w:tcPr>
            <w:tcW w:w="2515" w:type="dxa"/>
          </w:tcPr>
          <w:p w14:paraId="67C4DFFC" w14:textId="51E86F65" w:rsidR="00BB2648" w:rsidRPr="005B4AF3" w:rsidRDefault="00BB2648" w:rsidP="009966D1">
            <w:pPr>
              <w:pStyle w:val="TS"/>
              <w:rPr>
                <w:i/>
                <w:iCs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emb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06D1C4E1" w14:textId="57E931C6" w:rsidR="00BB2648" w:rsidRPr="005B4AF3" w:rsidRDefault="00BB2648" w:rsidP="009966D1">
            <w:pPr>
              <w:pStyle w:val="TS"/>
            </w:pPr>
            <w:r w:rsidRPr="005B4AF3">
              <w:t>2.819 [1.920-3.286]</w:t>
            </w:r>
          </w:p>
        </w:tc>
        <w:tc>
          <w:tcPr>
            <w:tcW w:w="1260" w:type="dxa"/>
          </w:tcPr>
          <w:p w14:paraId="387AA8A8" w14:textId="08543918" w:rsidR="00BB2648" w:rsidRPr="005B4AF3" w:rsidRDefault="00BB2648" w:rsidP="009966D1">
            <w:pPr>
              <w:pStyle w:val="TS"/>
            </w:pPr>
            <w:r w:rsidRPr="005B4AF3">
              <w:t>810.21</w:t>
            </w:r>
          </w:p>
        </w:tc>
        <w:tc>
          <w:tcPr>
            <w:tcW w:w="1260" w:type="dxa"/>
          </w:tcPr>
          <w:p w14:paraId="54A5025B" w14:textId="619D8707" w:rsidR="00BB2648" w:rsidRPr="005B4AF3" w:rsidRDefault="005B4AF3" w:rsidP="009966D1">
            <w:pPr>
              <w:pStyle w:val="TS"/>
            </w:pPr>
            <w:r w:rsidRPr="005B4AF3">
              <w:t>16.18</w:t>
            </w:r>
          </w:p>
        </w:tc>
        <w:tc>
          <w:tcPr>
            <w:tcW w:w="1260" w:type="dxa"/>
          </w:tcPr>
          <w:p w14:paraId="59584848" w14:textId="04A404D7" w:rsidR="00BB2648" w:rsidRPr="005B4AF3" w:rsidRDefault="005B4AF3" w:rsidP="009966D1">
            <w:pPr>
              <w:pStyle w:val="TS"/>
            </w:pPr>
            <w:r w:rsidRPr="005B4AF3">
              <w:t>2.2e-4</w:t>
            </w:r>
          </w:p>
        </w:tc>
      </w:tr>
      <w:tr w:rsidR="00BB2648" w14:paraId="37F568E9" w14:textId="77777777" w:rsidTr="009966D1">
        <w:tc>
          <w:tcPr>
            <w:tcW w:w="2515" w:type="dxa"/>
          </w:tcPr>
          <w:p w14:paraId="00096C19" w14:textId="1BC27E3A" w:rsidR="00BB2648" w:rsidRPr="005B4AF3" w:rsidRDefault="00BB2648" w:rsidP="009966D1">
            <w:pPr>
              <w:pStyle w:val="TS"/>
              <w:rPr>
                <w:rFonts w:cs="Times New Roman"/>
                <w:i/>
                <w:iCs/>
              </w:rPr>
            </w:pPr>
            <w:proofErr w:type="spellStart"/>
            <w:r w:rsidRPr="005B4AF3">
              <w:rPr>
                <w:b/>
                <w:bCs/>
                <w:i/>
                <w:iCs/>
              </w:rPr>
              <w:t>y</w:t>
            </w:r>
            <w:r w:rsidRPr="005B4AF3">
              <w:rPr>
                <w:b/>
                <w:bCs/>
                <w:i/>
                <w:iCs/>
                <w:vertAlign w:val="subscript"/>
              </w:rPr>
              <w:t>VA</w:t>
            </w:r>
            <w:proofErr w:type="spellEnd"/>
            <w:r w:rsidRPr="005B4AF3">
              <w:rPr>
                <w:b/>
                <w:bCs/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b/>
                <w:bCs/>
                <w:i/>
                <w:iCs/>
              </w:rPr>
              <w:t>μ</w:t>
            </w:r>
            <w:r w:rsidRPr="005B4AF3">
              <w:rPr>
                <w:b/>
                <w:bCs/>
                <w:i/>
                <w:iCs/>
                <w:vertAlign w:val="subscript"/>
              </w:rPr>
              <w:t>emb</w:t>
            </w:r>
            <w:proofErr w:type="spellEnd"/>
            <w:r w:rsidRPr="005B4AF3">
              <w:rPr>
                <w:b/>
                <w:bCs/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b/>
                <w:bCs/>
                <w:i/>
                <w:iCs/>
              </w:rPr>
              <w:t>μ</w:t>
            </w:r>
            <w:r w:rsidRPr="005B4AF3">
              <w:rPr>
                <w:b/>
                <w:bCs/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0484AD23" w14:textId="029CB87E" w:rsidR="00BB2648" w:rsidRPr="005B4AF3" w:rsidRDefault="00BB2648" w:rsidP="009966D1">
            <w:pPr>
              <w:pStyle w:val="TS"/>
            </w:pPr>
            <w:r w:rsidRPr="005B4AF3">
              <w:rPr>
                <w:b/>
                <w:bCs/>
              </w:rPr>
              <w:t>1.827 [1.620-2.269]</w:t>
            </w:r>
          </w:p>
        </w:tc>
        <w:tc>
          <w:tcPr>
            <w:tcW w:w="1260" w:type="dxa"/>
          </w:tcPr>
          <w:p w14:paraId="70F2D814" w14:textId="301050BA" w:rsidR="00BB2648" w:rsidRPr="005B4AF3" w:rsidRDefault="00BB2648" w:rsidP="009966D1">
            <w:pPr>
              <w:pStyle w:val="TS"/>
            </w:pPr>
            <w:r w:rsidRPr="005B4AF3">
              <w:rPr>
                <w:b/>
                <w:bCs/>
              </w:rPr>
              <w:t>794.03</w:t>
            </w:r>
          </w:p>
        </w:tc>
        <w:tc>
          <w:tcPr>
            <w:tcW w:w="1260" w:type="dxa"/>
          </w:tcPr>
          <w:p w14:paraId="2F585FE3" w14:textId="58030FCB" w:rsidR="00BB2648" w:rsidRPr="005B4AF3" w:rsidRDefault="005B4AF3" w:rsidP="009966D1">
            <w:pPr>
              <w:pStyle w:val="TS"/>
              <w:rPr>
                <w:b/>
                <w:bCs/>
              </w:rPr>
            </w:pPr>
            <w:r w:rsidRPr="005B4AF3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6C634906" w14:textId="175A33CD" w:rsidR="00BB2648" w:rsidRPr="005B4AF3" w:rsidRDefault="005B4AF3" w:rsidP="009966D1">
            <w:pPr>
              <w:pStyle w:val="TS"/>
              <w:rPr>
                <w:b/>
                <w:bCs/>
              </w:rPr>
            </w:pPr>
            <w:r w:rsidRPr="005B4AF3">
              <w:rPr>
                <w:b/>
                <w:bCs/>
              </w:rPr>
              <w:t>0.72</w:t>
            </w:r>
          </w:p>
        </w:tc>
      </w:tr>
      <w:tr w:rsidR="00BB2648" w14:paraId="28D41217" w14:textId="77777777" w:rsidTr="009966D1">
        <w:tc>
          <w:tcPr>
            <w:tcW w:w="2515" w:type="dxa"/>
          </w:tcPr>
          <w:p w14:paraId="59597071" w14:textId="0778FECB" w:rsidR="00BB2648" w:rsidRPr="005B4AF3" w:rsidRDefault="00BB2648" w:rsidP="009966D1">
            <w:pPr>
              <w:pStyle w:val="TS"/>
              <w:rPr>
                <w:i/>
                <w:iCs/>
              </w:rPr>
            </w:pPr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a</w:t>
            </w:r>
            <w:r w:rsidRPr="005B4AF3">
              <w:rPr>
                <w:i/>
                <w:iCs/>
                <w:vertAlign w:val="subscript"/>
              </w:rPr>
              <w:t>Am</w:t>
            </w:r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v</w:t>
            </w:r>
            <w:r w:rsidRPr="005B4AF3">
              <w:rPr>
                <w:i/>
                <w:iCs/>
                <w:vertAlign w:val="subscript"/>
              </w:rPr>
              <w:t>M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emb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573B7751" w14:textId="11FC231C" w:rsidR="00BB2648" w:rsidRPr="005B4AF3" w:rsidRDefault="00BB2648" w:rsidP="009966D1">
            <w:pPr>
              <w:pStyle w:val="TS"/>
            </w:pPr>
            <w:r w:rsidRPr="005B4AF3">
              <w:t>2.913 [2.288, 3.387]</w:t>
            </w:r>
          </w:p>
        </w:tc>
        <w:tc>
          <w:tcPr>
            <w:tcW w:w="1260" w:type="dxa"/>
          </w:tcPr>
          <w:p w14:paraId="1F5D3738" w14:textId="54491BA6" w:rsidR="00BB2648" w:rsidRPr="005B4AF3" w:rsidRDefault="00BB2648" w:rsidP="009966D1">
            <w:pPr>
              <w:pStyle w:val="TS"/>
            </w:pPr>
            <w:r w:rsidRPr="005B4AF3">
              <w:t>809.96</w:t>
            </w:r>
          </w:p>
        </w:tc>
        <w:tc>
          <w:tcPr>
            <w:tcW w:w="1260" w:type="dxa"/>
          </w:tcPr>
          <w:p w14:paraId="561C1C2F" w14:textId="3DC46830" w:rsidR="00BB2648" w:rsidRPr="005B4AF3" w:rsidRDefault="005B4AF3" w:rsidP="009966D1">
            <w:pPr>
              <w:pStyle w:val="TS"/>
            </w:pPr>
            <w:r w:rsidRPr="005B4AF3">
              <w:t>15.93</w:t>
            </w:r>
          </w:p>
        </w:tc>
        <w:tc>
          <w:tcPr>
            <w:tcW w:w="1260" w:type="dxa"/>
          </w:tcPr>
          <w:p w14:paraId="0F7223CC" w14:textId="55AD2EBD" w:rsidR="00BB2648" w:rsidRPr="005B4AF3" w:rsidRDefault="005B4AF3" w:rsidP="009966D1">
            <w:pPr>
              <w:pStyle w:val="TS"/>
            </w:pPr>
            <w:r w:rsidRPr="005B4AF3">
              <w:t>2.5e-4</w:t>
            </w:r>
          </w:p>
        </w:tc>
      </w:tr>
      <w:tr w:rsidR="00BB2648" w14:paraId="23F1FF3A" w14:textId="77777777" w:rsidTr="009966D1">
        <w:tc>
          <w:tcPr>
            <w:tcW w:w="2515" w:type="dxa"/>
          </w:tcPr>
          <w:p w14:paraId="6AC6D30C" w14:textId="5D089E7E" w:rsidR="00BB2648" w:rsidRPr="005B4AF3" w:rsidRDefault="00BB2648" w:rsidP="009966D1">
            <w:pPr>
              <w:pStyle w:val="TS"/>
              <w:rPr>
                <w:i/>
                <w:iCs/>
              </w:rPr>
            </w:pPr>
            <w:proofErr w:type="spellStart"/>
            <w:r w:rsidRPr="005B4AF3">
              <w:rPr>
                <w:i/>
                <w:iCs/>
              </w:rPr>
              <w:t>y</w:t>
            </w:r>
            <w:r w:rsidRPr="005B4AF3">
              <w:rPr>
                <w:i/>
                <w:iCs/>
                <w:vertAlign w:val="subscript"/>
              </w:rPr>
              <w:t>VA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i/>
                <w:iCs/>
              </w:rPr>
              <w:t>J</w:t>
            </w:r>
            <w:r w:rsidRPr="005B4AF3">
              <w:rPr>
                <w:i/>
                <w:iCs/>
                <w:vertAlign w:val="superscript"/>
              </w:rPr>
              <w:t>v</w:t>
            </w:r>
            <w:r w:rsidRPr="005B4AF3">
              <w:rPr>
                <w:i/>
                <w:iCs/>
                <w:vertAlign w:val="subscript"/>
              </w:rPr>
              <w:t>M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emb</w:t>
            </w:r>
            <w:proofErr w:type="spellEnd"/>
            <w:r w:rsidRPr="005B4AF3">
              <w:rPr>
                <w:i/>
                <w:iCs/>
              </w:rPr>
              <w:t xml:space="preserve"> + </w:t>
            </w:r>
            <w:proofErr w:type="spellStart"/>
            <w:r w:rsidRPr="005B4AF3">
              <w:rPr>
                <w:rFonts w:cs="Times New Roman"/>
                <w:i/>
                <w:iCs/>
              </w:rPr>
              <w:t>μ</w:t>
            </w:r>
            <w:r w:rsidRPr="005B4AF3">
              <w:rPr>
                <w:i/>
                <w:iCs/>
                <w:vertAlign w:val="subscript"/>
              </w:rPr>
              <w:t>lar</w:t>
            </w:r>
            <w:proofErr w:type="spellEnd"/>
          </w:p>
        </w:tc>
        <w:tc>
          <w:tcPr>
            <w:tcW w:w="3150" w:type="dxa"/>
          </w:tcPr>
          <w:p w14:paraId="689B5344" w14:textId="75BA96FF" w:rsidR="00BB2648" w:rsidRPr="005B4AF3" w:rsidRDefault="00BB2648" w:rsidP="009966D1">
            <w:pPr>
              <w:pStyle w:val="TS"/>
            </w:pPr>
            <w:r w:rsidRPr="005B4AF3">
              <w:t>1.981 [1.700, 2.456]</w:t>
            </w:r>
          </w:p>
        </w:tc>
        <w:tc>
          <w:tcPr>
            <w:tcW w:w="1260" w:type="dxa"/>
          </w:tcPr>
          <w:p w14:paraId="29D644BA" w14:textId="316569B7" w:rsidR="00BB2648" w:rsidRPr="005B4AF3" w:rsidRDefault="00BB2648" w:rsidP="009966D1">
            <w:pPr>
              <w:pStyle w:val="TS"/>
            </w:pPr>
            <w:r w:rsidRPr="005B4AF3">
              <w:t>795.97</w:t>
            </w:r>
          </w:p>
        </w:tc>
        <w:tc>
          <w:tcPr>
            <w:tcW w:w="1260" w:type="dxa"/>
          </w:tcPr>
          <w:p w14:paraId="1C175210" w14:textId="26E84CB5" w:rsidR="00BB2648" w:rsidRPr="005B4AF3" w:rsidRDefault="005B4AF3" w:rsidP="009966D1">
            <w:pPr>
              <w:pStyle w:val="TS"/>
            </w:pPr>
            <w:r w:rsidRPr="005B4AF3">
              <w:t>1.94</w:t>
            </w:r>
          </w:p>
        </w:tc>
        <w:tc>
          <w:tcPr>
            <w:tcW w:w="1260" w:type="dxa"/>
          </w:tcPr>
          <w:p w14:paraId="45B3F605" w14:textId="6DC754F7" w:rsidR="00BB2648" w:rsidRPr="005B4AF3" w:rsidRDefault="005B4AF3" w:rsidP="009966D1">
            <w:pPr>
              <w:pStyle w:val="TS"/>
            </w:pPr>
            <w:r w:rsidRPr="005B4AF3">
              <w:t>0.27</w:t>
            </w:r>
          </w:p>
        </w:tc>
      </w:tr>
    </w:tbl>
    <w:p w14:paraId="7D0DFE8F" w14:textId="77777777" w:rsidR="00C5671E" w:rsidRDefault="00C5671E" w:rsidP="00233C69">
      <w:pPr>
        <w:pStyle w:val="TS"/>
      </w:pPr>
    </w:p>
    <w:p w14:paraId="6BDD5567" w14:textId="1080C94C" w:rsidR="005B4AF3" w:rsidRPr="005B4AF3" w:rsidRDefault="005B4AF3" w:rsidP="00233C69">
      <w:pPr>
        <w:pStyle w:val="TS"/>
      </w:pPr>
      <w:r>
        <w:t xml:space="preserve">The model with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VA</w:t>
      </w:r>
      <w:proofErr w:type="spellEnd"/>
      <w:r>
        <w:t xml:space="preserve">, </w:t>
      </w:r>
      <w:proofErr w:type="spellStart"/>
      <w:r>
        <w:rPr>
          <w:rFonts w:cs="Times New Roman"/>
          <w:i/>
          <w:iCs/>
        </w:rPr>
        <w:t>μ</w:t>
      </w:r>
      <w:r>
        <w:rPr>
          <w:i/>
          <w:iCs/>
          <w:vertAlign w:val="subscript"/>
        </w:rPr>
        <w:t>emb</w:t>
      </w:r>
      <w:proofErr w:type="spellEnd"/>
      <w:r>
        <w:t xml:space="preserve">, and </w:t>
      </w:r>
      <w:proofErr w:type="spellStart"/>
      <w:r>
        <w:rPr>
          <w:rFonts w:cs="Times New Roman"/>
          <w:i/>
          <w:iCs/>
        </w:rPr>
        <w:t>μ</w:t>
      </w:r>
      <w:r>
        <w:rPr>
          <w:i/>
          <w:iCs/>
          <w:vertAlign w:val="subscript"/>
        </w:rPr>
        <w:t>lar</w:t>
      </w:r>
      <w:proofErr w:type="spellEnd"/>
      <w:r>
        <w:t xml:space="preserve"> is 0.72/0.27=2.667 times as likely as the one that additionally has </w:t>
      </w:r>
      <w:proofErr w:type="spellStart"/>
      <w:r>
        <w:rPr>
          <w:i/>
          <w:iCs/>
        </w:rPr>
        <w:t>J</w:t>
      </w:r>
      <w:r>
        <w:rPr>
          <w:i/>
          <w:iCs/>
          <w:vertAlign w:val="superscript"/>
        </w:rPr>
        <w:t>v</w:t>
      </w:r>
      <w:r>
        <w:rPr>
          <w:i/>
          <w:iCs/>
          <w:vertAlign w:val="subscript"/>
        </w:rPr>
        <w:t>M</w:t>
      </w:r>
      <w:proofErr w:type="spellEnd"/>
      <w:r>
        <w:t xml:space="preserve">. </w:t>
      </w:r>
    </w:p>
    <w:sectPr w:rsidR="005B4AF3" w:rsidRPr="005B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97E"/>
    <w:multiLevelType w:val="hybridMultilevel"/>
    <w:tmpl w:val="668A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716"/>
    <w:multiLevelType w:val="hybridMultilevel"/>
    <w:tmpl w:val="2E54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F5A7E"/>
    <w:multiLevelType w:val="hybridMultilevel"/>
    <w:tmpl w:val="B05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97AE4"/>
    <w:multiLevelType w:val="hybridMultilevel"/>
    <w:tmpl w:val="8D1A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57338">
    <w:abstractNumId w:val="2"/>
  </w:num>
  <w:num w:numId="2" w16cid:durableId="1967739662">
    <w:abstractNumId w:val="1"/>
  </w:num>
  <w:num w:numId="3" w16cid:durableId="1470971826">
    <w:abstractNumId w:val="3"/>
  </w:num>
  <w:num w:numId="4" w16cid:durableId="63113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C"/>
    <w:rsid w:val="00072F46"/>
    <w:rsid w:val="000D25A3"/>
    <w:rsid w:val="00112173"/>
    <w:rsid w:val="001172C0"/>
    <w:rsid w:val="001873A8"/>
    <w:rsid w:val="00233C69"/>
    <w:rsid w:val="00242824"/>
    <w:rsid w:val="00440D59"/>
    <w:rsid w:val="00470E85"/>
    <w:rsid w:val="004F156C"/>
    <w:rsid w:val="00515103"/>
    <w:rsid w:val="00565C03"/>
    <w:rsid w:val="005B4AF3"/>
    <w:rsid w:val="006F4AC3"/>
    <w:rsid w:val="00777BE1"/>
    <w:rsid w:val="007937BB"/>
    <w:rsid w:val="00830384"/>
    <w:rsid w:val="008E6A83"/>
    <w:rsid w:val="00927F6F"/>
    <w:rsid w:val="009C03C6"/>
    <w:rsid w:val="00AE4E39"/>
    <w:rsid w:val="00BB2648"/>
    <w:rsid w:val="00C1499C"/>
    <w:rsid w:val="00C5671E"/>
    <w:rsid w:val="00DE138F"/>
    <w:rsid w:val="00E83445"/>
    <w:rsid w:val="00FB3DD0"/>
    <w:rsid w:val="00F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0665"/>
  <w15:docId w15:val="{655B16B7-B6B8-421C-92AF-9CF5234C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table" w:styleId="TableGrid">
    <w:name w:val="Table Grid"/>
    <w:basedOn w:val="TableNormal"/>
    <w:uiPriority w:val="39"/>
    <w:rsid w:val="0083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7</cp:revision>
  <dcterms:created xsi:type="dcterms:W3CDTF">2023-12-16T17:56:00Z</dcterms:created>
  <dcterms:modified xsi:type="dcterms:W3CDTF">2023-12-21T00:07:00Z</dcterms:modified>
</cp:coreProperties>
</file>