
<file path=[Content_Types].xml><?xml version="1.0" encoding="utf-8"?>
<Types xmlns="http://schemas.openxmlformats.org/package/2006/content-types">
  <Default Extension="bin" ContentType="application/vnd.openxmlformats-officedocument.oleObject"/>
  <Default Extension="png" ContentType="image/png"/>
  <Default Extension="svg" ContentType="image/svg+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688E" w:rsidRDefault="00B14094" w:rsidP="004947CC">
      <w:pPr>
        <w:rPr>
          <w:rFonts w:ascii="Times New Roman" w:hAnsi="Times New Roman" w:cs="Times New Roman"/>
          <w:b/>
          <w:sz w:val="24"/>
          <w:szCs w:val="24"/>
        </w:rPr>
      </w:pPr>
      <w:r w:rsidRPr="006E4DC9">
        <w:rPr>
          <w:rFonts w:ascii="Times New Roman" w:hAnsi="Times New Roman" w:cs="Times New Roman"/>
          <w:b/>
          <w:sz w:val="24"/>
          <w:szCs w:val="24"/>
        </w:rPr>
        <w:t xml:space="preserve">Inhibition and Damage </w:t>
      </w:r>
      <w:r w:rsidR="0055688E">
        <w:rPr>
          <w:rFonts w:ascii="Times New Roman" w:hAnsi="Times New Roman" w:cs="Times New Roman"/>
          <w:b/>
          <w:sz w:val="24"/>
          <w:szCs w:val="24"/>
        </w:rPr>
        <w:t xml:space="preserve">in </w:t>
      </w:r>
      <w:proofErr w:type="spellStart"/>
      <w:r w:rsidR="0055688E">
        <w:rPr>
          <w:rFonts w:ascii="Times New Roman" w:hAnsi="Times New Roman" w:cs="Times New Roman"/>
          <w:b/>
          <w:sz w:val="24"/>
          <w:szCs w:val="24"/>
        </w:rPr>
        <w:t>DEBkiss</w:t>
      </w:r>
      <w:proofErr w:type="spellEnd"/>
      <w:r w:rsidR="00581ACC">
        <w:rPr>
          <w:rFonts w:ascii="Times New Roman" w:hAnsi="Times New Roman" w:cs="Times New Roman"/>
          <w:b/>
          <w:sz w:val="24"/>
          <w:szCs w:val="24"/>
        </w:rPr>
        <w:t xml:space="preserve"> (</w:t>
      </w:r>
      <w:r w:rsidR="00AC68B0">
        <w:rPr>
          <w:rFonts w:ascii="Times New Roman" w:hAnsi="Times New Roman" w:cs="Times New Roman"/>
          <w:b/>
          <w:sz w:val="24"/>
          <w:szCs w:val="24"/>
        </w:rPr>
        <w:t xml:space="preserve">same concepts as </w:t>
      </w:r>
      <w:r w:rsidR="00581ACC">
        <w:rPr>
          <w:rFonts w:ascii="Times New Roman" w:hAnsi="Times New Roman" w:cs="Times New Roman"/>
          <w:b/>
          <w:sz w:val="24"/>
          <w:szCs w:val="24"/>
        </w:rPr>
        <w:t xml:space="preserve">earlier notes </w:t>
      </w:r>
      <w:r w:rsidR="00AC68B0">
        <w:rPr>
          <w:rFonts w:ascii="Times New Roman" w:hAnsi="Times New Roman" w:cs="Times New Roman"/>
          <w:b/>
          <w:sz w:val="24"/>
          <w:szCs w:val="24"/>
        </w:rPr>
        <w:t xml:space="preserve">but </w:t>
      </w:r>
      <w:r w:rsidR="00581ACC">
        <w:rPr>
          <w:rFonts w:ascii="Times New Roman" w:hAnsi="Times New Roman" w:cs="Times New Roman"/>
          <w:b/>
          <w:sz w:val="24"/>
          <w:szCs w:val="24"/>
        </w:rPr>
        <w:t>with formulae)</w:t>
      </w:r>
    </w:p>
    <w:p w:rsidR="00EE4F25" w:rsidRDefault="00EE4F25" w:rsidP="004947CC">
      <w:pPr>
        <w:rPr>
          <w:rFonts w:ascii="Times New Roman" w:hAnsi="Times New Roman" w:cs="Times New Roman"/>
          <w:b/>
          <w:sz w:val="24"/>
          <w:szCs w:val="24"/>
        </w:rPr>
      </w:pPr>
      <w:r>
        <w:rPr>
          <w:rFonts w:ascii="Times New Roman" w:hAnsi="Times New Roman" w:cs="Times New Roman"/>
          <w:b/>
          <w:sz w:val="24"/>
          <w:szCs w:val="24"/>
        </w:rPr>
        <w:t>RMN: 11/9/23</w:t>
      </w:r>
    </w:p>
    <w:p w:rsidR="004947CC" w:rsidRDefault="0055688E" w:rsidP="004947CC">
      <w:pPr>
        <w:rPr>
          <w:rFonts w:ascii="Times New Roman" w:hAnsi="Times New Roman" w:cs="Times New Roman"/>
          <w:b/>
          <w:sz w:val="24"/>
          <w:szCs w:val="24"/>
        </w:rPr>
      </w:pPr>
      <w:r>
        <w:rPr>
          <w:rFonts w:ascii="Times New Roman" w:hAnsi="Times New Roman" w:cs="Times New Roman"/>
          <w:sz w:val="24"/>
          <w:szCs w:val="24"/>
        </w:rPr>
        <w:t xml:space="preserve">According to </w:t>
      </w:r>
      <w:r w:rsidR="006E4DC9">
        <w:rPr>
          <w:rFonts w:ascii="Times New Roman" w:hAnsi="Times New Roman" w:cs="Times New Roman"/>
          <w:sz w:val="24"/>
          <w:szCs w:val="24"/>
        </w:rPr>
        <w:t>Muller et al. (2019):</w:t>
      </w:r>
    </w:p>
    <w:p w:rsidR="006E4DC9" w:rsidRDefault="004947CC" w:rsidP="004947CC">
      <w:pPr>
        <w:rPr>
          <w:rFonts w:ascii="Times New Roman" w:hAnsi="Times New Roman" w:cs="Times New Roman"/>
          <w:i/>
          <w:sz w:val="24"/>
          <w:szCs w:val="24"/>
        </w:rPr>
      </w:pPr>
      <w:r w:rsidRPr="004947CC">
        <w:rPr>
          <w:rFonts w:ascii="Times New Roman" w:hAnsi="Times New Roman" w:cs="Times New Roman"/>
          <w:i/>
          <w:sz w:val="24"/>
          <w:szCs w:val="24"/>
        </w:rPr>
        <w:t>Inhibition is the process by which a compound reversibly binds to an enzyme and thereby impedes its activity; enzymatic activity is fully restored upon dissociation of the inhibitor.</w:t>
      </w:r>
    </w:p>
    <w:p w:rsidR="004947CC" w:rsidRDefault="0048002F" w:rsidP="004947CC">
      <w:pPr>
        <w:rPr>
          <w:rFonts w:ascii="Times New Roman" w:hAnsi="Times New Roman" w:cs="Times New Roman"/>
          <w:sz w:val="24"/>
          <w:szCs w:val="24"/>
        </w:rPr>
      </w:pPr>
      <w:r>
        <w:rPr>
          <w:rFonts w:ascii="Times New Roman" w:hAnsi="Times New Roman" w:cs="Times New Roman"/>
          <w:i/>
          <w:sz w:val="24"/>
          <w:szCs w:val="24"/>
        </w:rPr>
        <w:t>Damage is</w:t>
      </w:r>
      <w:r w:rsidR="004947CC">
        <w:rPr>
          <w:rFonts w:ascii="Times New Roman" w:hAnsi="Times New Roman" w:cs="Times New Roman"/>
          <w:sz w:val="24"/>
          <w:szCs w:val="24"/>
        </w:rPr>
        <w:t xml:space="preserve"> </w:t>
      </w:r>
      <w:r w:rsidR="004947CC" w:rsidRPr="004947CC">
        <w:rPr>
          <w:rFonts w:ascii="Times New Roman" w:hAnsi="Times New Roman" w:cs="Times New Roman"/>
          <w:i/>
          <w:sz w:val="24"/>
          <w:szCs w:val="24"/>
        </w:rPr>
        <w:t>the process by which a detrimental agent irreversibly destroys the functionality of an SU, which then either needs to be replaced through de novo synthesis or requires restoration through a repair process</w:t>
      </w:r>
      <w:r w:rsidR="004947CC">
        <w:rPr>
          <w:rFonts w:ascii="Times New Roman" w:hAnsi="Times New Roman" w:cs="Times New Roman"/>
          <w:sz w:val="24"/>
          <w:szCs w:val="24"/>
        </w:rPr>
        <w:t xml:space="preserve">.  </w:t>
      </w:r>
    </w:p>
    <w:p w:rsidR="00893B32" w:rsidRPr="00893B32" w:rsidRDefault="00893B32" w:rsidP="004947CC">
      <w:pPr>
        <w:rPr>
          <w:rFonts w:ascii="Times New Roman" w:hAnsi="Times New Roman" w:cs="Times New Roman"/>
          <w:b/>
          <w:sz w:val="24"/>
          <w:szCs w:val="24"/>
        </w:rPr>
      </w:pPr>
      <w:r w:rsidRPr="00893B32">
        <w:rPr>
          <w:rFonts w:ascii="Times New Roman" w:hAnsi="Times New Roman" w:cs="Times New Roman"/>
          <w:b/>
          <w:sz w:val="24"/>
          <w:szCs w:val="24"/>
        </w:rPr>
        <w:t>Inhibition of assimilation</w:t>
      </w:r>
    </w:p>
    <w:p w:rsidR="00581ACC" w:rsidRPr="00893B32" w:rsidRDefault="00CD1D6D" w:rsidP="004947CC">
      <w:pPr>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DEBkiss</w:t>
      </w:r>
      <w:proofErr w:type="spellEnd"/>
      <w:r>
        <w:rPr>
          <w:rFonts w:ascii="Times New Roman" w:hAnsi="Times New Roman" w:cs="Times New Roman"/>
          <w:sz w:val="24"/>
          <w:szCs w:val="24"/>
        </w:rPr>
        <w:t xml:space="preserve">, all biosynthesis processes have rates proportional to </w:t>
      </w:r>
      <w:r w:rsidR="0048002F">
        <w:rPr>
          <w:rFonts w:ascii="Times New Roman" w:hAnsi="Times New Roman" w:cs="Times New Roman"/>
          <w:sz w:val="24"/>
          <w:szCs w:val="24"/>
        </w:rPr>
        <w:t>the assimilation rate</w:t>
      </w:r>
      <w:r w:rsidRPr="00CD1D6D">
        <w:rPr>
          <w:rFonts w:ascii="Times New Roman" w:hAnsi="Times New Roman" w:cs="Times New Roman"/>
          <w:position w:val="-12"/>
          <w:sz w:val="24"/>
          <w:szCs w:val="24"/>
        </w:rPr>
        <w:object w:dxaOrig="12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15pt;height:19.15pt" o:ole="">
            <v:imagedata r:id="rId7" o:title=""/>
          </v:shape>
          <o:OLEObject Type="Embed" ProgID="Equation.DSMT4" ShapeID="_x0000_i1025" DrawAspect="Content" ObjectID="_1761044430" r:id="rId8"/>
        </w:object>
      </w:r>
      <w:r w:rsidR="009F360B">
        <w:rPr>
          <w:rFonts w:ascii="Times New Roman" w:hAnsi="Times New Roman" w:cs="Times New Roman"/>
          <w:sz w:val="24"/>
          <w:szCs w:val="24"/>
        </w:rPr>
        <w:t xml:space="preserve">.  The loss rate of egg buffer is equal to </w:t>
      </w:r>
      <w:r w:rsidR="009F360B" w:rsidRPr="009F360B">
        <w:rPr>
          <w:rFonts w:ascii="Times New Roman" w:hAnsi="Times New Roman" w:cs="Times New Roman"/>
          <w:position w:val="-12"/>
          <w:sz w:val="24"/>
          <w:szCs w:val="24"/>
        </w:rPr>
        <w:object w:dxaOrig="300" w:dyaOrig="360">
          <v:shape id="_x0000_i1026" type="#_x0000_t75" style="width:15.05pt;height:17.75pt" o:ole="">
            <v:imagedata r:id="rId9" o:title=""/>
          </v:shape>
          <o:OLEObject Type="Embed" ProgID="Equation.DSMT4" ShapeID="_x0000_i1026" DrawAspect="Content" ObjectID="_1761044431" r:id="rId10"/>
        </w:object>
      </w:r>
      <w:r w:rsidR="009F360B">
        <w:rPr>
          <w:rFonts w:ascii="Times New Roman" w:hAnsi="Times New Roman" w:cs="Times New Roman"/>
          <w:sz w:val="24"/>
          <w:szCs w:val="24"/>
        </w:rPr>
        <w:t xml:space="preserve"> </w:t>
      </w:r>
      <w:r w:rsidR="0048002F">
        <w:rPr>
          <w:rFonts w:ascii="Times New Roman" w:hAnsi="Times New Roman" w:cs="Times New Roman"/>
          <w:sz w:val="24"/>
          <w:szCs w:val="24"/>
        </w:rPr>
        <w:t>and</w:t>
      </w:r>
      <w:r w:rsidR="009F360B">
        <w:rPr>
          <w:rFonts w:ascii="Times New Roman" w:hAnsi="Times New Roman" w:cs="Times New Roman"/>
          <w:sz w:val="24"/>
          <w:szCs w:val="24"/>
        </w:rPr>
        <w:t xml:space="preserve"> the material available to growth is </w:t>
      </w:r>
      <w:r w:rsidR="0048002F" w:rsidRPr="009F360B">
        <w:rPr>
          <w:rFonts w:ascii="Times New Roman" w:hAnsi="Times New Roman" w:cs="Times New Roman"/>
          <w:position w:val="-12"/>
          <w:sz w:val="24"/>
          <w:szCs w:val="24"/>
        </w:rPr>
        <w:object w:dxaOrig="740" w:dyaOrig="360">
          <v:shape id="_x0000_i1027" type="#_x0000_t75" style="width:36.9pt;height:17.75pt" o:ole="">
            <v:imagedata r:id="rId11" o:title=""/>
          </v:shape>
          <o:OLEObject Type="Embed" ProgID="Equation.DSMT4" ShapeID="_x0000_i1027" DrawAspect="Content" ObjectID="_1761044432" r:id="rId12"/>
        </w:object>
      </w:r>
      <w:r w:rsidR="009F360B">
        <w:rPr>
          <w:rFonts w:ascii="Times New Roman" w:hAnsi="Times New Roman" w:cs="Times New Roman"/>
          <w:sz w:val="24"/>
          <w:szCs w:val="24"/>
        </w:rPr>
        <w:t xml:space="preserve">.  Thus, with the </w:t>
      </w:r>
      <w:r w:rsidR="006F6E31">
        <w:rPr>
          <w:rFonts w:ascii="Times New Roman" w:hAnsi="Times New Roman" w:cs="Times New Roman"/>
          <w:sz w:val="24"/>
          <w:szCs w:val="24"/>
        </w:rPr>
        <w:t xml:space="preserve">strict </w:t>
      </w:r>
      <w:r w:rsidR="009F360B">
        <w:rPr>
          <w:rFonts w:ascii="Times New Roman" w:hAnsi="Times New Roman" w:cs="Times New Roman"/>
          <w:sz w:val="24"/>
          <w:szCs w:val="24"/>
        </w:rPr>
        <w:t xml:space="preserve">Muller et al definition, </w:t>
      </w:r>
      <w:r w:rsidR="009F360B" w:rsidRPr="00893B32">
        <w:rPr>
          <w:rFonts w:ascii="Times New Roman" w:hAnsi="Times New Roman" w:cs="Times New Roman"/>
          <w:sz w:val="24"/>
          <w:szCs w:val="24"/>
        </w:rPr>
        <w:t xml:space="preserve">inhibition </w:t>
      </w:r>
      <w:r w:rsidR="00893B32">
        <w:rPr>
          <w:rFonts w:ascii="Times New Roman" w:hAnsi="Times New Roman" w:cs="Times New Roman"/>
          <w:sz w:val="24"/>
          <w:szCs w:val="24"/>
        </w:rPr>
        <w:t>c</w:t>
      </w:r>
      <w:r w:rsidR="009F360B" w:rsidRPr="00893B32">
        <w:rPr>
          <w:rFonts w:ascii="Times New Roman" w:hAnsi="Times New Roman" w:cs="Times New Roman"/>
          <w:sz w:val="24"/>
          <w:szCs w:val="24"/>
        </w:rPr>
        <w:t>orrespond</w:t>
      </w:r>
      <w:r w:rsidR="00893B32">
        <w:rPr>
          <w:rFonts w:ascii="Times New Roman" w:hAnsi="Times New Roman" w:cs="Times New Roman"/>
          <w:sz w:val="24"/>
          <w:szCs w:val="24"/>
        </w:rPr>
        <w:t>s</w:t>
      </w:r>
      <w:r w:rsidR="009F360B" w:rsidRPr="00893B32">
        <w:rPr>
          <w:rFonts w:ascii="Times New Roman" w:hAnsi="Times New Roman" w:cs="Times New Roman"/>
          <w:sz w:val="24"/>
          <w:szCs w:val="24"/>
        </w:rPr>
        <w:t xml:space="preserve"> to a reduction in the assimilation parameter</w:t>
      </w:r>
      <w:r w:rsidR="009F360B" w:rsidRPr="00893B32">
        <w:rPr>
          <w:rFonts w:ascii="Times New Roman" w:hAnsi="Times New Roman" w:cs="Times New Roman"/>
          <w:position w:val="-12"/>
          <w:sz w:val="24"/>
          <w:szCs w:val="24"/>
        </w:rPr>
        <w:object w:dxaOrig="420" w:dyaOrig="380">
          <v:shape id="_x0000_i1028" type="#_x0000_t75" style="width:20.95pt;height:19.15pt" o:ole="">
            <v:imagedata r:id="rId13" o:title=""/>
          </v:shape>
          <o:OLEObject Type="Embed" ProgID="Equation.DSMT4" ShapeID="_x0000_i1028" DrawAspect="Content" ObjectID="_1761044433" r:id="rId14"/>
        </w:object>
      </w:r>
      <w:r w:rsidR="009F360B" w:rsidRPr="00893B32">
        <w:rPr>
          <w:rFonts w:ascii="Times New Roman" w:hAnsi="Times New Roman" w:cs="Times New Roman"/>
          <w:sz w:val="24"/>
          <w:szCs w:val="24"/>
        </w:rPr>
        <w:t>but NOT a change in any yield coefficients</w:t>
      </w:r>
      <w:r w:rsidR="007250EF" w:rsidRPr="00893B32">
        <w:rPr>
          <w:rFonts w:ascii="Times New Roman" w:hAnsi="Times New Roman" w:cs="Times New Roman"/>
          <w:sz w:val="24"/>
          <w:szCs w:val="24"/>
        </w:rPr>
        <w:t xml:space="preserve">.  </w:t>
      </w:r>
    </w:p>
    <w:p w:rsidR="002869C3" w:rsidRDefault="00581ACC" w:rsidP="004947CC">
      <w:pPr>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DEBkiss</w:t>
      </w:r>
      <w:proofErr w:type="spellEnd"/>
      <w:r w:rsidR="006F6E31">
        <w:rPr>
          <w:rFonts w:ascii="Times New Roman" w:hAnsi="Times New Roman" w:cs="Times New Roman"/>
          <w:sz w:val="24"/>
          <w:szCs w:val="24"/>
        </w:rPr>
        <w:t>,</w:t>
      </w:r>
      <w:r>
        <w:rPr>
          <w:rFonts w:ascii="Times New Roman" w:hAnsi="Times New Roman" w:cs="Times New Roman"/>
          <w:sz w:val="24"/>
          <w:szCs w:val="24"/>
        </w:rPr>
        <w:t xml:space="preserve"> assimilation can be regarded as processing of </w:t>
      </w:r>
      <w:r w:rsidR="00B82FE4">
        <w:rPr>
          <w:rFonts w:ascii="Times New Roman" w:hAnsi="Times New Roman" w:cs="Times New Roman"/>
          <w:sz w:val="24"/>
          <w:szCs w:val="24"/>
        </w:rPr>
        <w:t xml:space="preserve">single </w:t>
      </w:r>
      <w:r>
        <w:rPr>
          <w:rFonts w:ascii="Times New Roman" w:hAnsi="Times New Roman" w:cs="Times New Roman"/>
          <w:sz w:val="24"/>
          <w:szCs w:val="24"/>
        </w:rPr>
        <w:t>resource (e.g. food or yolk) by a SU</w:t>
      </w:r>
      <w:r w:rsidR="00B82FE4">
        <w:rPr>
          <w:rFonts w:ascii="Times New Roman" w:hAnsi="Times New Roman" w:cs="Times New Roman"/>
          <w:sz w:val="24"/>
          <w:szCs w:val="24"/>
        </w:rPr>
        <w:t xml:space="preserve"> (generalized enzyme).  </w:t>
      </w:r>
      <w:r w:rsidR="00B23DF3">
        <w:rPr>
          <w:rFonts w:ascii="Times New Roman" w:hAnsi="Times New Roman" w:cs="Times New Roman"/>
          <w:sz w:val="24"/>
          <w:szCs w:val="24"/>
        </w:rPr>
        <w:t xml:space="preserve">Muller et al, show 5 different ways in which an inhibitor can slow the process (their Fig 1) and consistent with (cumbersome) terminology used in enzyme kinetics refer to them as partial mixed, mixed, noncompetitive, competitive and uncompetitive inhibition. We have no data that would allow us to choose among these options, but it is helpful to note that with all options but one, the resulting formula for the flux involves terms </w:t>
      </w:r>
      <w:r w:rsidR="00AC68B0">
        <w:rPr>
          <w:rFonts w:ascii="Times New Roman" w:hAnsi="Times New Roman" w:cs="Times New Roman"/>
          <w:sz w:val="24"/>
          <w:szCs w:val="24"/>
        </w:rPr>
        <w:t>coupling</w:t>
      </w:r>
      <w:r w:rsidR="00B23DF3">
        <w:rPr>
          <w:rFonts w:ascii="Times New Roman" w:hAnsi="Times New Roman" w:cs="Times New Roman"/>
          <w:sz w:val="24"/>
          <w:szCs w:val="24"/>
        </w:rPr>
        <w:t xml:space="preserve"> resource density </w:t>
      </w:r>
      <w:r w:rsidR="00AC68B0">
        <w:rPr>
          <w:rFonts w:ascii="Times New Roman" w:hAnsi="Times New Roman" w:cs="Times New Roman"/>
          <w:sz w:val="24"/>
          <w:szCs w:val="24"/>
        </w:rPr>
        <w:t xml:space="preserve">and the half saturation constant for resource uptake </w:t>
      </w:r>
      <w:r w:rsidR="00B23DF3">
        <w:rPr>
          <w:rFonts w:ascii="Times New Roman" w:hAnsi="Times New Roman" w:cs="Times New Roman"/>
          <w:sz w:val="24"/>
          <w:szCs w:val="24"/>
        </w:rPr>
        <w:t>(not just the scaled functional response</w:t>
      </w:r>
      <w:r w:rsidR="00AC68B0">
        <w:rPr>
          <w:rFonts w:ascii="Times New Roman" w:hAnsi="Times New Roman" w:cs="Times New Roman"/>
          <w:sz w:val="24"/>
          <w:szCs w:val="24"/>
        </w:rPr>
        <w:t xml:space="preserve">, </w:t>
      </w:r>
      <w:r w:rsidR="00AC68B0">
        <w:rPr>
          <w:rFonts w:ascii="Times New Roman" w:hAnsi="Times New Roman" w:cs="Times New Roman"/>
          <w:i/>
          <w:sz w:val="24"/>
          <w:szCs w:val="24"/>
        </w:rPr>
        <w:t>f</w:t>
      </w:r>
      <w:r w:rsidR="00B23DF3">
        <w:rPr>
          <w:rFonts w:ascii="Times New Roman" w:hAnsi="Times New Roman" w:cs="Times New Roman"/>
          <w:sz w:val="24"/>
          <w:szCs w:val="24"/>
        </w:rPr>
        <w:t xml:space="preserve">) with a term characterizing the inhibitor.  </w:t>
      </w:r>
      <w:r w:rsidR="00AC68B0">
        <w:rPr>
          <w:rFonts w:ascii="Times New Roman" w:hAnsi="Times New Roman" w:cs="Times New Roman"/>
          <w:sz w:val="24"/>
          <w:szCs w:val="24"/>
        </w:rPr>
        <w:t xml:space="preserve">We have no information from which to infer the values of these quantities. </w:t>
      </w:r>
      <w:r w:rsidR="00B23DF3">
        <w:rPr>
          <w:rFonts w:ascii="Times New Roman" w:hAnsi="Times New Roman" w:cs="Times New Roman"/>
          <w:sz w:val="24"/>
          <w:szCs w:val="24"/>
        </w:rPr>
        <w:t>The exception</w:t>
      </w:r>
      <w:r w:rsidR="00AC68B0">
        <w:rPr>
          <w:rFonts w:ascii="Times New Roman" w:hAnsi="Times New Roman" w:cs="Times New Roman"/>
          <w:sz w:val="24"/>
          <w:szCs w:val="24"/>
        </w:rPr>
        <w:t>al option</w:t>
      </w:r>
      <w:r w:rsidR="00B23DF3">
        <w:rPr>
          <w:rFonts w:ascii="Times New Roman" w:hAnsi="Times New Roman" w:cs="Times New Roman"/>
          <w:sz w:val="24"/>
          <w:szCs w:val="24"/>
        </w:rPr>
        <w:t xml:space="preserve"> is </w:t>
      </w:r>
      <w:r w:rsidR="00B23DF3" w:rsidRPr="00B23DF3">
        <w:rPr>
          <w:rFonts w:ascii="Times New Roman" w:hAnsi="Times New Roman" w:cs="Times New Roman"/>
          <w:b/>
          <w:sz w:val="24"/>
          <w:szCs w:val="24"/>
        </w:rPr>
        <w:t>noncompetitive inhibition</w:t>
      </w:r>
      <w:r w:rsidR="00B23DF3">
        <w:rPr>
          <w:rFonts w:ascii="Times New Roman" w:hAnsi="Times New Roman" w:cs="Times New Roman"/>
          <w:sz w:val="24"/>
          <w:szCs w:val="24"/>
        </w:rPr>
        <w:t xml:space="preserve"> (Muller et al, eq 7)</w:t>
      </w:r>
      <w:r w:rsidR="000606AF">
        <w:rPr>
          <w:rFonts w:ascii="Times New Roman" w:hAnsi="Times New Roman" w:cs="Times New Roman"/>
          <w:sz w:val="24"/>
          <w:szCs w:val="24"/>
        </w:rPr>
        <w:t xml:space="preserve"> for which inhibition is represented by a multiplicative factor </w:t>
      </w:r>
      <w:r w:rsidR="00AE7063">
        <w:rPr>
          <w:rFonts w:ascii="Times New Roman" w:hAnsi="Times New Roman" w:cs="Times New Roman"/>
          <w:sz w:val="24"/>
          <w:szCs w:val="24"/>
        </w:rPr>
        <w:t xml:space="preserve">involving the flux of an inhibitor, represented by </w:t>
      </w:r>
      <w:r w:rsidR="00AE7063" w:rsidRPr="00AE7063">
        <w:rPr>
          <w:rFonts w:ascii="Times New Roman" w:hAnsi="Times New Roman" w:cs="Times New Roman"/>
          <w:position w:val="-12"/>
          <w:sz w:val="24"/>
          <w:szCs w:val="24"/>
        </w:rPr>
        <w:object w:dxaOrig="220" w:dyaOrig="360">
          <v:shape id="_x0000_i1029" type="#_x0000_t75" style="width:10.95pt;height:18.25pt" o:ole="">
            <v:imagedata r:id="rId15" o:title=""/>
          </v:shape>
          <o:OLEObject Type="Embed" ProgID="Equation.DSMT4" ShapeID="_x0000_i1029" DrawAspect="Content" ObjectID="_1761044434" r:id="rId16"/>
        </w:object>
      </w:r>
      <w:r w:rsidR="00AE7063">
        <w:rPr>
          <w:rFonts w:ascii="Times New Roman" w:hAnsi="Times New Roman" w:cs="Times New Roman"/>
          <w:sz w:val="24"/>
          <w:szCs w:val="24"/>
        </w:rPr>
        <w:t xml:space="preserve">.  </w:t>
      </w:r>
      <w:r w:rsidR="00AC68B0">
        <w:rPr>
          <w:rFonts w:ascii="Times New Roman" w:hAnsi="Times New Roman" w:cs="Times New Roman"/>
          <w:sz w:val="24"/>
          <w:szCs w:val="24"/>
        </w:rPr>
        <w:t xml:space="preserve">The distinguishing property of noncompetitive inhibition is that </w:t>
      </w:r>
      <w:r w:rsidR="002869C3">
        <w:rPr>
          <w:rFonts w:ascii="Times New Roman" w:hAnsi="Times New Roman" w:cs="Times New Roman"/>
          <w:sz w:val="24"/>
          <w:szCs w:val="24"/>
        </w:rPr>
        <w:t xml:space="preserve">the effect of the inhibitor (here, for example </w:t>
      </w:r>
      <w:r w:rsidR="002869C3">
        <w:rPr>
          <w:rFonts w:ascii="Times New Roman" w:hAnsi="Times New Roman" w:cs="Times New Roman"/>
          <w:sz w:val="24"/>
          <w:szCs w:val="24"/>
        </w:rPr>
        <w:t>IGFBP-1</w:t>
      </w:r>
      <w:r w:rsidR="002869C3">
        <w:rPr>
          <w:rFonts w:ascii="Times New Roman" w:hAnsi="Times New Roman" w:cs="Times New Roman"/>
          <w:sz w:val="24"/>
          <w:szCs w:val="24"/>
        </w:rPr>
        <w:t>) is the same for both SUs bound to substrate and free.</w:t>
      </w:r>
      <w:r w:rsidR="006F6E31">
        <w:rPr>
          <w:rFonts w:ascii="Times New Roman" w:hAnsi="Times New Roman" w:cs="Times New Roman"/>
          <w:sz w:val="24"/>
          <w:szCs w:val="24"/>
        </w:rPr>
        <w:t xml:space="preserve">  I suggest using this model because it has fewest data demands. </w:t>
      </w:r>
    </w:p>
    <w:p w:rsidR="00581ACC" w:rsidRPr="008E2772" w:rsidRDefault="002869C3" w:rsidP="004947CC">
      <w:pPr>
        <w:rPr>
          <w:rFonts w:ascii="Times New Roman" w:hAnsi="Times New Roman" w:cs="Times New Roman"/>
          <w:sz w:val="24"/>
          <w:szCs w:val="24"/>
        </w:rPr>
      </w:pPr>
      <w:r>
        <w:rPr>
          <w:rFonts w:ascii="Times New Roman" w:hAnsi="Times New Roman" w:cs="Times New Roman"/>
          <w:sz w:val="24"/>
          <w:szCs w:val="24"/>
        </w:rPr>
        <w:t>The Muller et al models assume an input flux of an inhibitor, denoted by</w:t>
      </w:r>
      <w:r w:rsidRPr="002869C3">
        <w:rPr>
          <w:rFonts w:ascii="Times New Roman" w:hAnsi="Times New Roman" w:cs="Times New Roman"/>
          <w:position w:val="-12"/>
          <w:sz w:val="24"/>
          <w:szCs w:val="24"/>
        </w:rPr>
        <w:object w:dxaOrig="220" w:dyaOrig="360">
          <v:shape id="_x0000_i1033" type="#_x0000_t75" style="width:10.95pt;height:18.25pt" o:ole="">
            <v:imagedata r:id="rId17" o:title=""/>
          </v:shape>
          <o:OLEObject Type="Embed" ProgID="Equation.DSMT4" ShapeID="_x0000_i1033" DrawAspect="Content" ObjectID="_1761044435" r:id="rId18"/>
        </w:object>
      </w:r>
      <w:r>
        <w:rPr>
          <w:rFonts w:ascii="Times New Roman" w:hAnsi="Times New Roman" w:cs="Times New Roman"/>
          <w:sz w:val="24"/>
          <w:szCs w:val="24"/>
        </w:rPr>
        <w:t xml:space="preserve">.  </w:t>
      </w:r>
      <w:r w:rsidR="008E2772">
        <w:rPr>
          <w:rFonts w:ascii="Times New Roman" w:hAnsi="Times New Roman" w:cs="Times New Roman"/>
          <w:sz w:val="24"/>
          <w:szCs w:val="24"/>
        </w:rPr>
        <w:t>It seems reasonable to assume that th</w:t>
      </w:r>
      <w:r w:rsidR="006F6E31">
        <w:rPr>
          <w:rFonts w:ascii="Times New Roman" w:hAnsi="Times New Roman" w:cs="Times New Roman"/>
          <w:sz w:val="24"/>
          <w:szCs w:val="24"/>
        </w:rPr>
        <w:t>is</w:t>
      </w:r>
      <w:r w:rsidR="008E2772">
        <w:rPr>
          <w:rFonts w:ascii="Times New Roman" w:hAnsi="Times New Roman" w:cs="Times New Roman"/>
          <w:sz w:val="24"/>
          <w:szCs w:val="24"/>
        </w:rPr>
        <w:t xml:space="preserve"> input of inhibitor decreases with </w:t>
      </w:r>
      <w:r w:rsidR="006F6E31">
        <w:rPr>
          <w:rFonts w:ascii="Times New Roman" w:hAnsi="Times New Roman" w:cs="Times New Roman"/>
          <w:sz w:val="24"/>
          <w:szCs w:val="24"/>
        </w:rPr>
        <w:t xml:space="preserve">increasing </w:t>
      </w:r>
      <w:r w:rsidR="008E2772">
        <w:rPr>
          <w:rFonts w:ascii="Times New Roman" w:hAnsi="Times New Roman" w:cs="Times New Roman"/>
          <w:sz w:val="24"/>
          <w:szCs w:val="24"/>
        </w:rPr>
        <w:t>DO and that it becomes very large as DO drops close to DO</w:t>
      </w:r>
      <w:r w:rsidR="008E2772">
        <w:rPr>
          <w:rFonts w:ascii="Times New Roman" w:hAnsi="Times New Roman" w:cs="Times New Roman"/>
          <w:sz w:val="24"/>
          <w:szCs w:val="24"/>
          <w:vertAlign w:val="subscript"/>
        </w:rPr>
        <w:t>C</w:t>
      </w:r>
      <w:r w:rsidR="008E2772">
        <w:rPr>
          <w:rFonts w:ascii="Times New Roman" w:hAnsi="Times New Roman" w:cs="Times New Roman"/>
          <w:sz w:val="24"/>
          <w:szCs w:val="24"/>
        </w:rPr>
        <w:t>.  One simple form with this property would be</w:t>
      </w:r>
    </w:p>
    <w:p w:rsidR="00AE7063" w:rsidRPr="00B23DF3" w:rsidRDefault="00AE7063" w:rsidP="004947CC">
      <w:pPr>
        <w:rPr>
          <w:rFonts w:ascii="Times New Roman" w:hAnsi="Times New Roman" w:cs="Times New Roman"/>
          <w:sz w:val="24"/>
          <w:szCs w:val="24"/>
        </w:rPr>
      </w:pPr>
      <w:r>
        <w:rPr>
          <w:rFonts w:ascii="Times New Roman" w:hAnsi="Times New Roman" w:cs="Times New Roman"/>
          <w:sz w:val="24"/>
          <w:szCs w:val="24"/>
        </w:rPr>
        <w:tab/>
      </w:r>
      <w:r w:rsidR="008E2772" w:rsidRPr="008E2772">
        <w:rPr>
          <w:rFonts w:ascii="Times New Roman" w:hAnsi="Times New Roman" w:cs="Times New Roman"/>
          <w:position w:val="-48"/>
          <w:sz w:val="24"/>
          <w:szCs w:val="24"/>
        </w:rPr>
        <w:object w:dxaOrig="3379" w:dyaOrig="1080">
          <v:shape id="_x0000_i1035" type="#_x0000_t75" style="width:169.05pt;height:54.25pt" o:ole="">
            <v:imagedata r:id="rId19" o:title=""/>
          </v:shape>
          <o:OLEObject Type="Embed" ProgID="Equation.DSMT4" ShapeID="_x0000_i1035" DrawAspect="Content" ObjectID="_1761044436" r:id="rId20"/>
        </w:object>
      </w:r>
      <w:r w:rsidR="008E2772">
        <w:rPr>
          <w:rFonts w:ascii="Times New Roman" w:hAnsi="Times New Roman" w:cs="Times New Roman"/>
          <w:sz w:val="24"/>
          <w:szCs w:val="24"/>
        </w:rPr>
        <w:tab/>
      </w:r>
      <w:r w:rsidR="008E2772">
        <w:rPr>
          <w:rFonts w:ascii="Times New Roman" w:hAnsi="Times New Roman" w:cs="Times New Roman"/>
          <w:sz w:val="24"/>
          <w:szCs w:val="24"/>
        </w:rPr>
        <w:tab/>
      </w:r>
      <w:r w:rsidR="008E2772">
        <w:rPr>
          <w:rFonts w:ascii="Times New Roman" w:hAnsi="Times New Roman" w:cs="Times New Roman"/>
          <w:sz w:val="24"/>
          <w:szCs w:val="24"/>
        </w:rPr>
        <w:tab/>
      </w:r>
      <w:r w:rsidR="008E2772">
        <w:rPr>
          <w:rFonts w:ascii="Times New Roman" w:hAnsi="Times New Roman" w:cs="Times New Roman"/>
          <w:sz w:val="24"/>
          <w:szCs w:val="24"/>
        </w:rPr>
        <w:tab/>
      </w:r>
      <w:r w:rsidR="008E2772">
        <w:rPr>
          <w:rFonts w:ascii="Times New Roman" w:hAnsi="Times New Roman" w:cs="Times New Roman"/>
          <w:sz w:val="24"/>
          <w:szCs w:val="24"/>
        </w:rPr>
        <w:tab/>
      </w:r>
      <w:r w:rsidR="008E2772">
        <w:rPr>
          <w:rFonts w:ascii="Times New Roman" w:hAnsi="Times New Roman" w:cs="Times New Roman"/>
          <w:sz w:val="24"/>
          <w:szCs w:val="24"/>
        </w:rPr>
        <w:tab/>
      </w:r>
      <w:r w:rsidR="008E2772">
        <w:rPr>
          <w:rFonts w:ascii="Times New Roman" w:hAnsi="Times New Roman" w:cs="Times New Roman"/>
          <w:sz w:val="24"/>
          <w:szCs w:val="24"/>
        </w:rPr>
        <w:tab/>
        <w:t>(1)</w:t>
      </w:r>
    </w:p>
    <w:p w:rsidR="00581ACC" w:rsidRDefault="008E2772" w:rsidP="004947CC">
      <w:pPr>
        <w:rPr>
          <w:rFonts w:ascii="Times New Roman" w:hAnsi="Times New Roman" w:cs="Times New Roman"/>
          <w:sz w:val="24"/>
          <w:szCs w:val="24"/>
        </w:rPr>
      </w:pPr>
      <w:r>
        <w:rPr>
          <w:rFonts w:ascii="Times New Roman" w:hAnsi="Times New Roman" w:cs="Times New Roman"/>
          <w:sz w:val="24"/>
          <w:szCs w:val="24"/>
        </w:rPr>
        <w:t xml:space="preserve">Eq. (7) in Muller et al, rewritten to match your </w:t>
      </w:r>
      <w:proofErr w:type="spellStart"/>
      <w:r>
        <w:rPr>
          <w:rFonts w:ascii="Times New Roman" w:hAnsi="Times New Roman" w:cs="Times New Roman"/>
          <w:sz w:val="24"/>
          <w:szCs w:val="24"/>
        </w:rPr>
        <w:t>DEBkiss</w:t>
      </w:r>
      <w:proofErr w:type="spellEnd"/>
      <w:r>
        <w:rPr>
          <w:rFonts w:ascii="Times New Roman" w:hAnsi="Times New Roman" w:cs="Times New Roman"/>
          <w:sz w:val="24"/>
          <w:szCs w:val="24"/>
        </w:rPr>
        <w:t xml:space="preserve"> notation would </w:t>
      </w:r>
      <w:r w:rsidR="006F6E31">
        <w:rPr>
          <w:rFonts w:ascii="Times New Roman" w:hAnsi="Times New Roman" w:cs="Times New Roman"/>
          <w:sz w:val="24"/>
          <w:szCs w:val="24"/>
        </w:rPr>
        <w:t xml:space="preserve">then </w:t>
      </w:r>
      <w:r>
        <w:rPr>
          <w:rFonts w:ascii="Times New Roman" w:hAnsi="Times New Roman" w:cs="Times New Roman"/>
          <w:sz w:val="24"/>
          <w:szCs w:val="24"/>
        </w:rPr>
        <w:t>have the form</w:t>
      </w:r>
      <w:r w:rsidR="00F81656">
        <w:rPr>
          <w:rStyle w:val="FootnoteReference"/>
          <w:rFonts w:ascii="Times New Roman" w:hAnsi="Times New Roman" w:cs="Times New Roman"/>
          <w:sz w:val="24"/>
          <w:szCs w:val="24"/>
        </w:rPr>
        <w:footnoteReference w:id="1"/>
      </w:r>
    </w:p>
    <w:p w:rsidR="008E2772" w:rsidRDefault="00F81656" w:rsidP="004947CC">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B10845" w:rsidRPr="00B10845">
        <w:rPr>
          <w:rFonts w:ascii="Times New Roman" w:hAnsi="Times New Roman" w:cs="Times New Roman"/>
          <w:position w:val="-62"/>
          <w:sz w:val="24"/>
          <w:szCs w:val="24"/>
        </w:rPr>
        <w:object w:dxaOrig="2020" w:dyaOrig="1359">
          <v:shape id="_x0000_i1053" type="#_x0000_t75" style="width:101.15pt;height:68.35pt" o:ole="">
            <v:imagedata r:id="rId21" o:title=""/>
          </v:shape>
          <o:OLEObject Type="Embed" ProgID="Equation.DSMT4" ShapeID="_x0000_i1053" DrawAspect="Content" ObjectID="_1761044437" r:id="rId22"/>
        </w:object>
      </w:r>
      <w:r w:rsidR="006F6E31">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10845">
        <w:rPr>
          <w:rFonts w:ascii="Times New Roman" w:hAnsi="Times New Roman" w:cs="Times New Roman"/>
          <w:sz w:val="24"/>
          <w:szCs w:val="24"/>
        </w:rPr>
        <w:tab/>
      </w:r>
      <w:r w:rsidR="00B10845">
        <w:rPr>
          <w:rFonts w:ascii="Times New Roman" w:hAnsi="Times New Roman" w:cs="Times New Roman"/>
          <w:sz w:val="24"/>
          <w:szCs w:val="24"/>
        </w:rPr>
        <w:tab/>
      </w:r>
      <w:r w:rsidR="00B10845">
        <w:rPr>
          <w:rFonts w:ascii="Times New Roman" w:hAnsi="Times New Roman" w:cs="Times New Roman"/>
          <w:sz w:val="24"/>
          <w:szCs w:val="24"/>
        </w:rPr>
        <w:tab/>
      </w:r>
      <w:r>
        <w:rPr>
          <w:rFonts w:ascii="Times New Roman" w:hAnsi="Times New Roman" w:cs="Times New Roman"/>
          <w:sz w:val="24"/>
          <w:szCs w:val="24"/>
        </w:rPr>
        <w:t>(2)</w:t>
      </w:r>
    </w:p>
    <w:p w:rsidR="00F81656" w:rsidRDefault="006F6E31" w:rsidP="004947CC">
      <w:pPr>
        <w:rPr>
          <w:rFonts w:ascii="Times New Roman" w:hAnsi="Times New Roman" w:cs="Times New Roman"/>
          <w:sz w:val="24"/>
          <w:szCs w:val="24"/>
        </w:rPr>
      </w:pPr>
      <w:r>
        <w:rPr>
          <w:rFonts w:ascii="Times New Roman" w:hAnsi="Times New Roman" w:cs="Times New Roman"/>
          <w:sz w:val="24"/>
          <w:szCs w:val="24"/>
        </w:rPr>
        <w:t>and</w:t>
      </w:r>
      <w:r w:rsidR="00F81656">
        <w:rPr>
          <w:rFonts w:ascii="Times New Roman" w:hAnsi="Times New Roman" w:cs="Times New Roman"/>
          <w:sz w:val="24"/>
          <w:szCs w:val="24"/>
        </w:rPr>
        <w:t xml:space="preserve"> the “correction term” required for your model is</w:t>
      </w:r>
    </w:p>
    <w:p w:rsidR="00F81656" w:rsidRDefault="00F81656" w:rsidP="004947CC">
      <w:pPr>
        <w:rPr>
          <w:rFonts w:ascii="Times New Roman" w:hAnsi="Times New Roman" w:cs="Times New Roman"/>
          <w:sz w:val="24"/>
          <w:szCs w:val="24"/>
        </w:rPr>
      </w:pPr>
      <w:r>
        <w:rPr>
          <w:rFonts w:ascii="Times New Roman" w:hAnsi="Times New Roman" w:cs="Times New Roman"/>
          <w:sz w:val="24"/>
          <w:szCs w:val="24"/>
        </w:rPr>
        <w:tab/>
      </w:r>
      <w:r w:rsidRPr="00F81656">
        <w:rPr>
          <w:rFonts w:ascii="Times New Roman" w:hAnsi="Times New Roman" w:cs="Times New Roman"/>
          <w:position w:val="-60"/>
          <w:sz w:val="24"/>
          <w:szCs w:val="24"/>
        </w:rPr>
        <w:object w:dxaOrig="5179" w:dyaOrig="980">
          <v:shape id="_x0000_i1044" type="#_x0000_t75" style="width:258.85pt;height:49.2pt" o:ole="">
            <v:imagedata r:id="rId23" o:title=""/>
          </v:shape>
          <o:OLEObject Type="Embed" ProgID="Equation.DSMT4" ShapeID="_x0000_i1044" DrawAspect="Content" ObjectID="_1761044438" r:id="rId24"/>
        </w:object>
      </w:r>
      <w:r w:rsidR="00B10845">
        <w:rPr>
          <w:rFonts w:ascii="Times New Roman" w:hAnsi="Times New Roman" w:cs="Times New Roman"/>
          <w:sz w:val="24"/>
          <w:szCs w:val="24"/>
        </w:rPr>
        <w:t xml:space="preserve">    if </w:t>
      </w:r>
      <w:r w:rsidR="00B10845" w:rsidRPr="00B10845">
        <w:rPr>
          <w:rFonts w:ascii="Times New Roman" w:hAnsi="Times New Roman" w:cs="Times New Roman"/>
          <w:position w:val="-12"/>
          <w:sz w:val="24"/>
          <w:szCs w:val="24"/>
        </w:rPr>
        <w:object w:dxaOrig="1120" w:dyaOrig="360">
          <v:shape id="_x0000_i1047" type="#_x0000_t75" style="width:56.05pt;height:18.25pt" o:ole="">
            <v:imagedata r:id="rId25" o:title=""/>
          </v:shape>
          <o:OLEObject Type="Embed" ProgID="Equation.DSMT4" ShapeID="_x0000_i1047" DrawAspect="Content" ObjectID="_1761044439" r:id="rId26"/>
        </w:object>
      </w:r>
      <w:r w:rsidR="00B10845">
        <w:rPr>
          <w:rFonts w:ascii="Times New Roman" w:hAnsi="Times New Roman" w:cs="Times New Roman"/>
          <w:sz w:val="24"/>
          <w:szCs w:val="24"/>
        </w:rPr>
        <w:tab/>
      </w:r>
      <w:r w:rsidR="00B10845">
        <w:rPr>
          <w:rFonts w:ascii="Times New Roman" w:hAnsi="Times New Roman" w:cs="Times New Roman"/>
          <w:sz w:val="24"/>
          <w:szCs w:val="24"/>
        </w:rPr>
        <w:tab/>
        <w:t>(3)</w:t>
      </w:r>
    </w:p>
    <w:p w:rsidR="00F81656" w:rsidRDefault="00B10845" w:rsidP="004947CC">
      <w:pPr>
        <w:rPr>
          <w:rFonts w:ascii="Times New Roman" w:hAnsi="Times New Roman" w:cs="Times New Roman"/>
          <w:sz w:val="24"/>
          <w:szCs w:val="24"/>
        </w:rPr>
      </w:pPr>
      <w:r>
        <w:rPr>
          <w:rFonts w:ascii="Times New Roman" w:hAnsi="Times New Roman" w:cs="Times New Roman"/>
          <w:sz w:val="24"/>
          <w:szCs w:val="24"/>
        </w:rPr>
        <w:t xml:space="preserve">It would appear that we have two new parameters </w:t>
      </w:r>
      <w:proofErr w:type="spellStart"/>
      <w:r>
        <w:rPr>
          <w:rFonts w:ascii="Times New Roman" w:hAnsi="Times New Roman" w:cs="Times New Roman"/>
          <w:i/>
          <w:sz w:val="24"/>
          <w:szCs w:val="24"/>
        </w:rPr>
        <w:t>k</w:t>
      </w:r>
      <w:r>
        <w:rPr>
          <w:rFonts w:ascii="Times New Roman" w:hAnsi="Times New Roman" w:cs="Times New Roman"/>
          <w:i/>
          <w:sz w:val="24"/>
          <w:szCs w:val="24"/>
          <w:vertAlign w:val="subscript"/>
        </w:rPr>
        <w:t>i</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Z</w:t>
      </w:r>
      <w:r>
        <w:rPr>
          <w:rFonts w:ascii="Times New Roman" w:hAnsi="Times New Roman" w:cs="Times New Roman"/>
          <w:sz w:val="24"/>
          <w:szCs w:val="24"/>
        </w:rPr>
        <w:t xml:space="preserve">.  However only their product appears in the formula so there is no loss of generality in setting </w:t>
      </w:r>
      <w:proofErr w:type="spellStart"/>
      <w:r>
        <w:rPr>
          <w:rFonts w:ascii="Times New Roman" w:hAnsi="Times New Roman" w:cs="Times New Roman"/>
          <w:i/>
          <w:sz w:val="24"/>
          <w:szCs w:val="24"/>
        </w:rPr>
        <w:t>k</w:t>
      </w:r>
      <w:r>
        <w:rPr>
          <w:rFonts w:ascii="Times New Roman" w:hAnsi="Times New Roman" w:cs="Times New Roman"/>
          <w:i/>
          <w:sz w:val="24"/>
          <w:szCs w:val="24"/>
          <w:vertAlign w:val="subscript"/>
        </w:rPr>
        <w:t>i</w:t>
      </w:r>
      <w:proofErr w:type="spellEnd"/>
      <w:r>
        <w:rPr>
          <w:rFonts w:ascii="Times New Roman" w:hAnsi="Times New Roman" w:cs="Times New Roman"/>
          <w:sz w:val="24"/>
          <w:szCs w:val="24"/>
        </w:rPr>
        <w:t xml:space="preserve"> = 1</w:t>
      </w:r>
      <w:r w:rsidR="006F6E31">
        <w:rPr>
          <w:rFonts w:ascii="Times New Roman" w:hAnsi="Times New Roman" w:cs="Times New Roman"/>
          <w:sz w:val="24"/>
          <w:szCs w:val="24"/>
        </w:rPr>
        <w:t xml:space="preserve"> and getting</w:t>
      </w:r>
      <w:r>
        <w:rPr>
          <w:rFonts w:ascii="Times New Roman" w:hAnsi="Times New Roman" w:cs="Times New Roman"/>
          <w:sz w:val="24"/>
          <w:szCs w:val="24"/>
        </w:rPr>
        <w:t xml:space="preserve"> </w:t>
      </w:r>
    </w:p>
    <w:p w:rsidR="00B10845" w:rsidRPr="00B10845" w:rsidRDefault="00B10845" w:rsidP="004947CC">
      <w:pPr>
        <w:rPr>
          <w:rFonts w:ascii="Times New Roman" w:hAnsi="Times New Roman" w:cs="Times New Roman"/>
          <w:sz w:val="24"/>
          <w:szCs w:val="24"/>
        </w:rPr>
      </w:pPr>
      <w:r>
        <w:rPr>
          <w:rFonts w:ascii="Times New Roman" w:hAnsi="Times New Roman" w:cs="Times New Roman"/>
          <w:sz w:val="24"/>
          <w:szCs w:val="24"/>
        </w:rPr>
        <w:tab/>
      </w:r>
      <w:r w:rsidRPr="00B10845">
        <w:rPr>
          <w:rFonts w:ascii="Times New Roman" w:hAnsi="Times New Roman" w:cs="Times New Roman"/>
          <w:position w:val="-30"/>
          <w:sz w:val="24"/>
          <w:szCs w:val="24"/>
        </w:rPr>
        <w:object w:dxaOrig="2120" w:dyaOrig="680">
          <v:shape id="_x0000_i1050" type="#_x0000_t75" style="width:106.2pt;height:34.2pt" o:ole="">
            <v:imagedata r:id="rId27" o:title=""/>
          </v:shape>
          <o:OLEObject Type="Embed" ProgID="Equation.DSMT4" ShapeID="_x0000_i1050" DrawAspect="Content" ObjectID="_1761044440" r:id="rId28"/>
        </w:object>
      </w:r>
      <w:r>
        <w:rPr>
          <w:rFonts w:ascii="Times New Roman" w:hAnsi="Times New Roman" w:cs="Times New Roman"/>
          <w:sz w:val="24"/>
          <w:szCs w:val="24"/>
        </w:rPr>
        <w:t xml:space="preserve"> if </w:t>
      </w:r>
      <w:r w:rsidRPr="00B10845">
        <w:rPr>
          <w:rFonts w:ascii="Times New Roman" w:hAnsi="Times New Roman" w:cs="Times New Roman"/>
          <w:position w:val="-12"/>
          <w:sz w:val="24"/>
          <w:szCs w:val="24"/>
        </w:rPr>
        <w:object w:dxaOrig="1120" w:dyaOrig="360">
          <v:shape id="_x0000_i1054" type="#_x0000_t75" style="width:56.05pt;height:18.25pt" o:ole="">
            <v:imagedata r:id="rId25" o:title=""/>
          </v:shape>
          <o:OLEObject Type="Embed" ProgID="Equation.DSMT4" ShapeID="_x0000_i1054" DrawAspect="Content" ObjectID="_1761044441" r:id="rId29"/>
        </w:object>
      </w:r>
      <w:r>
        <w:rPr>
          <w:rFonts w:ascii="Times New Roman" w:hAnsi="Times New Roman" w:cs="Times New Roman"/>
          <w:sz w:val="24"/>
          <w:szCs w:val="24"/>
        </w:rPr>
        <w:t xml:space="preserve"> and </w:t>
      </w:r>
      <w:r w:rsidRPr="00B10845">
        <w:rPr>
          <w:rFonts w:ascii="Times New Roman" w:hAnsi="Times New Roman" w:cs="Times New Roman"/>
          <w:i/>
          <w:sz w:val="24"/>
          <w:szCs w:val="24"/>
        </w:rPr>
        <w:t>c</w:t>
      </w:r>
      <w:r>
        <w:rPr>
          <w:rFonts w:ascii="Times New Roman" w:hAnsi="Times New Roman" w:cs="Times New Roman"/>
          <w:sz w:val="24"/>
          <w:szCs w:val="24"/>
        </w:rPr>
        <w:t>=0 otherwise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rsidR="00581ACC" w:rsidRDefault="00893B32" w:rsidP="004947CC">
      <w:pPr>
        <w:rPr>
          <w:rFonts w:ascii="Times New Roman" w:hAnsi="Times New Roman" w:cs="Times New Roman"/>
          <w:sz w:val="24"/>
          <w:szCs w:val="24"/>
        </w:rPr>
      </w:pPr>
      <w:r>
        <w:rPr>
          <w:rFonts w:ascii="Times New Roman" w:hAnsi="Times New Roman" w:cs="Times New Roman"/>
          <w:sz w:val="24"/>
          <w:szCs w:val="24"/>
        </w:rPr>
        <w:t xml:space="preserve">Sample plots for this correction factor are show below.  I set </w:t>
      </w:r>
      <w:r w:rsidRPr="00893B32">
        <w:rPr>
          <w:rFonts w:ascii="Times New Roman" w:hAnsi="Times New Roman" w:cs="Times New Roman"/>
          <w:position w:val="-12"/>
          <w:sz w:val="24"/>
          <w:szCs w:val="24"/>
        </w:rPr>
        <w:object w:dxaOrig="1080" w:dyaOrig="360">
          <v:shape id="_x0000_i1059" type="#_x0000_t75" style="width:54.25pt;height:18.25pt" o:ole="">
            <v:imagedata r:id="rId30" o:title=""/>
          </v:shape>
          <o:OLEObject Type="Embed" ProgID="Equation.DSMT4" ShapeID="_x0000_i1059" DrawAspect="Content" ObjectID="_1761044442" r:id="rId31"/>
        </w:object>
      </w:r>
      <w:r>
        <w:rPr>
          <w:rFonts w:ascii="Times New Roman" w:hAnsi="Times New Roman" w:cs="Times New Roman"/>
          <w:sz w:val="24"/>
          <w:szCs w:val="24"/>
        </w:rPr>
        <w:t>, a visual estimate from your Fig 4.3</w:t>
      </w:r>
      <w:r w:rsidR="006F6E31">
        <w:rPr>
          <w:rFonts w:ascii="Times New Roman" w:hAnsi="Times New Roman" w:cs="Times New Roman"/>
          <w:sz w:val="24"/>
          <w:szCs w:val="24"/>
        </w:rPr>
        <w:t>.</w:t>
      </w:r>
    </w:p>
    <w:p w:rsidR="00581ACC" w:rsidRDefault="00893B32" w:rsidP="00893B32">
      <w:pPr>
        <w:jc w:val="center"/>
        <w:rPr>
          <w:rFonts w:ascii="Times New Roman" w:hAnsi="Times New Roman" w:cs="Times New Roman"/>
          <w:sz w:val="24"/>
          <w:szCs w:val="24"/>
        </w:rPr>
      </w:pPr>
      <w:r>
        <w:rPr>
          <w:noProof/>
        </w:rPr>
        <w:drawing>
          <wp:inline distT="0" distB="0" distL="0" distR="0" wp14:anchorId="2DE76FFC" wp14:editId="16B62C57">
            <wp:extent cx="4155311" cy="2886964"/>
            <wp:effectExtent l="0" t="0" r="0" b="889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96DAC541-7B7A-43D3-8B79-37D633B846F1}">
                          <asvg:svgBlip xmlns:asvg="http://schemas.microsoft.com/office/drawing/2016/SVG/main" r:embed="rId33"/>
                        </a:ext>
                      </a:extLst>
                    </a:blip>
                    <a:stretch>
                      <a:fillRect/>
                    </a:stretch>
                  </pic:blipFill>
                  <pic:spPr>
                    <a:xfrm>
                      <a:off x="0" y="0"/>
                      <a:ext cx="4161882" cy="2891529"/>
                    </a:xfrm>
                    <a:prstGeom prst="rect">
                      <a:avLst/>
                    </a:prstGeom>
                  </pic:spPr>
                </pic:pic>
              </a:graphicData>
            </a:graphic>
          </wp:inline>
        </w:drawing>
      </w:r>
    </w:p>
    <w:p w:rsidR="00893B32" w:rsidRDefault="00893B32" w:rsidP="004947CC">
      <w:pPr>
        <w:rPr>
          <w:rFonts w:ascii="Times New Roman" w:hAnsi="Times New Roman" w:cs="Times New Roman"/>
          <w:sz w:val="24"/>
          <w:szCs w:val="24"/>
        </w:rPr>
      </w:pPr>
    </w:p>
    <w:p w:rsidR="00893B32" w:rsidRPr="00893B32" w:rsidRDefault="00893B32" w:rsidP="004947CC">
      <w:pPr>
        <w:rPr>
          <w:rFonts w:ascii="Times New Roman" w:hAnsi="Times New Roman" w:cs="Times New Roman"/>
          <w:b/>
          <w:sz w:val="24"/>
          <w:szCs w:val="24"/>
        </w:rPr>
      </w:pPr>
      <w:r w:rsidRPr="00893B32">
        <w:rPr>
          <w:rFonts w:ascii="Times New Roman" w:hAnsi="Times New Roman" w:cs="Times New Roman"/>
          <w:b/>
          <w:sz w:val="24"/>
          <w:szCs w:val="24"/>
        </w:rPr>
        <w:t>Damage production</w:t>
      </w:r>
    </w:p>
    <w:p w:rsidR="001F00CF" w:rsidRDefault="00893B32" w:rsidP="004947CC">
      <w:pPr>
        <w:rPr>
          <w:rFonts w:ascii="Times New Roman" w:hAnsi="Times New Roman" w:cs="Times New Roman"/>
          <w:sz w:val="24"/>
          <w:szCs w:val="24"/>
        </w:rPr>
      </w:pPr>
      <w:r w:rsidRPr="00893B32">
        <w:rPr>
          <w:rFonts w:ascii="Times New Roman" w:hAnsi="Times New Roman" w:cs="Times New Roman"/>
          <w:sz w:val="24"/>
          <w:szCs w:val="24"/>
        </w:rPr>
        <w:t>D</w:t>
      </w:r>
      <w:r w:rsidR="009F360B" w:rsidRPr="00893B32">
        <w:rPr>
          <w:rFonts w:ascii="Times New Roman" w:hAnsi="Times New Roman" w:cs="Times New Roman"/>
          <w:sz w:val="24"/>
          <w:szCs w:val="24"/>
        </w:rPr>
        <w:t>amage</w:t>
      </w:r>
      <w:r w:rsidR="007250EF" w:rsidRPr="00893B32">
        <w:rPr>
          <w:rFonts w:ascii="Times New Roman" w:hAnsi="Times New Roman" w:cs="Times New Roman"/>
          <w:sz w:val="24"/>
          <w:szCs w:val="24"/>
        </w:rPr>
        <w:t xml:space="preserve"> can (directly or indirectly) </w:t>
      </w:r>
      <w:r w:rsidR="0099601A" w:rsidRPr="00893B32">
        <w:rPr>
          <w:rFonts w:ascii="Times New Roman" w:hAnsi="Times New Roman" w:cs="Times New Roman"/>
          <w:sz w:val="24"/>
          <w:szCs w:val="24"/>
        </w:rPr>
        <w:t xml:space="preserve">impact </w:t>
      </w:r>
      <w:r w:rsidR="007250EF" w:rsidRPr="00893B32">
        <w:rPr>
          <w:rFonts w:ascii="Times New Roman" w:hAnsi="Times New Roman" w:cs="Times New Roman"/>
          <w:sz w:val="24"/>
          <w:szCs w:val="24"/>
        </w:rPr>
        <w:t>any of the model parameters</w:t>
      </w:r>
      <w:r w:rsidR="0048002F" w:rsidRPr="00893B32">
        <w:rPr>
          <w:rFonts w:ascii="Times New Roman" w:hAnsi="Times New Roman" w:cs="Times New Roman"/>
          <w:sz w:val="24"/>
          <w:szCs w:val="24"/>
        </w:rPr>
        <w:t xml:space="preserve">, </w:t>
      </w:r>
      <w:r>
        <w:rPr>
          <w:rFonts w:ascii="Times New Roman" w:hAnsi="Times New Roman" w:cs="Times New Roman"/>
          <w:sz w:val="24"/>
          <w:szCs w:val="24"/>
        </w:rPr>
        <w:t>including</w:t>
      </w:r>
      <w:r w:rsidR="0048002F" w:rsidRPr="00893B32">
        <w:rPr>
          <w:rFonts w:ascii="Times New Roman" w:hAnsi="Times New Roman" w:cs="Times New Roman"/>
          <w:sz w:val="24"/>
          <w:szCs w:val="24"/>
        </w:rPr>
        <w:t xml:space="preserve"> yield </w:t>
      </w:r>
      <w:r w:rsidR="001F00CF" w:rsidRPr="00893B32">
        <w:rPr>
          <w:rFonts w:ascii="Times New Roman" w:hAnsi="Times New Roman" w:cs="Times New Roman"/>
          <w:sz w:val="24"/>
          <w:szCs w:val="24"/>
        </w:rPr>
        <w:t>coefficients</w:t>
      </w:r>
      <w:r w:rsidR="0048002F" w:rsidRPr="00893B32">
        <w:rPr>
          <w:rFonts w:ascii="Times New Roman" w:hAnsi="Times New Roman" w:cs="Times New Roman"/>
          <w:sz w:val="24"/>
          <w:szCs w:val="24"/>
        </w:rPr>
        <w:t>.</w:t>
      </w:r>
      <w:r>
        <w:rPr>
          <w:rFonts w:ascii="Times New Roman" w:hAnsi="Times New Roman" w:cs="Times New Roman"/>
          <w:sz w:val="24"/>
          <w:szCs w:val="24"/>
        </w:rPr>
        <w:t xml:space="preserve"> </w:t>
      </w:r>
      <w:r w:rsidR="001575C8">
        <w:rPr>
          <w:rFonts w:ascii="Times New Roman" w:hAnsi="Times New Roman" w:cs="Times New Roman"/>
          <w:sz w:val="24"/>
          <w:szCs w:val="24"/>
        </w:rPr>
        <w:t xml:space="preserve"> </w:t>
      </w:r>
      <w:r w:rsidR="000D2242">
        <w:rPr>
          <w:rFonts w:ascii="Times New Roman" w:hAnsi="Times New Roman" w:cs="Times New Roman"/>
          <w:sz w:val="24"/>
          <w:szCs w:val="24"/>
        </w:rPr>
        <w:t>Muller et al present explicit SU models for damage production, but</w:t>
      </w:r>
      <w:r w:rsidR="000D2242">
        <w:rPr>
          <w:rFonts w:ascii="Times New Roman" w:hAnsi="Times New Roman" w:cs="Times New Roman"/>
          <w:sz w:val="24"/>
          <w:szCs w:val="24"/>
        </w:rPr>
        <w:t xml:space="preserve"> a</w:t>
      </w:r>
      <w:r w:rsidR="001575C8">
        <w:rPr>
          <w:rFonts w:ascii="Times New Roman" w:hAnsi="Times New Roman" w:cs="Times New Roman"/>
          <w:sz w:val="24"/>
          <w:szCs w:val="24"/>
        </w:rPr>
        <w:t>bsent details on mechanisms</w:t>
      </w:r>
      <w:r w:rsidR="000D2242">
        <w:rPr>
          <w:rFonts w:ascii="Times New Roman" w:hAnsi="Times New Roman" w:cs="Times New Roman"/>
          <w:sz w:val="24"/>
          <w:szCs w:val="24"/>
        </w:rPr>
        <w:t>,</w:t>
      </w:r>
      <w:r w:rsidR="001575C8">
        <w:rPr>
          <w:rFonts w:ascii="Times New Roman" w:hAnsi="Times New Roman" w:cs="Times New Roman"/>
          <w:sz w:val="24"/>
          <w:szCs w:val="24"/>
        </w:rPr>
        <w:t xml:space="preserve"> I see little value in creating a </w:t>
      </w:r>
      <w:r>
        <w:rPr>
          <w:rFonts w:ascii="Times New Roman" w:hAnsi="Times New Roman" w:cs="Times New Roman"/>
          <w:sz w:val="24"/>
          <w:szCs w:val="24"/>
        </w:rPr>
        <w:t xml:space="preserve">new </w:t>
      </w:r>
      <w:r w:rsidR="001575C8">
        <w:rPr>
          <w:rFonts w:ascii="Times New Roman" w:hAnsi="Times New Roman" w:cs="Times New Roman"/>
          <w:sz w:val="24"/>
          <w:szCs w:val="24"/>
        </w:rPr>
        <w:t>damage module</w:t>
      </w:r>
      <w:r>
        <w:rPr>
          <w:rFonts w:ascii="Times New Roman" w:hAnsi="Times New Roman" w:cs="Times New Roman"/>
          <w:sz w:val="24"/>
          <w:szCs w:val="24"/>
        </w:rPr>
        <w:t xml:space="preserve"> with an additional state variable representing damage</w:t>
      </w:r>
      <w:r w:rsidR="001575C8">
        <w:rPr>
          <w:rFonts w:ascii="Times New Roman" w:hAnsi="Times New Roman" w:cs="Times New Roman"/>
          <w:sz w:val="24"/>
          <w:szCs w:val="24"/>
        </w:rPr>
        <w:t xml:space="preserve">.  </w:t>
      </w:r>
      <w:proofErr w:type="gramStart"/>
      <w:r w:rsidR="000D2242">
        <w:rPr>
          <w:rFonts w:ascii="Times New Roman" w:hAnsi="Times New Roman" w:cs="Times New Roman"/>
          <w:sz w:val="24"/>
          <w:szCs w:val="24"/>
        </w:rPr>
        <w:t>Indeed</w:t>
      </w:r>
      <w:proofErr w:type="gramEnd"/>
      <w:r w:rsidR="000D2242">
        <w:rPr>
          <w:rFonts w:ascii="Times New Roman" w:hAnsi="Times New Roman" w:cs="Times New Roman"/>
          <w:sz w:val="24"/>
          <w:szCs w:val="24"/>
        </w:rPr>
        <w:t xml:space="preserve"> Muller et al (last para of section 2.2) say that if damage production is much slower than the turnover of any of the SU states, damage models are </w:t>
      </w:r>
      <w:r w:rsidR="000D2242">
        <w:rPr>
          <w:rFonts w:ascii="Times New Roman" w:hAnsi="Times New Roman" w:cs="Times New Roman"/>
          <w:sz w:val="24"/>
          <w:szCs w:val="24"/>
        </w:rPr>
        <w:lastRenderedPageBreak/>
        <w:t xml:space="preserve">equivalent to analogous inhibition models.  This suggest to me that it is also defensible to apply the correction factor in equation (4) to yield </w:t>
      </w:r>
      <w:r w:rsidR="00EE4F25">
        <w:rPr>
          <w:rFonts w:ascii="Times New Roman" w:hAnsi="Times New Roman" w:cs="Times New Roman"/>
          <w:sz w:val="24"/>
          <w:szCs w:val="24"/>
        </w:rPr>
        <w:t>coefficients</w:t>
      </w:r>
      <w:r w:rsidR="0085202E">
        <w:rPr>
          <w:rFonts w:ascii="Times New Roman" w:hAnsi="Times New Roman" w:cs="Times New Roman"/>
          <w:sz w:val="24"/>
          <w:szCs w:val="24"/>
        </w:rPr>
        <w:t>, but now interpreted as damage rather than inhibition</w:t>
      </w:r>
      <w:bookmarkStart w:id="0" w:name="_GoBack"/>
      <w:bookmarkEnd w:id="0"/>
      <w:r w:rsidR="000D2242">
        <w:rPr>
          <w:rFonts w:ascii="Times New Roman" w:hAnsi="Times New Roman" w:cs="Times New Roman"/>
          <w:sz w:val="24"/>
          <w:szCs w:val="24"/>
        </w:rPr>
        <w:t>.</w:t>
      </w:r>
    </w:p>
    <w:p w:rsidR="000D2242" w:rsidRDefault="000D2242" w:rsidP="004947CC">
      <w:pPr>
        <w:rPr>
          <w:rFonts w:ascii="Times New Roman" w:hAnsi="Times New Roman" w:cs="Times New Roman"/>
          <w:b/>
          <w:sz w:val="24"/>
          <w:szCs w:val="24"/>
        </w:rPr>
      </w:pPr>
      <w:r w:rsidRPr="000D2242">
        <w:rPr>
          <w:rFonts w:ascii="Times New Roman" w:hAnsi="Times New Roman" w:cs="Times New Roman"/>
          <w:b/>
          <w:sz w:val="24"/>
          <w:szCs w:val="24"/>
        </w:rPr>
        <w:t>Maintenance</w:t>
      </w:r>
      <w:r>
        <w:rPr>
          <w:rFonts w:ascii="Times New Roman" w:hAnsi="Times New Roman" w:cs="Times New Roman"/>
          <w:b/>
          <w:sz w:val="24"/>
          <w:szCs w:val="24"/>
        </w:rPr>
        <w:t xml:space="preserve"> and Mortality</w:t>
      </w:r>
    </w:p>
    <w:p w:rsidR="000D2242" w:rsidRPr="000D2242" w:rsidRDefault="000D2242" w:rsidP="004947CC">
      <w:pPr>
        <w:rPr>
          <w:rFonts w:ascii="Times New Roman" w:hAnsi="Times New Roman" w:cs="Times New Roman"/>
          <w:sz w:val="24"/>
          <w:szCs w:val="24"/>
        </w:rPr>
      </w:pPr>
      <w:r>
        <w:rPr>
          <w:rFonts w:ascii="Times New Roman" w:hAnsi="Times New Roman" w:cs="Times New Roman"/>
          <w:sz w:val="24"/>
          <w:szCs w:val="24"/>
        </w:rPr>
        <w:t xml:space="preserve">It remains to consider rates that </w:t>
      </w:r>
      <w:r w:rsidRPr="00EE4F25">
        <w:rPr>
          <w:rFonts w:ascii="Times New Roman" w:hAnsi="Times New Roman" w:cs="Times New Roman"/>
          <w:i/>
          <w:sz w:val="24"/>
          <w:szCs w:val="24"/>
        </w:rPr>
        <w:t>increase</w:t>
      </w:r>
      <w:r>
        <w:rPr>
          <w:rFonts w:ascii="Times New Roman" w:hAnsi="Times New Roman" w:cs="Times New Roman"/>
          <w:sz w:val="24"/>
          <w:szCs w:val="24"/>
        </w:rPr>
        <w:t xml:space="preserve"> as </w:t>
      </w:r>
      <w:r>
        <w:rPr>
          <w:rFonts w:ascii="Times New Roman" w:hAnsi="Times New Roman" w:cs="Times New Roman"/>
          <w:i/>
          <w:sz w:val="24"/>
          <w:szCs w:val="24"/>
        </w:rPr>
        <w:t>DO</w:t>
      </w:r>
      <w:r>
        <w:rPr>
          <w:rFonts w:ascii="Times New Roman" w:hAnsi="Times New Roman" w:cs="Times New Roman"/>
          <w:sz w:val="24"/>
          <w:szCs w:val="24"/>
        </w:rPr>
        <w:t xml:space="preserve"> drops close to </w:t>
      </w:r>
      <w:r>
        <w:rPr>
          <w:rFonts w:ascii="Times New Roman" w:hAnsi="Times New Roman" w:cs="Times New Roman"/>
          <w:i/>
          <w:sz w:val="24"/>
          <w:szCs w:val="24"/>
        </w:rPr>
        <w:t>DO</w:t>
      </w:r>
      <w:r>
        <w:rPr>
          <w:rFonts w:ascii="Times New Roman" w:hAnsi="Times New Roman" w:cs="Times New Roman"/>
          <w:i/>
          <w:sz w:val="24"/>
          <w:szCs w:val="24"/>
          <w:vertAlign w:val="subscript"/>
        </w:rPr>
        <w:t>C</w:t>
      </w:r>
      <w:r>
        <w:rPr>
          <w:rFonts w:ascii="Times New Roman" w:hAnsi="Times New Roman" w:cs="Times New Roman"/>
          <w:sz w:val="24"/>
          <w:szCs w:val="24"/>
        </w:rPr>
        <w:t xml:space="preserve">. </w:t>
      </w:r>
      <w:r w:rsidR="00EE4F25">
        <w:rPr>
          <w:rFonts w:ascii="Times New Roman" w:hAnsi="Times New Roman" w:cs="Times New Roman"/>
          <w:sz w:val="24"/>
          <w:szCs w:val="24"/>
        </w:rPr>
        <w:t xml:space="preserve">The obvious (perhaps lazy?) option is to stick with your equation 4.3, but now using the reciprocal of our new value for </w:t>
      </w:r>
      <w:r w:rsidR="00EE4F25">
        <w:rPr>
          <w:rFonts w:ascii="Times New Roman" w:hAnsi="Times New Roman" w:cs="Times New Roman"/>
          <w:i/>
          <w:sz w:val="24"/>
          <w:szCs w:val="24"/>
        </w:rPr>
        <w:t>c</w:t>
      </w:r>
      <w:r w:rsidR="00EE4F25">
        <w:rPr>
          <w:rFonts w:ascii="Times New Roman" w:hAnsi="Times New Roman" w:cs="Times New Roman"/>
          <w:sz w:val="24"/>
          <w:szCs w:val="24"/>
        </w:rPr>
        <w:t>. It might be possible to formalize this a little by defining a stress function, but I don’t currently see any benefit.</w:t>
      </w:r>
      <w:r>
        <w:rPr>
          <w:rFonts w:ascii="Times New Roman" w:hAnsi="Times New Roman" w:cs="Times New Roman"/>
          <w:sz w:val="24"/>
          <w:szCs w:val="24"/>
        </w:rPr>
        <w:t xml:space="preserve"> </w:t>
      </w:r>
    </w:p>
    <w:sectPr w:rsidR="000D2242" w:rsidRPr="000D22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4D4D" w:rsidRDefault="00434D4D" w:rsidP="00F81656">
      <w:pPr>
        <w:spacing w:after="0" w:line="240" w:lineRule="auto"/>
      </w:pPr>
      <w:r>
        <w:separator/>
      </w:r>
    </w:p>
  </w:endnote>
  <w:endnote w:type="continuationSeparator" w:id="0">
    <w:p w:rsidR="00434D4D" w:rsidRDefault="00434D4D" w:rsidP="00F81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4D4D" w:rsidRDefault="00434D4D" w:rsidP="00F81656">
      <w:pPr>
        <w:spacing w:after="0" w:line="240" w:lineRule="auto"/>
      </w:pPr>
      <w:r>
        <w:separator/>
      </w:r>
    </w:p>
  </w:footnote>
  <w:footnote w:type="continuationSeparator" w:id="0">
    <w:p w:rsidR="00434D4D" w:rsidRDefault="00434D4D" w:rsidP="00F81656">
      <w:pPr>
        <w:spacing w:after="0" w:line="240" w:lineRule="auto"/>
      </w:pPr>
      <w:r>
        <w:continuationSeparator/>
      </w:r>
    </w:p>
  </w:footnote>
  <w:footnote w:id="1">
    <w:p w:rsidR="00F81656" w:rsidRPr="00F81656" w:rsidRDefault="00F81656">
      <w:pPr>
        <w:pStyle w:val="FootnoteText"/>
      </w:pPr>
      <w:r>
        <w:rPr>
          <w:rStyle w:val="FootnoteReference"/>
        </w:rPr>
        <w:footnoteRef/>
      </w:r>
      <w:r>
        <w:t xml:space="preserve"> Note that the symbol </w:t>
      </w:r>
      <w:proofErr w:type="spellStart"/>
      <w:r>
        <w:rPr>
          <w:i/>
        </w:rPr>
        <w:t>j</w:t>
      </w:r>
      <w:r>
        <w:rPr>
          <w:i/>
          <w:vertAlign w:val="subscript"/>
        </w:rPr>
        <w:t>A</w:t>
      </w:r>
      <w:proofErr w:type="spellEnd"/>
      <w:r>
        <w:rPr>
          <w:i/>
        </w:rPr>
        <w:t xml:space="preserve"> </w:t>
      </w:r>
      <w:r>
        <w:t>has different meaning in your paper and Erik’s</w:t>
      </w:r>
      <w:r w:rsidR="00B10845">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7CC"/>
    <w:rsid w:val="000606AF"/>
    <w:rsid w:val="000D2242"/>
    <w:rsid w:val="001575C8"/>
    <w:rsid w:val="001F00CF"/>
    <w:rsid w:val="002869C3"/>
    <w:rsid w:val="002B5528"/>
    <w:rsid w:val="003D41DF"/>
    <w:rsid w:val="00434D4D"/>
    <w:rsid w:val="0048002F"/>
    <w:rsid w:val="004947CC"/>
    <w:rsid w:val="0055688E"/>
    <w:rsid w:val="00581ACC"/>
    <w:rsid w:val="006B53F2"/>
    <w:rsid w:val="006E4DC9"/>
    <w:rsid w:val="006F6E31"/>
    <w:rsid w:val="007250EF"/>
    <w:rsid w:val="0085202E"/>
    <w:rsid w:val="00893B32"/>
    <w:rsid w:val="008B1CF1"/>
    <w:rsid w:val="008E2772"/>
    <w:rsid w:val="0099014B"/>
    <w:rsid w:val="00991EF1"/>
    <w:rsid w:val="0099601A"/>
    <w:rsid w:val="009F360B"/>
    <w:rsid w:val="00A335D5"/>
    <w:rsid w:val="00AB0716"/>
    <w:rsid w:val="00AC68B0"/>
    <w:rsid w:val="00AE7063"/>
    <w:rsid w:val="00B10845"/>
    <w:rsid w:val="00B14094"/>
    <w:rsid w:val="00B23DF3"/>
    <w:rsid w:val="00B82FE4"/>
    <w:rsid w:val="00BB4160"/>
    <w:rsid w:val="00C1114B"/>
    <w:rsid w:val="00C462AF"/>
    <w:rsid w:val="00CD1D6D"/>
    <w:rsid w:val="00CD2A34"/>
    <w:rsid w:val="00EE4F25"/>
    <w:rsid w:val="00F81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3B9BD"/>
  <w15:chartTrackingRefBased/>
  <w15:docId w15:val="{E202A153-E9DB-456F-8004-00E7924FA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816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1656"/>
    <w:rPr>
      <w:sz w:val="20"/>
      <w:szCs w:val="20"/>
    </w:rPr>
  </w:style>
  <w:style w:type="character" w:styleId="FootnoteReference">
    <w:name w:val="footnote reference"/>
    <w:basedOn w:val="DefaultParagraphFont"/>
    <w:uiPriority w:val="99"/>
    <w:semiHidden/>
    <w:unhideWhenUsed/>
    <w:rsid w:val="00F8165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sv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3.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image" Target="media/image12.wmf"/><Relationship Id="rId35" Type="http://schemas.openxmlformats.org/officeDocument/2006/relationships/theme" Target="theme/theme1.xml"/><Relationship Id="rId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CB4D3-C397-4C78-918E-13299E91E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3</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Nisbet</dc:creator>
  <cp:keywords/>
  <dc:description/>
  <cp:lastModifiedBy>Roger Nisbet</cp:lastModifiedBy>
  <cp:revision>7</cp:revision>
  <dcterms:created xsi:type="dcterms:W3CDTF">2023-11-09T00:26:00Z</dcterms:created>
  <dcterms:modified xsi:type="dcterms:W3CDTF">2023-11-09T22:13:00Z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