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443F83B8" w:rsidR="00D73211" w:rsidRDefault="00D73211" w:rsidP="00D73211">
      <w:pPr>
        <w:pStyle w:val="TS"/>
      </w:pPr>
      <w:r>
        <w:rPr>
          <w:vertAlign w:val="superscript"/>
        </w:rPr>
        <w:t>2</w:t>
      </w:r>
      <w:r>
        <w:t xml:space="preserve">University of California Santa Barbara, </w:t>
      </w:r>
    </w:p>
    <w:p w14:paraId="294B5F3B" w14:textId="2EC3E302" w:rsidR="00C84D21" w:rsidRDefault="00D73211" w:rsidP="00C84D21">
      <w:pPr>
        <w:pStyle w:val="TS"/>
      </w:pPr>
      <w:r>
        <w:rPr>
          <w:vertAlign w:val="superscript"/>
        </w:rPr>
        <w:t>3</w:t>
      </w:r>
      <w:r>
        <w:t>Institute of Marine Sciences, University of North Carolina Chapel Hill, Morehead City, NC</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1AAFB5DF" w:rsidR="00C84D21" w:rsidRPr="00C84D21" w:rsidRDefault="00C84D21" w:rsidP="00C84D21">
      <w:pPr>
        <w:pStyle w:val="TS"/>
        <w:rPr>
          <w:i/>
          <w:iCs/>
        </w:rPr>
      </w:pPr>
      <w:r>
        <w:t xml:space="preserve">To be submitted to: </w:t>
      </w:r>
      <w:r>
        <w:rPr>
          <w:i/>
          <w:iCs/>
        </w:rPr>
        <w:t>Ecological Modelling</w:t>
      </w:r>
    </w:p>
    <w:p w14:paraId="75185CC8" w14:textId="77777777" w:rsidR="00D73211" w:rsidRPr="00D73211" w:rsidRDefault="00D73211" w:rsidP="00D73211"/>
    <w:p w14:paraId="12BA0647" w14:textId="77777777" w:rsidR="00970378" w:rsidRPr="00985FFB" w:rsidRDefault="00970378" w:rsidP="00966BCC">
      <w:pPr>
        <w:spacing w:after="0" w:line="360" w:lineRule="auto"/>
        <w:rPr>
          <w:rFonts w:ascii="Times New Roman" w:eastAsia="Times New Roman" w:hAnsi="Times New Roman"/>
          <w:b/>
          <w:bCs/>
          <w:iCs/>
          <w:sz w:val="24"/>
          <w:szCs w:val="24"/>
        </w:rPr>
      </w:pPr>
    </w:p>
    <w:p w14:paraId="0FE448D0" w14:textId="5D52FE1A" w:rsidR="00D73211" w:rsidRPr="00C76DD0" w:rsidRDefault="00D73211" w:rsidP="00084310">
      <w:pPr>
        <w:pStyle w:val="TS"/>
        <w:spacing w:line="360" w:lineRule="auto"/>
        <w:rPr>
          <w:b/>
          <w:bCs/>
        </w:rPr>
      </w:pPr>
      <w:bookmarkStart w:id="1" w:name="_Toc131592459"/>
      <w:r w:rsidRPr="00C76DD0">
        <w:rPr>
          <w:b/>
          <w:bCs/>
        </w:rPr>
        <w:lastRenderedPageBreak/>
        <w:t>Abstract</w:t>
      </w:r>
    </w:p>
    <w:p w14:paraId="257A9073" w14:textId="03AC4014" w:rsidR="00084310" w:rsidRPr="005A32BB" w:rsidRDefault="00084310" w:rsidP="00084310">
      <w:pPr>
        <w:pStyle w:val="TS"/>
        <w:spacing w:line="360" w:lineRule="auto"/>
      </w:pPr>
      <w:r>
        <w:t>Ocean deoxygenation is intensifying worldwide due to warming and eutrophication, particularly in estuaries and coastal waters. Although the Atlantic silverside (</w:t>
      </w:r>
      <w:r>
        <w:rPr>
          <w:i/>
          <w:iCs/>
        </w:rPr>
        <w:t>Menidia menidia</w:t>
      </w:r>
      <w:r>
        <w:t xml:space="preserve">) has proven robust to the fluctuating environmental conditions in its estuarine environment, chronic hypoxia impairs hatching, growth, and survival in the early life stages. We used a </w:t>
      </w:r>
      <w:r>
        <w:t>simplified version of a Dynamic Energy Budget model (</w:t>
      </w:r>
      <w:proofErr w:type="spellStart"/>
      <w:r>
        <w:t>DEBkiss</w:t>
      </w:r>
      <w:proofErr w:type="spellEnd"/>
      <w:r>
        <w:t xml:space="preserve">) </w:t>
      </w:r>
      <w:r>
        <w:t xml:space="preserve">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w:t>
      </w:r>
      <w:r>
        <w:t xml:space="preserve"> based on inhibition or damage to the Synthesizing Unit</w:t>
      </w:r>
      <w:r>
        <w:t xml:space="preserve">,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w:t>
      </w:r>
      <w:r>
        <w:t>Applying damage production to reduce</w:t>
      </w:r>
      <w:r>
        <w:t xml:space="preserve"> the conversion</w:t>
      </w:r>
      <w:r>
        <w:t xml:space="preserve"> efficiency</w:t>
      </w:r>
      <w:r>
        <w:t xml:space="preserve"> of assimilates to structure accounted for some of the hypoxia-related changes in all three state variables. However, simultaneously reducing the </w:t>
      </w:r>
      <w:r>
        <w:t xml:space="preserve">conversion efficiency </w:t>
      </w:r>
      <w:r>
        <w:t xml:space="preserve">and increasing both mortality parameters provided the best fit. In contrast, increasing the parameter for maintenance rate with hypoxia had little impact on early life growth and egg buffer depletion, and no impact on survival rates. Reduced conversion efficiency under hypoxia would suggest that less of the energy invested by parents </w:t>
      </w:r>
      <w:r>
        <w:t xml:space="preserve">and consumed through predation </w:t>
      </w:r>
      <w:r>
        <w:t xml:space="preserve">is converted into biomass in </w:t>
      </w:r>
      <w:r>
        <w:rPr>
          <w:i/>
          <w:iCs/>
        </w:rPr>
        <w:t xml:space="preserve">M. menidia </w:t>
      </w:r>
      <w:r>
        <w:t xml:space="preserve">offspring, </w:t>
      </w:r>
      <w:r>
        <w:t xml:space="preserve">with implications for size at age that could threaten recruitment and alter the flow of energy through </w:t>
      </w:r>
      <w:r w:rsidR="00831E14">
        <w:t>the food</w:t>
      </w:r>
      <w:r>
        <w:t xml:space="preserve"> web</w:t>
      </w:r>
      <w:r>
        <w:t xml:space="preserve">. </w:t>
      </w:r>
    </w:p>
    <w:p w14:paraId="7EC59EAE" w14:textId="77777777" w:rsidR="00C76DD0" w:rsidRPr="00C76DD0" w:rsidRDefault="00C76DD0" w:rsidP="00C76DD0"/>
    <w:p w14:paraId="71B24C28" w14:textId="222F6938" w:rsidR="00970378" w:rsidRPr="00C76DD0" w:rsidRDefault="00970378" w:rsidP="00C76DD0">
      <w:pPr>
        <w:pStyle w:val="TS"/>
        <w:spacing w:line="360" w:lineRule="auto"/>
        <w:rPr>
          <w:b/>
          <w:bCs/>
        </w:rPr>
      </w:pPr>
      <w:r w:rsidRPr="00C76DD0">
        <w:rPr>
          <w:b/>
          <w:bCs/>
        </w:rPr>
        <w:t>Introduction</w:t>
      </w:r>
      <w:bookmarkEnd w:id="1"/>
    </w:p>
    <w:p w14:paraId="25E1C077" w14:textId="436E877B"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w:t>
      </w:r>
      <w:r w:rsidRPr="00985FFB">
        <w:lastRenderedPageBreak/>
        <w:t xml:space="preserve">of hypoxia (Farrell and Brauner, 2009; Zhu et al., 2013; Baumann, 2019), these do not necessarily confer tolerance of longer durations. </w:t>
      </w:r>
      <w:proofErr w:type="gramStart"/>
      <w:r w:rsidRPr="00985FFB">
        <w:t>Fishes</w:t>
      </w:r>
      <w:proofErr w:type="gramEnd"/>
      <w:r w:rsidRPr="00985FFB">
        <w:t xml:space="preserve">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or supplement</w:t>
      </w:r>
      <w:r w:rsidRPr="00985FFB">
        <w:t xml:space="preserve"> to time- and labor-intensive laboratory experiments on other species, particularly with very small embryos and larvae. </w:t>
      </w:r>
    </w:p>
    <w:p w14:paraId="60A14A47" w14:textId="7870E33C"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leads to physiological responses such as depressed metabolism (Schwemmer,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 Interactive effects of high CO</w:t>
      </w:r>
      <w:r w:rsidRPr="00985FFB">
        <w:rPr>
          <w:vertAlign w:val="subscript"/>
        </w:rPr>
        <w:t>2</w:t>
      </w:r>
      <w:r w:rsidRPr="00985FFB">
        <w:t xml:space="preserve"> and hypoxia were documented in an estuarine model species, Atlantic silverside (</w:t>
      </w:r>
      <w:r w:rsidRPr="00985FFB">
        <w:rPr>
          <w:i/>
          <w:iCs/>
        </w:rPr>
        <w:t>Menidia menidia</w:t>
      </w:r>
      <w:r w:rsidRPr="00985FFB">
        <w:t>), after offspring were reared in static or diel fluctuating combinations of oxygen and CO</w:t>
      </w:r>
      <w:r w:rsidRPr="00985FFB">
        <w:rPr>
          <w:vertAlign w:val="subscript"/>
        </w:rPr>
        <w:t>2</w:t>
      </w:r>
      <w:r w:rsidRPr="00985FFB">
        <w:t xml:space="preserve"> treatments (Cross et al., 2019). Although diel fluctuations in </w:t>
      </w:r>
      <w:proofErr w:type="gramStart"/>
      <w:r w:rsidRPr="00985FFB">
        <w:t>both of these</w:t>
      </w:r>
      <w:proofErr w:type="gramEnd"/>
      <w:r w:rsidRPr="00985FFB">
        <w:t xml:space="preserve"> properties provided temporary relief that reduced the overall effects of hypoxia and acidification, static low DO </w:t>
      </w:r>
      <w:r w:rsidRPr="00985FFB">
        <w:lastRenderedPageBreak/>
        <w:t xml:space="preserve">significantly delayed hatching, reduced survival to hatching and larval survival, and reduced embryo and larval growth (Cross et al., 2019). 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5A68224C" w:rsidR="005F4420" w:rsidRPr="00985FFB" w:rsidRDefault="00361F01" w:rsidP="00F0159C">
      <w:pPr>
        <w:pStyle w:val="TS"/>
        <w:spacing w:line="360" w:lineRule="auto"/>
        <w:ind w:firstLine="720"/>
      </w:pPr>
      <w:r>
        <w:t xml:space="preserve">It is important to quantify stressor effects at the population level because targeted conservation actions operate at this level, but </w:t>
      </w:r>
      <w:r w:rsidR="00F0159C">
        <w:t>scaling organism-level studies to population-level processes</w:t>
      </w:r>
      <w:r>
        <w:t xml:space="preserve"> </w:t>
      </w:r>
      <w:r w:rsidR="00F0159C">
        <w:t xml:space="preserve">requires additional steps and remains a challenge (but see Nisbet et al., 1989; Grear et al., 2020; Tai et al., 2021). Care must be taken as linear relationships between individual- and population-level impacts can not be assumed (Chambers and Trippel., 1997; Galic et al., 2018). </w:t>
      </w:r>
      <w:r w:rsidR="005F4420" w:rsidRPr="00985FFB">
        <w:t>Dynamic Energy Budget (DEB) modeling is a bioenergetic framework designed to bridge multiple levels of biological organization in assessing stressor effects in a vast variety of species (</w:t>
      </w:r>
      <w:proofErr w:type="spellStart"/>
      <w:r w:rsidR="005F4420" w:rsidRPr="00985FFB">
        <w:t>Kooijman</w:t>
      </w:r>
      <w:proofErr w:type="spellEnd"/>
      <w:r w:rsidR="005F4420" w:rsidRPr="00985FFB">
        <w:t xml:space="preserve">, 2010; </w:t>
      </w:r>
      <w:proofErr w:type="spellStart"/>
      <w:r w:rsidR="005F4420" w:rsidRPr="00985FFB">
        <w:t>AmP</w:t>
      </w:r>
      <w:proofErr w:type="spellEnd"/>
      <w:r w:rsidR="005F4420" w:rsidRPr="00985FFB">
        <w:t xml:space="preserve">, 2023). This approach follows energy allocation, in the form of </w:t>
      </w:r>
      <w:proofErr w:type="spellStart"/>
      <w:r w:rsidR="005F4420" w:rsidRPr="00985FFB">
        <w:t>suborganismal</w:t>
      </w:r>
      <w:proofErr w:type="spellEnd"/>
      <w:r w:rsidR="005F4420" w:rsidRPr="00985FFB">
        <w:t xml:space="preserve"> metabolic fluxes, and how it leads to life history outcomes such as growth rate, reproductive output, and survival, using physical and biological concepts that are generalizable to most species (</w:t>
      </w:r>
      <w:proofErr w:type="spellStart"/>
      <w:r w:rsidR="005F4420" w:rsidRPr="00985FFB">
        <w:t>Jusup</w:t>
      </w:r>
      <w:proofErr w:type="spellEnd"/>
      <w:r w:rsidR="005F4420" w:rsidRPr="00985FFB">
        <w:t xml:space="preserve"> et al., 2017). It accounts for differences in the energy budget at each stage to allow modeling of life stage transition timing and stage-specific responses to stressors (</w:t>
      </w:r>
      <w:proofErr w:type="spellStart"/>
      <w:r w:rsidR="005F4420" w:rsidRPr="00985FFB">
        <w:t>Kooijman</w:t>
      </w:r>
      <w:proofErr w:type="spellEnd"/>
      <w:r w:rsidR="005F4420" w:rsidRPr="00985FFB">
        <w:t>, 2010). DEB theory is often used to connect experimental observations of multiple stressor effects to both the underlying energetic mechanisms (</w:t>
      </w:r>
      <w:proofErr w:type="spellStart"/>
      <w:r w:rsidR="005F4420" w:rsidRPr="00985FFB">
        <w:t>Kooijman</w:t>
      </w:r>
      <w:proofErr w:type="spellEnd"/>
      <w:r w:rsidR="005F4420" w:rsidRPr="00985FFB">
        <w:t xml:space="preserve">, 2018) and life history outcomes that feed into population dynamics (Nisbet et al., 2000; Martin et al., 2013; </w:t>
      </w:r>
      <w:proofErr w:type="spellStart"/>
      <w:r w:rsidR="005F4420" w:rsidRPr="00985FFB">
        <w:t>Smallegange</w:t>
      </w:r>
      <w:proofErr w:type="spellEnd"/>
      <w:r w:rsidR="005F4420" w:rsidRPr="00985FFB">
        <w:t xml:space="preserve"> et al., 2017). These capabilities make DEB theory an excellent tool for enhancing the utility of experimental hypoxia data in conservation and management (Lavaud et al., 2021). </w:t>
      </w:r>
    </w:p>
    <w:p w14:paraId="5C932837" w14:textId="568A8D80" w:rsidR="005F4420" w:rsidRPr="00985FFB"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be beneficial (Evans et al., 2013), simpler models with fewer </w:t>
      </w:r>
      <w:r w:rsidRPr="00985FFB">
        <w:lastRenderedPageBreak/>
        <w:t xml:space="preserve">parameters are often preferable for their predictive power and ability to be applied, tested, and interpreted widely (Holling, 1966; </w:t>
      </w:r>
      <w:proofErr w:type="gramStart"/>
      <w:r w:rsidRPr="00985FFB">
        <w:t>May,</w:t>
      </w:r>
      <w:proofErr w:type="gramEnd"/>
      <w:r w:rsidRPr="00985FFB">
        <w:t xml:space="preserve">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2" w:name="_Hlk130719242"/>
      <w:r w:rsidRPr="00985FFB">
        <w:t xml:space="preserve">). </w:t>
      </w:r>
      <w:bookmarkEnd w:id="2"/>
      <w:r w:rsidRPr="00985FFB">
        <w:t xml:space="preserve">The simplicity of </w:t>
      </w:r>
      <w:proofErr w:type="spellStart"/>
      <w:r w:rsidRPr="00985FFB">
        <w:t>DEBkiss</w:t>
      </w:r>
      <w:proofErr w:type="spellEnd"/>
      <w:r w:rsidRPr="00985FFB">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Pr="00985FFB" w:rsidRDefault="005F4420" w:rsidP="00966BCC">
      <w:pPr>
        <w:pStyle w:val="TS"/>
        <w:spacing w:line="360" w:lineRule="auto"/>
        <w:ind w:firstLine="720"/>
      </w:pPr>
      <w:r w:rsidRPr="00985FFB">
        <w:t xml:space="preserve">We used a </w:t>
      </w:r>
      <w:proofErr w:type="spellStart"/>
      <w:r w:rsidRPr="00985FFB">
        <w:t>DEBkiss</w:t>
      </w:r>
      <w:proofErr w:type="spellEnd"/>
      <w:r w:rsidRPr="00985FFB">
        <w:t xml:space="preserve"> model to test the hypothesis that changes in animal performance can be explained by 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a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Pr="00985FFB" w:rsidRDefault="005F4420" w:rsidP="00966BCC">
      <w:pPr>
        <w:pStyle w:val="TS"/>
        <w:spacing w:line="360" w:lineRule="auto"/>
        <w:ind w:firstLine="720"/>
      </w:pPr>
      <w:r w:rsidRPr="00985FFB">
        <w:t xml:space="preserve">We hypothesized that the following parameters would account for some or </w:t>
      </w:r>
      <w:proofErr w:type="gramStart"/>
      <w:r w:rsidRPr="00985FFB">
        <w:t>all of</w:t>
      </w:r>
      <w:proofErr w:type="gramEnd"/>
      <w:r w:rsidRPr="00985FFB">
        <w:t xml:space="preserve"> the hypoxia effects: maximum assimilation rate, conversion efficiency of assimilates into structure (growth), maximum somatic maintenance rate, embryo mortality rate, and post-hatch mortality rate. 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w:t>
      </w:r>
      <w:r w:rsidRPr="00985FFB">
        <w:lastRenderedPageBreak/>
        <w:t xml:space="preserve">heartbeat to increase oxygen uptake when ambient DO is low (Kramer, 1987; Maxime et al., 2000), but these capabilities may be limited until development has progressed further. We therefore hypothesize that maintenance does not account for a substantial portion of the early life changes in growth, hatch timing, and survival. </w:t>
      </w:r>
    </w:p>
    <w:p w14:paraId="0C642EA4" w14:textId="77777777" w:rsidR="005F4420" w:rsidRPr="00985FFB" w:rsidRDefault="005F4420" w:rsidP="00966BC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Pr="00985FFB" w:rsidRDefault="005F4420" w:rsidP="00966BCC">
      <w:pPr>
        <w:pStyle w:val="TS"/>
        <w:spacing w:line="360" w:lineRule="auto"/>
        <w:ind w:firstLine="720"/>
      </w:pPr>
      <w:r w:rsidRPr="00985FFB">
        <w:t xml:space="preserve">Assimilation is the transformation of food and oxygen into compounds that will go to structure, maintenance, or reproduction. Reduced food consumption is a primary mechanism by which the fish energy budget is thought to be impacted by hypoxia (Chabot and Dutil, 1999; Thomas et al., 2019). However, feeding effects cannot explain the observed hypoxia impacts on </w:t>
      </w:r>
      <w:r w:rsidRPr="00985FFB">
        <w:rPr>
          <w:i/>
          <w:iCs/>
        </w:rPr>
        <w:t>M. menidia</w:t>
      </w:r>
      <w:r w:rsidRPr="00985FFB">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modifying the embryo mortality parameter will consequently not be necessary. However, we hypothesize that this will not be the case for the post-hatch mortality parameter because none of the processes in the </w:t>
      </w:r>
      <w:proofErr w:type="spellStart"/>
      <w:r w:rsidRPr="00985FFB">
        <w:t>DEBkiss</w:t>
      </w:r>
      <w:proofErr w:type="spellEnd"/>
      <w:r w:rsidRPr="00985FFB">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985FFB" w:rsidRDefault="005F4420" w:rsidP="00966BCC">
      <w:pPr>
        <w:spacing w:line="360" w:lineRule="auto"/>
      </w:pPr>
    </w:p>
    <w:p w14:paraId="4174A2F8" w14:textId="254DF60B" w:rsidR="005F4420" w:rsidRPr="00C76DD0" w:rsidRDefault="005F4420" w:rsidP="00C76DD0">
      <w:pPr>
        <w:pStyle w:val="TS"/>
        <w:spacing w:line="360" w:lineRule="auto"/>
        <w:rPr>
          <w:b/>
          <w:bCs/>
        </w:rPr>
      </w:pPr>
      <w:bookmarkStart w:id="3" w:name="_Toc131592460"/>
      <w:r w:rsidRPr="00C76DD0">
        <w:rPr>
          <w:b/>
          <w:bCs/>
        </w:rPr>
        <w:t>Methods</w:t>
      </w:r>
      <w:bookmarkEnd w:id="3"/>
    </w:p>
    <w:p w14:paraId="3AE4D18C" w14:textId="1A5BC4D0" w:rsidR="005F4420" w:rsidRPr="00C76DD0" w:rsidRDefault="005F4420" w:rsidP="00C76DD0">
      <w:pPr>
        <w:pStyle w:val="TS"/>
        <w:spacing w:line="360" w:lineRule="auto"/>
        <w:rPr>
          <w:i/>
          <w:iCs/>
        </w:rPr>
      </w:pPr>
      <w:bookmarkStart w:id="4" w:name="_Toc131592461"/>
      <w:proofErr w:type="spellStart"/>
      <w:r w:rsidRPr="00C76DD0">
        <w:rPr>
          <w:i/>
          <w:iCs/>
        </w:rPr>
        <w:t>DEBkiss</w:t>
      </w:r>
      <w:proofErr w:type="spellEnd"/>
      <w:r w:rsidRPr="00C76DD0">
        <w:rPr>
          <w:i/>
          <w:iCs/>
        </w:rPr>
        <w:t xml:space="preserve"> Model Description</w:t>
      </w:r>
      <w:bookmarkEnd w:id="4"/>
    </w:p>
    <w:p w14:paraId="2769A298" w14:textId="77777777" w:rsidR="005F4420" w:rsidRPr="00985FFB" w:rsidRDefault="005F4420" w:rsidP="00966BCC">
      <w:pPr>
        <w:pStyle w:val="TS"/>
        <w:spacing w:line="360" w:lineRule="auto"/>
      </w:pPr>
      <w:r w:rsidRPr="00985FFB">
        <w:tab/>
        <w:t xml:space="preserve">To model the stage-specific energy budget of </w:t>
      </w:r>
      <w:r w:rsidRPr="00985FFB">
        <w:rPr>
          <w:i/>
          <w:iCs/>
        </w:rPr>
        <w:t>M. menidia</w:t>
      </w:r>
      <w:r w:rsidRPr="00985FFB">
        <w:t xml:space="preserve"> in a way that would allow us to explain early-life hypoxia effects with bioenergetic processes, we used </w:t>
      </w:r>
      <w:proofErr w:type="spellStart"/>
      <w:r w:rsidRPr="00985FFB">
        <w:t>DEBkiss</w:t>
      </w:r>
      <w:proofErr w:type="spellEnd"/>
      <w:r w:rsidRPr="00985FFB">
        <w:t xml:space="preserve">, a simplified and widely applicable DEB model (Jager et al., 2013; Jager, 2018). </w:t>
      </w:r>
      <w:proofErr w:type="spellStart"/>
      <w:r w:rsidRPr="00985FFB">
        <w:t>DEBkiss</w:t>
      </w:r>
      <w:proofErr w:type="spellEnd"/>
      <w:r w:rsidRPr="00985FFB">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Pr="00985FFB">
        <w:t>DEBkiss</w:t>
      </w:r>
      <w:proofErr w:type="spellEnd"/>
      <w:r w:rsidRPr="00985FFB">
        <w:t xml:space="preserve"> well-suited for animals with a small ultimate body size because reserve plays a smaller role in such species under DEB theory (Nisbet et al., 2000), but </w:t>
      </w:r>
      <w:proofErr w:type="spellStart"/>
      <w:r w:rsidRPr="00985FFB">
        <w:t>DEBkiss</w:t>
      </w:r>
      <w:proofErr w:type="spellEnd"/>
      <w:r w:rsidRPr="00985FFB">
        <w:t xml:space="preserve"> has been successfully applied to larger animals as well (e.g. Desforges et al., 2017). </w:t>
      </w:r>
    </w:p>
    <w:p w14:paraId="1A8F5FB6" w14:textId="50B0F25A"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we used </w:t>
      </w:r>
      <w:proofErr w:type="gramStart"/>
      <w:r w:rsidRPr="00985FFB">
        <w:t>are</w:t>
      </w:r>
      <w:proofErr w:type="gramEnd"/>
      <w:r w:rsidRPr="00985FFB">
        <w:t xml:space="preserve"> from Jager (2018). The parameters are defined in Table 1 and the variables, differential equations, and conversions are defined in Table 2. The flux of food or, for embryos, 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Egg buffer mass decreases at a rate inversely proportional to assimilation flux (Table 2). Within the somatic branch, which does not change with life stage, a flux to maintenance (</w:t>
      </w:r>
      <w:r w:rsidRPr="00985FFB">
        <w:rPr>
          <w:i/>
          <w:iCs/>
        </w:rPr>
        <w:t>J</w:t>
      </w:r>
      <w:r w:rsidRPr="00985FFB">
        <w:rPr>
          <w:i/>
          <w:iCs/>
          <w:vertAlign w:val="subscript"/>
        </w:rPr>
        <w:t>M</w:t>
      </w:r>
      <w:r w:rsidRPr="00985FFB">
        <w:t>) is prioritized while the remainder goes to the flux for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The maintenance flux is the product of volume and the parameter for the volume-specific cost for maintenance (</w:t>
      </w:r>
      <w:proofErr w:type="spellStart"/>
      <w:r w:rsidRPr="00985FFB">
        <w:rPr>
          <w:i/>
          <w:iCs/>
        </w:rPr>
        <w:t>J</w:t>
      </w:r>
      <w:r w:rsidRPr="00985FFB">
        <w:rPr>
          <w:i/>
          <w:iCs/>
          <w:vertAlign w:val="superscript"/>
        </w:rPr>
        <w:t>v</w:t>
      </w:r>
      <w:r w:rsidRPr="00985FFB">
        <w:rPr>
          <w:i/>
          <w:iCs/>
          <w:vertAlign w:val="subscript"/>
        </w:rPr>
        <w:t>M</w:t>
      </w:r>
      <w:proofErr w:type="spellEnd"/>
      <w:r w:rsidRPr="00985FFB">
        <w:t>; Table 2).</w:t>
      </w:r>
    </w:p>
    <w:p w14:paraId="09578F54" w14:textId="0EB041FF"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through gonad development.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 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w:t>
      </w:r>
      <w:r w:rsidRPr="00985FFB">
        <w:lastRenderedPageBreak/>
        <w:t xml:space="preserve">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which we chose to use in our model. </w:t>
      </w:r>
    </w:p>
    <w:p w14:paraId="7F22448E" w14:textId="31CD61BB"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the model equations use dry weight for body size and our growth data </w:t>
      </w:r>
      <w:r w:rsidR="00AB1C3F">
        <w:rPr>
          <w:rFonts w:eastAsiaTheme="minorEastAsia"/>
        </w:rPr>
        <w:t>are</w:t>
      </w:r>
      <w:r w:rsidRPr="00985FFB">
        <w:rPr>
          <w:rFonts w:eastAsiaTheme="minorEastAsia"/>
        </w:rPr>
        <w:t xml:space="preserve"> in total length, we calculated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 allow the model to convert between the two (Table 2).</w:t>
      </w:r>
      <w:r w:rsidRPr="00985FFB">
        <w:t xml:space="preserve"> We calculated these constants using data on </w:t>
      </w:r>
      <w:r w:rsidRPr="00985FFB">
        <w:rPr>
          <w:i/>
          <w:iCs/>
        </w:rPr>
        <w:t>M. menidia</w:t>
      </w:r>
      <w:r w:rsidRPr="00985FFB">
        <w:t xml:space="preserve"> length and egg volume (Klahre, 1997) and a total length to dry weight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6807BD55" w14:textId="066E965B" w:rsidR="005F4420" w:rsidRPr="00985FFB" w:rsidRDefault="005F4420" w:rsidP="00966BCC">
      <w:pPr>
        <w:pStyle w:val="TS"/>
        <w:spacing w:line="360" w:lineRule="auto"/>
        <w:ind w:firstLine="720"/>
        <w:rPr>
          <w:rFonts w:eastAsiaTheme="minorEastAsia" w:cs="Times New Roman"/>
        </w:rPr>
      </w:pPr>
      <w:r w:rsidRPr="00985FFB">
        <w:t xml:space="preserve">To address the assumption of </w:t>
      </w:r>
      <w:proofErr w:type="spellStart"/>
      <w:r w:rsidRPr="00985FFB">
        <w:t>DEBkiss</w:t>
      </w:r>
      <w:proofErr w:type="spellEnd"/>
      <w:r w:rsidRPr="00985FFB">
        <w:t xml:space="preserve"> that eggs hatch when buffer is depleted, regardless of body size or developmental progress (Jager et al., 2013), we added a survival state variable (</w:t>
      </w:r>
      <w:r w:rsidRPr="00985FFB">
        <w:rPr>
          <w:i/>
          <w:iCs/>
        </w:rPr>
        <w:t>S</w:t>
      </w:r>
      <w:r w:rsidRPr="00985FFB">
        <w:t xml:space="preserve">). </w:t>
      </w:r>
      <w:r w:rsidRPr="00985FFB">
        <w:rPr>
          <w:rFonts w:cs="Times New Roman"/>
        </w:rPr>
        <w:t xml:space="preserve">In addition to allowing an alternative outcome to hatching, this allowed us to examine survival </w:t>
      </w:r>
      <w:proofErr w:type="gramStart"/>
      <w:r w:rsidRPr="00985FFB">
        <w:rPr>
          <w:rFonts w:cs="Times New Roman"/>
        </w:rPr>
        <w:t>as a consequence of</w:t>
      </w:r>
      <w:proofErr w:type="gramEnd"/>
      <w:r w:rsidRPr="00985FFB">
        <w:rPr>
          <w:rFonts w:cs="Times New Roman"/>
        </w:rPr>
        <w:t xml:space="preserve"> hypoxia effects on the energy budget. </w:t>
      </w:r>
      <w:r w:rsidRPr="00985FFB">
        <w:t>We fit mortality parameters for embryos and post-hatch fish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i/>
          <w:iCs/>
        </w:rPr>
        <w:t xml:space="preserve"> </w:t>
      </w:r>
      <w:r w:rsidRPr="00985FFB">
        <w:rPr>
          <w:rFonts w:cs="Times New Roman"/>
        </w:rPr>
        <w:t xml:space="preserve">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Pr="00985FFB" w:rsidRDefault="005F4420" w:rsidP="00966BCC">
      <w:pPr>
        <w:spacing w:line="360" w:lineRule="auto"/>
      </w:pPr>
    </w:p>
    <w:p w14:paraId="3680CA5B" w14:textId="61314824" w:rsidR="005F4420" w:rsidRPr="00C76DD0" w:rsidRDefault="005F4420" w:rsidP="00C76DD0">
      <w:pPr>
        <w:pStyle w:val="TS"/>
        <w:spacing w:line="360" w:lineRule="auto"/>
        <w:rPr>
          <w:i/>
          <w:iCs/>
        </w:rPr>
      </w:pPr>
      <w:bookmarkStart w:id="5" w:name="_Toc131592462"/>
      <w:r w:rsidRPr="00C76DD0">
        <w:rPr>
          <w:i/>
          <w:iCs/>
        </w:rPr>
        <w:t>Data and Fitting</w:t>
      </w:r>
      <w:bookmarkEnd w:id="5"/>
    </w:p>
    <w:p w14:paraId="0ADB7C59" w14:textId="01C0BB08" w:rsidR="005F4420" w:rsidRPr="00985FFB" w:rsidRDefault="005F4420" w:rsidP="00966BCC">
      <w:pPr>
        <w:pStyle w:val="TS"/>
        <w:spacing w:line="360" w:lineRule="auto"/>
        <w:ind w:firstLine="720"/>
        <w:rPr>
          <w:rFonts w:cs="Times New Roman"/>
        </w:rPr>
      </w:pPr>
      <w:r w:rsidRPr="00985FFB">
        <w:t xml:space="preserve">For the </w:t>
      </w:r>
      <w:proofErr w:type="spellStart"/>
      <w:r w:rsidRPr="00985FFB">
        <w:t>DEBkiss</w:t>
      </w:r>
      <w:proofErr w:type="spellEnd"/>
      <w:r w:rsidRPr="00985FFB">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control oxygen levels used in fitting the </w:t>
      </w:r>
      <w:proofErr w:type="spellStart"/>
      <w:r w:rsidRPr="00985FFB">
        <w:t>DEBkiss</w:t>
      </w:r>
      <w:proofErr w:type="spellEnd"/>
      <w:r w:rsidRPr="00985FFB">
        <w:t xml:space="preserve"> model and three reduced oxygen treatments (Table 2). The study featured two additional experiments that exposed offspring to fluctuating oxygen and CO</w:t>
      </w:r>
      <w:r w:rsidRPr="00985FFB">
        <w:rPr>
          <w:vertAlign w:val="subscript"/>
        </w:rPr>
        <w:t>2</w:t>
      </w:r>
      <w:r w:rsidRPr="00985FFB">
        <w:t xml:space="preserve"> </w:t>
      </w:r>
      <w:proofErr w:type="gramStart"/>
      <w:r w:rsidRPr="00985FFB">
        <w:t>levels</w:t>
      </w:r>
      <w:proofErr w:type="gramEnd"/>
      <w:r w:rsidRPr="00985FFB">
        <w:t xml:space="preserve"> but the control conditions were static, so we used total length data from these treatments to </w:t>
      </w:r>
      <w:r w:rsidRPr="00985FFB">
        <w:lastRenderedPageBreak/>
        <w:t xml:space="preserve">fit the model as well (Cross et al., 2019). We sourced additional length data 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r w:rsidRPr="00985FFB">
        <w:t xml:space="preserve">Data for the state variables on egg buffer mass (i.e. time to hatching when egg buffer mass is zero) and survival to hatching and 15 </w:t>
      </w:r>
      <w:proofErr w:type="spellStart"/>
      <w:r w:rsidRPr="00985FFB">
        <w:t>dph</w:t>
      </w:r>
      <w:proofErr w:type="spellEnd"/>
      <w:r w:rsidRPr="00985FFB">
        <w:t xml:space="preserve"> under different oxygen levels were obtained from Cross et al. (2019). We also used survival data from the 24</w:t>
      </w:r>
      <w:r w:rsidRPr="00985FFB">
        <w:rPr>
          <w:rFonts w:cs="Times New Roman"/>
        </w:rPr>
        <w:t>°</w:t>
      </w:r>
      <w:r w:rsidRPr="00985FFB">
        <w:t>C and control CO</w:t>
      </w:r>
      <w:r w:rsidRPr="00985FFB">
        <w:rPr>
          <w:vertAlign w:val="subscript"/>
        </w:rPr>
        <w:t>2</w:t>
      </w:r>
      <w:r w:rsidRPr="00985FFB">
        <w:t xml:space="preserve"> groups of a study on the effects of temperature and CO</w:t>
      </w:r>
      <w:r w:rsidRPr="00985FFB">
        <w:rPr>
          <w:vertAlign w:val="subscript"/>
        </w:rPr>
        <w:t>2</w:t>
      </w:r>
      <w:r w:rsidRPr="00985FFB">
        <w:t xml:space="preserve"> on </w:t>
      </w:r>
      <w:r w:rsidRPr="00985FFB">
        <w:rPr>
          <w:i/>
          <w:iCs/>
        </w:rPr>
        <w:t>M. menidia</w:t>
      </w:r>
      <w:r w:rsidRPr="00985FFB">
        <w:t xml:space="preserve"> early life survival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213E2A7D" w14:textId="2E660583" w:rsidR="005F4420" w:rsidRPr="00985FFB" w:rsidRDefault="005F4420" w:rsidP="00966BCC">
      <w:pPr>
        <w:pStyle w:val="TS"/>
        <w:spacing w:line="360" w:lineRule="auto"/>
        <w:ind w:firstLine="720"/>
      </w:pPr>
      <w:r w:rsidRPr="00985FFB">
        <w:t>We estimated three parameters by fitting them to data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 xml:space="preserve">) and fixed at suggested values parameters for which we had insufficient data to calculate or estimate. The primary parameters and their calculated or estimated values are found in Table 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bring in the </w:t>
      </w:r>
      <w:proofErr w:type="spellStart"/>
      <w:r w:rsidRPr="00985FFB">
        <w:t>DEBkiss</w:t>
      </w:r>
      <w:proofErr w:type="spellEnd"/>
      <w:r w:rsidRPr="00985FFB">
        <w:t xml:space="preserve"> model parameters, variables, and equations so that the parameters can be estimated based on their effect on the </w:t>
      </w:r>
      <w:proofErr w:type="spellStart"/>
      <w:r w:rsidRPr="00985FFB">
        <w:t>DEBkiss</w:t>
      </w:r>
      <w:proofErr w:type="spellEnd"/>
      <w:r w:rsidRPr="00985FFB">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3EC999BE" w:rsidR="005F4420" w:rsidRPr="00985FFB" w:rsidRDefault="005F4420" w:rsidP="00966BCC">
      <w:pPr>
        <w:pStyle w:val="TS"/>
        <w:spacing w:line="360" w:lineRule="auto"/>
        <w:rPr>
          <w:rFonts w:cs="Times New Roman"/>
        </w:rPr>
      </w:pPr>
      <w:r w:rsidRPr="00985FFB">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sidRPr="00985FFB">
        <w:rPr>
          <w:i/>
          <w:iCs/>
        </w:rPr>
        <w:t>M. menidia</w:t>
      </w:r>
      <w:r w:rsidRPr="00985FFB">
        <w:t xml:space="preserve">. We visually assessed fit and checked NLL as we adjusted parameters to obtain a </w:t>
      </w:r>
      <w:r w:rsidRPr="00985FFB">
        <w:lastRenderedPageBreak/>
        <w:t xml:space="preserve">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Pr="00985FFB">
        <w:rPr>
          <w:rFonts w:cs="Times New Roman"/>
        </w:rPr>
        <w:t xml:space="preserve">. The default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(Jager, 2018) did not allow a realistic fit to the length data, but the length, reproduction, and egg buffer depletion data allowed it to be estimated with the BYOM optimization. </w:t>
      </w:r>
      <w:r w:rsidRPr="00985FFB">
        <w:t xml:space="preserve">Ultimate length was used to fix </w:t>
      </w:r>
      <w:r w:rsidRPr="00985FFB">
        <w:rPr>
          <w:i/>
          <w:iCs/>
        </w:rPr>
        <w:t>J</w:t>
      </w:r>
      <w:r w:rsidRPr="00985FFB">
        <w:rPr>
          <w:i/>
          <w:iCs/>
          <w:vertAlign w:val="superscript"/>
        </w:rPr>
        <w:t>a</w:t>
      </w:r>
      <w:r w:rsidRPr="00985FFB">
        <w:rPr>
          <w:i/>
          <w:iCs/>
          <w:vertAlign w:val="subscript"/>
        </w:rPr>
        <w:t>Am</w:t>
      </w:r>
      <w:r w:rsidRPr="00985FFB">
        <w:t xml:space="preserve"> to a reasonable value before estimating </w:t>
      </w:r>
      <w:proofErr w:type="spellStart"/>
      <w:r w:rsidRPr="00985FFB">
        <w:rPr>
          <w:i/>
          <w:iCs/>
        </w:rPr>
        <w:t>y</w:t>
      </w:r>
      <w:r w:rsidRPr="00985FFB">
        <w:rPr>
          <w:i/>
          <w:iCs/>
          <w:vertAlign w:val="subscript"/>
        </w:rPr>
        <w:t>VA</w:t>
      </w:r>
      <w:proofErr w:type="spellEnd"/>
      <w:r w:rsidRPr="00985FFB">
        <w:t xml:space="preserve"> because both parameters affect growth and egg buffer depletion in the model and therefore </w:t>
      </w:r>
      <w:proofErr w:type="spellStart"/>
      <w:r w:rsidRPr="00985FFB">
        <w:t>can not</w:t>
      </w:r>
      <w:proofErr w:type="spellEnd"/>
      <w:r w:rsidRPr="00985FFB">
        <w:t xml:space="preserve">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these parameters, again using the visually best-fitting parameters from the simulations as initial values. The </w:t>
      </w:r>
      <w:proofErr w:type="gramStart"/>
      <w:r w:rsidRPr="00985FFB">
        <w:rPr>
          <w:rFonts w:cs="Times New Roman"/>
        </w:rPr>
        <w:t>full-life</w:t>
      </w:r>
      <w:proofErr w:type="gramEnd"/>
      <w:r w:rsidRPr="00985FFB">
        <w:rPr>
          <w:rFonts w:cs="Times New Roman"/>
        </w:rPr>
        <w:t xml:space="preserve"> predicted and observed data are shown in Figure 2. </w:t>
      </w:r>
    </w:p>
    <w:p w14:paraId="5AFED94E" w14:textId="77777777" w:rsidR="005F4420" w:rsidRPr="00985FFB" w:rsidRDefault="005F4420" w:rsidP="00966BCC">
      <w:pPr>
        <w:pStyle w:val="TS"/>
        <w:spacing w:line="360" w:lineRule="auto"/>
        <w:ind w:firstLine="720"/>
      </w:pPr>
      <w:r w:rsidRPr="00985FFB">
        <w:t>The length and reproductive data allowed us to calculate length at puberty (</w:t>
      </w:r>
      <w:proofErr w:type="spellStart"/>
      <w:r w:rsidRPr="00985FFB">
        <w:rPr>
          <w:i/>
          <w:iCs/>
        </w:rPr>
        <w:t>L</w:t>
      </w:r>
      <w:r w:rsidRPr="00985FFB">
        <w:rPr>
          <w:i/>
          <w:iCs/>
          <w:vertAlign w:val="subscript"/>
        </w:rPr>
        <w:t>Vp</w:t>
      </w:r>
      <w:proofErr w:type="spellEnd"/>
      <w:r w:rsidRPr="00985FFB">
        <w:t xml:space="preserve">), which in the DEB literature is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experiments that exposed fish to different CO</w:t>
      </w:r>
      <w:r w:rsidRPr="00985FFB">
        <w:rPr>
          <w:vertAlign w:val="subscript"/>
        </w:rPr>
        <w:t>2</w:t>
      </w:r>
      <w:r w:rsidRPr="00985FFB">
        <w:t xml:space="preserve"> levels, we only used data from control groups to avoid potential stressor effects in the data. </w:t>
      </w:r>
    </w:p>
    <w:p w14:paraId="626D132A" w14:textId="38708238" w:rsidR="005F4420" w:rsidRPr="00985FFB" w:rsidRDefault="005F4420" w:rsidP="00966BCC">
      <w:pPr>
        <w:pStyle w:val="TS"/>
        <w:spacing w:line="360" w:lineRule="auto"/>
        <w:rPr>
          <w:rFonts w:cs="Times New Roman"/>
        </w:rPr>
      </w:pPr>
    </w:p>
    <w:p w14:paraId="4F406048" w14:textId="655BD01B" w:rsidR="005F4420" w:rsidRPr="00C76DD0" w:rsidRDefault="005F4420" w:rsidP="00C76DD0">
      <w:pPr>
        <w:pStyle w:val="TS"/>
        <w:spacing w:line="360" w:lineRule="auto"/>
        <w:rPr>
          <w:i/>
          <w:iCs/>
        </w:rPr>
      </w:pPr>
      <w:bookmarkStart w:id="6" w:name="_Toc131592463"/>
      <w:r w:rsidRPr="00C76DD0">
        <w:rPr>
          <w:i/>
          <w:iCs/>
        </w:rPr>
        <w:t>Hypoxia Stress</w:t>
      </w:r>
      <w:bookmarkEnd w:id="6"/>
    </w:p>
    <w:p w14:paraId="570CBCB8" w14:textId="2FE3E408"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w:t>
      </w:r>
      <w:r w:rsidRPr="00985FFB">
        <w:lastRenderedPageBreak/>
        <w:t xml:space="preserve">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6EA86514" w14:textId="494CA82E" w:rsidR="00F860B0" w:rsidRDefault="005F4420" w:rsidP="00966BCC">
      <w:pPr>
        <w:pStyle w:val="TS"/>
        <w:spacing w:line="360" w:lineRule="auto"/>
        <w:rPr>
          <w:rFonts w:eastAsiaTheme="minorEastAsia"/>
        </w:rPr>
      </w:pPr>
      <w:r w:rsidRPr="00985FFB">
        <w:tab/>
      </w:r>
      <w:commentRangeStart w:id="7"/>
      <w:r w:rsidR="00F860B0">
        <w:rPr>
          <w:rFonts w:eastAsiaTheme="minorEastAsia"/>
        </w:rPr>
        <w:t>We</w:t>
      </w:r>
      <w:commentRangeEnd w:id="7"/>
      <w:r w:rsidR="00A97E5E">
        <w:rPr>
          <w:rStyle w:val="CommentReference"/>
          <w:rFonts w:ascii="Calibri" w:eastAsia="Calibri" w:hAnsi="Calibri" w:cs="Times New Roman"/>
        </w:rPr>
        <w:commentReference w:id="7"/>
      </w:r>
      <w:r w:rsidRPr="00985FFB">
        <w:rPr>
          <w:rFonts w:eastAsiaTheme="minorEastAsia"/>
        </w:rPr>
        <w:t xml:space="preserve"> used</w:t>
      </w:r>
      <w:r w:rsidR="00F860B0">
        <w:rPr>
          <w:rFonts w:eastAsiaTheme="minorEastAsia"/>
        </w:rPr>
        <w:t xml:space="preserve"> the concept of Synthesizing Units (SU) to derive a correction factor that would modify one or more parameters with decreasing oxygen. </w:t>
      </w:r>
      <w:r w:rsidR="00A97E5E">
        <w:rPr>
          <w:rFonts w:eastAsiaTheme="minorEastAsia"/>
        </w:rPr>
        <w:t xml:space="preserve">SUs </w:t>
      </w:r>
      <w:proofErr w:type="gramStart"/>
      <w:r w:rsidR="00A97E5E">
        <w:rPr>
          <w:rFonts w:eastAsiaTheme="minorEastAsia"/>
        </w:rPr>
        <w:t>are</w:t>
      </w:r>
      <w:proofErr w:type="gramEnd"/>
      <w:r w:rsidR="00A97E5E">
        <w:rPr>
          <w:rFonts w:eastAsiaTheme="minorEastAsia"/>
        </w:rPr>
        <w:t xml:space="preserve"> generalized enzymes, including those that convert oxygen and food into assimilates and assimilates into body structure</w:t>
      </w:r>
      <w:r w:rsidR="00805108">
        <w:rPr>
          <w:rFonts w:eastAsiaTheme="minorEastAsia"/>
        </w:rPr>
        <w:t xml:space="preserve"> (</w:t>
      </w:r>
      <w:proofErr w:type="spellStart"/>
      <w:r w:rsidR="00805108">
        <w:rPr>
          <w:rFonts w:eastAsiaTheme="minorEastAsia"/>
        </w:rPr>
        <w:t>Kooijman</w:t>
      </w:r>
      <w:proofErr w:type="spellEnd"/>
      <w:r w:rsidR="00805108">
        <w:rPr>
          <w:rFonts w:eastAsiaTheme="minorEastAsia"/>
        </w:rPr>
        <w:t>, 2010)</w:t>
      </w:r>
      <w:r w:rsidR="00A97E5E">
        <w:rPr>
          <w:rFonts w:eastAsiaTheme="minorEastAsia"/>
        </w:rPr>
        <w:t xml:space="preserve">. Although oxygen can be limiting to SUs, </w:t>
      </w:r>
      <w:r w:rsidR="00904E8E">
        <w:rPr>
          <w:rFonts w:eastAsiaTheme="minorEastAsia"/>
        </w:rPr>
        <w:t xml:space="preserve">previous work suggests that </w:t>
      </w:r>
      <w:r w:rsidR="00904E8E">
        <w:rPr>
          <w:rFonts w:eastAsiaTheme="minorEastAsia"/>
          <w:i/>
          <w:iCs/>
        </w:rPr>
        <w:t>M. menidia</w:t>
      </w:r>
      <w:r w:rsidR="00904E8E">
        <w:rPr>
          <w:rFonts w:eastAsiaTheme="minorEastAsia"/>
        </w:rPr>
        <w:t xml:space="preserve"> early life stages become metabolically oxygen-limited below 2.04</w:t>
      </w:r>
      <w:r w:rsidR="00E25829">
        <w:rPr>
          <w:rFonts w:eastAsiaTheme="minorEastAsia"/>
        </w:rPr>
        <w:t>4</w:t>
      </w:r>
      <w:r w:rsidR="00904E8E">
        <w:rPr>
          <w:rFonts w:eastAsiaTheme="minorEastAsia"/>
        </w:rPr>
        <w:t xml:space="preserve"> mg L</w:t>
      </w:r>
      <w:r w:rsidR="00904E8E">
        <w:rPr>
          <w:rFonts w:eastAsiaTheme="minorEastAsia"/>
          <w:vertAlign w:val="superscript"/>
        </w:rPr>
        <w:t>-1</w:t>
      </w:r>
      <w:r w:rsidR="00805108">
        <w:rPr>
          <w:rFonts w:eastAsiaTheme="minorEastAsia"/>
        </w:rPr>
        <w:t xml:space="preserve"> (Schwemmer, 2023),</w:t>
      </w:r>
      <w:r w:rsidR="00904E8E">
        <w:rPr>
          <w:rFonts w:eastAsiaTheme="minorEastAsia"/>
        </w:rPr>
        <w:t xml:space="preserve"> which is lower than the treatments in the datasets we use here. Instead, we hypothesized that hypoxia effects on growth, hatching, and survival occur through inhibition of assimilation or damage that reduces the conversion efficiency. We further implemented the SU concept to test the hypothesis that elevated</w:t>
      </w:r>
      <w:r w:rsidR="00E6245C">
        <w:rPr>
          <w:rFonts w:eastAsiaTheme="minorEastAsia"/>
        </w:rPr>
        <w:t xml:space="preserve"> demand for</w:t>
      </w:r>
      <w:r w:rsidR="00904E8E">
        <w:rPr>
          <w:rFonts w:eastAsiaTheme="minorEastAsia"/>
        </w:rPr>
        <w:t xml:space="preserve"> </w:t>
      </w:r>
      <w:commentRangeStart w:id="8"/>
      <w:commentRangeStart w:id="9"/>
      <w:r w:rsidR="00904E8E">
        <w:rPr>
          <w:rFonts w:eastAsiaTheme="minorEastAsia"/>
        </w:rPr>
        <w:t>maintenance</w:t>
      </w:r>
      <w:commentRangeEnd w:id="8"/>
      <w:r w:rsidR="00E6245C">
        <w:rPr>
          <w:rStyle w:val="CommentReference"/>
          <w:rFonts w:ascii="Calibri" w:eastAsia="Calibri" w:hAnsi="Calibri" w:cs="Times New Roman"/>
        </w:rPr>
        <w:commentReference w:id="8"/>
      </w:r>
      <w:commentRangeEnd w:id="9"/>
      <w:r w:rsidR="00DA2F0D">
        <w:rPr>
          <w:rStyle w:val="CommentReference"/>
          <w:rFonts w:ascii="Calibri" w:eastAsia="Calibri" w:hAnsi="Calibri" w:cs="Times New Roman"/>
        </w:rPr>
        <w:commentReference w:id="9"/>
      </w:r>
      <w:r w:rsidR="00904E8E">
        <w:rPr>
          <w:rFonts w:eastAsiaTheme="minorEastAsia"/>
        </w:rPr>
        <w:t xml:space="preserve"> is responsible for the observed impacts of hypoxia. </w:t>
      </w:r>
      <w:r w:rsidR="00DA2F0D">
        <w:rPr>
          <w:rFonts w:eastAsiaTheme="minorEastAsia"/>
        </w:rPr>
        <w:t xml:space="preserve">We therefore considered a single substrate growth SU in which food or egg buffer was the substrate and hypoxia was an inhibiting agent, damaging agent, or a combination of the two. </w:t>
      </w:r>
      <w:r w:rsidR="00BA0528">
        <w:rPr>
          <w:rFonts w:eastAsiaTheme="minorEastAsia"/>
        </w:rPr>
        <w:t>Although hypoxia itself cannot bind to a substrate itself, it can induce the production of compounds such as IGFBP-1 and lactate, which could in turn bind to substrates (CITATIONS).</w:t>
      </w:r>
    </w:p>
    <w:p w14:paraId="07A6280C" w14:textId="67348764" w:rsidR="00DE5099" w:rsidRDefault="00850F9F" w:rsidP="00966BCC">
      <w:pPr>
        <w:pStyle w:val="TS"/>
        <w:spacing w:line="360" w:lineRule="auto"/>
        <w:rPr>
          <w:rFonts w:eastAsiaTheme="minorEastAsia"/>
        </w:rPr>
      </w:pPr>
      <w:r>
        <w:rPr>
          <w:rFonts w:eastAsiaTheme="minorEastAsia"/>
        </w:rPr>
        <w:tab/>
        <w:t xml:space="preserve">We derived a correction factor using the framework </w:t>
      </w:r>
      <w:r w:rsidR="00BA0528">
        <w:rPr>
          <w:rFonts w:eastAsiaTheme="minorEastAsia"/>
        </w:rPr>
        <w:t>developed</w:t>
      </w:r>
      <w:r>
        <w:rPr>
          <w:rFonts w:eastAsiaTheme="minorEastAsia"/>
        </w:rPr>
        <w:t xml:space="preserve"> by Muller et al. (2019), in which inhibitors can act on SU dynamics in five different ways. Out of these, noncompetitive inhibition is best suited to this study because of data availability for </w:t>
      </w:r>
      <w:r>
        <w:rPr>
          <w:rFonts w:eastAsiaTheme="minorEastAsia"/>
          <w:i/>
          <w:iCs/>
        </w:rPr>
        <w:t>M. menidia</w:t>
      </w:r>
      <w:r>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lastRenderedPageBreak/>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 xml:space="preserve">0           </m:t>
                </m:r>
                <m:r>
                  <w:rPr>
                    <w:rFonts w:ascii="Cambria Math" w:eastAsiaTheme="minorEastAsia" w:hAnsi="Cambria Math"/>
                  </w:rPr>
                  <m:t>    </m:t>
                </m:r>
                <m:r>
                  <w:rPr>
                    <w:rFonts w:ascii="Cambria Math" w:eastAsiaTheme="minorEastAsia" w:hAnsi="Cambria Math"/>
                  </w:rPr>
                  <m:t xml:space="preserve">       </m:t>
                </m:r>
                <m:r>
                  <w:rPr>
                    <w:rFonts w:ascii="Cambria Math" w:eastAsiaTheme="minorEastAsia" w:hAnsi="Cambria Math"/>
                  </w:rPr>
                  <m:t>if D</m:t>
                </m:r>
                <m:r>
                  <w:rPr>
                    <w:rFonts w:ascii="Cambria Math" w:eastAsiaTheme="minorEastAsia" w:hAnsi="Cambria Math"/>
                  </w:rPr>
                  <m:t>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m:t>
                </m:r>
                <m:r>
                  <w:rPr>
                    <w:rFonts w:ascii="Cambria Math" w:eastAsiaTheme="minorEastAsia" w:hAnsi="Cambria Math"/>
                  </w:rPr>
                  <m:t>if DO</m:t>
                </m:r>
                <m:r>
                  <w:rPr>
                    <w:rFonts w:ascii="Cambria Math" w:eastAsiaTheme="minorEastAsia" w:hAnsi="Cambria Math"/>
                  </w:rPr>
                  <m:t>&gt;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027D5798" w14:textId="4E48AE7B" w:rsidR="007064BB"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w:t>
      </w:r>
      <w:proofErr w:type="gramStart"/>
      <w:r w:rsidRPr="00985FFB">
        <w:rPr>
          <w:rFonts w:eastAsiaTheme="minorEastAsia"/>
        </w:rPr>
        <w:t>becomes highly</w:t>
      </w:r>
      <w:proofErr w:type="gramEnd"/>
      <w:r w:rsidRPr="00985FFB">
        <w:rPr>
          <w:rFonts w:eastAsiaTheme="minorEastAsia"/>
        </w:rPr>
        <w:t xml:space="preserve">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r w:rsidR="005F4420" w:rsidRPr="00985FFB">
        <w:rPr>
          <w:rFonts w:eastAsiaTheme="minorEastAsia"/>
        </w:rPr>
        <w:t xml:space="preserve">This correction factor was multiplied by </w:t>
      </w:r>
      <w:r w:rsidR="005F4420" w:rsidRPr="00985FFB">
        <w:rPr>
          <w:rFonts w:eastAsiaTheme="minorEastAsia"/>
          <w:i/>
          <w:iCs/>
        </w:rPr>
        <w:t>J</w:t>
      </w:r>
      <w:r w:rsidR="005F4420" w:rsidRPr="00985FFB">
        <w:rPr>
          <w:rFonts w:eastAsiaTheme="minorEastAsia"/>
          <w:i/>
          <w:iCs/>
          <w:vertAlign w:val="superscript"/>
        </w:rPr>
        <w:t>a</w:t>
      </w:r>
      <w:r w:rsidR="005F4420" w:rsidRPr="00985FFB">
        <w:rPr>
          <w:rFonts w:eastAsiaTheme="minorEastAsia"/>
          <w:i/>
          <w:iCs/>
          <w:vertAlign w:val="subscript"/>
        </w:rPr>
        <w:t>Am</w:t>
      </w:r>
      <w:r w:rsidR="005F4420" w:rsidRPr="00985FFB">
        <w:rPr>
          <w:rFonts w:eastAsiaTheme="minorEastAsia"/>
        </w:rPr>
        <w:t xml:space="preserve"> and </w:t>
      </w:r>
      <w:proofErr w:type="spellStart"/>
      <w:r w:rsidR="005F4420" w:rsidRPr="00985FFB">
        <w:rPr>
          <w:rFonts w:eastAsiaTheme="minorEastAsia"/>
          <w:i/>
          <w:iCs/>
        </w:rPr>
        <w:t>y</w:t>
      </w:r>
      <w:r w:rsidR="005F4420" w:rsidRPr="00985FFB">
        <w:rPr>
          <w:rFonts w:eastAsiaTheme="minorEastAsia"/>
          <w:i/>
          <w:iCs/>
          <w:vertAlign w:val="subscript"/>
        </w:rPr>
        <w:t>VA</w:t>
      </w:r>
      <w:proofErr w:type="spellEnd"/>
      <w:r w:rsidR="005F4420" w:rsidRPr="00985FFB">
        <w:rPr>
          <w:rFonts w:eastAsiaTheme="minorEastAsia"/>
        </w:rPr>
        <w:t xml:space="preserve"> because these parameters were hypothesized to decrease under hypoxia. </w:t>
      </w:r>
      <w:r w:rsidR="007064BB">
        <w:rPr>
          <w:rFonts w:eastAsiaTheme="minorEastAsia"/>
        </w:rPr>
        <w:t xml:space="preserve">Although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7064BB">
        <w:rPr>
          <w:rFonts w:eastAsiaTheme="minorEastAsia"/>
        </w:rPr>
        <w:t>is not a flux or process that can be inhibited, it can be impacted by damage, the irreversible destruction of functionality of an SU (Muller et al., 2019).</w:t>
      </w:r>
      <w:r w:rsidR="00D55BE0">
        <w:rPr>
          <w:rFonts w:eastAsiaTheme="minorEastAsia"/>
        </w:rPr>
        <w:t xml:space="preserve"> However, if damage production is much slower than the maximum production rate of the SU, the model for noncompetitive damage is equivalent to that of noncompetitive inhibition (Muller et al., 2019).</w:t>
      </w:r>
      <w:r w:rsidR="007064BB">
        <w:rPr>
          <w:rFonts w:eastAsiaTheme="minorEastAsia"/>
        </w:rPr>
        <w:t xml:space="preserve"> The parameters for maintenance and mortality were divided by </w:t>
      </w:r>
      <w:r w:rsidR="007064BB">
        <w:rPr>
          <w:rFonts w:eastAsiaTheme="minorEastAsia"/>
          <w:i/>
          <w:iCs/>
        </w:rPr>
        <w:t>c</w:t>
      </w:r>
      <w:r w:rsidR="007064BB">
        <w:rPr>
          <w:rFonts w:eastAsiaTheme="minorEastAsia"/>
        </w:rPr>
        <w:t xml:space="preserve"> because they were hypothesized to increase, rather than decrease, </w:t>
      </w:r>
      <w:r w:rsidR="00D55BE0">
        <w:rPr>
          <w:rFonts w:eastAsiaTheme="minorEastAsia"/>
        </w:rPr>
        <w:t xml:space="preserve">with damage production and inhibition. </w:t>
      </w:r>
    </w:p>
    <w:p w14:paraId="4182A0B1" w14:textId="51F76038" w:rsidR="005F4420" w:rsidRPr="00985FFB" w:rsidRDefault="005F4420" w:rsidP="00966BCC">
      <w:pPr>
        <w:pStyle w:val="TS"/>
        <w:spacing w:line="360" w:lineRule="auto"/>
        <w:ind w:firstLine="720"/>
        <w:rPr>
          <w:rFonts w:eastAsiaTheme="minorEastAsia"/>
        </w:rPr>
      </w:pPr>
      <w:r w:rsidRPr="00985FFB">
        <w:rPr>
          <w:rFonts w:eastAsiaTheme="minorEastAsia"/>
        </w:rPr>
        <w:lastRenderedPageBreak/>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10" w:name="_Hlk130473177"/>
      <w:r w:rsidRPr="00985FFB">
        <w:rPr>
          <w:rFonts w:eastAsiaTheme="minorEastAsia"/>
        </w:rPr>
        <w:t xml:space="preserve"> 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w:t>
      </w:r>
      <w:bookmarkEnd w:id="10"/>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r w:rsidRPr="00985FFB">
        <w:rPr>
          <w:rFonts w:eastAsiaTheme="minorEastAsia"/>
        </w:rPr>
        <w:t xml:space="preserve">To identify the most likely version of the model (which parameter or combination of parameters best explain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71AF5049" w:rsidR="005F4420" w:rsidRPr="00C76DD0" w:rsidRDefault="005F4420" w:rsidP="00C76DD0">
      <w:pPr>
        <w:pStyle w:val="TS"/>
        <w:spacing w:line="360" w:lineRule="auto"/>
        <w:rPr>
          <w:b/>
          <w:bCs/>
        </w:rPr>
      </w:pPr>
      <w:bookmarkStart w:id="11" w:name="_Toc131592464"/>
      <w:r w:rsidRPr="00C76DD0">
        <w:rPr>
          <w:b/>
          <w:bCs/>
        </w:rPr>
        <w:t>Results</w:t>
      </w:r>
      <w:bookmarkEnd w:id="11"/>
    </w:p>
    <w:p w14:paraId="6DA80285" w14:textId="04BD3A35" w:rsidR="005F4420" w:rsidRPr="00C76DD0" w:rsidRDefault="005F4420" w:rsidP="00C76DD0">
      <w:pPr>
        <w:pStyle w:val="TS"/>
        <w:spacing w:line="360" w:lineRule="auto"/>
        <w:rPr>
          <w:i/>
          <w:iCs/>
        </w:rPr>
      </w:pPr>
      <w:bookmarkStart w:id="12" w:name="_Toc131592465"/>
      <w:proofErr w:type="spellStart"/>
      <w:r w:rsidRPr="00C76DD0">
        <w:rPr>
          <w:i/>
          <w:iCs/>
        </w:rPr>
        <w:t>DEBkiss</w:t>
      </w:r>
      <w:proofErr w:type="spellEnd"/>
      <w:r w:rsidRPr="00C76DD0">
        <w:rPr>
          <w:i/>
          <w:iCs/>
        </w:rPr>
        <w:t xml:space="preserve"> Model</w:t>
      </w:r>
      <w:bookmarkEnd w:id="12"/>
    </w:p>
    <w:p w14:paraId="5E44654A" w14:textId="4159C203" w:rsidR="005F4420" w:rsidRPr="00985FFB" w:rsidRDefault="005F4420" w:rsidP="00966BCC">
      <w:pPr>
        <w:pStyle w:val="TS"/>
        <w:spacing w:line="360" w:lineRule="auto"/>
        <w:ind w:firstLine="720"/>
      </w:pPr>
      <w:r w:rsidRPr="00985FFB">
        <w:t xml:space="preserve">We obtained realistic fits to all datasets (Figure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2. </w:t>
      </w:r>
    </w:p>
    <w:p w14:paraId="2B8529F4" w14:textId="2EA72D17" w:rsidR="005F4420" w:rsidRPr="00985FFB" w:rsidRDefault="005F4420" w:rsidP="00966BCC">
      <w:pPr>
        <w:pStyle w:val="TS"/>
        <w:spacing w:line="360" w:lineRule="auto"/>
        <w:ind w:firstLine="720"/>
      </w:pPr>
    </w:p>
    <w:p w14:paraId="5E798EB7" w14:textId="51B6DDE6" w:rsidR="005F4420" w:rsidRPr="00C76DD0" w:rsidRDefault="005F4420" w:rsidP="00C76DD0">
      <w:pPr>
        <w:pStyle w:val="TS"/>
        <w:spacing w:line="360" w:lineRule="auto"/>
        <w:rPr>
          <w:i/>
          <w:iCs/>
        </w:rPr>
      </w:pPr>
      <w:bookmarkStart w:id="13" w:name="_Toc131592466"/>
      <w:r w:rsidRPr="00C76DD0">
        <w:rPr>
          <w:i/>
          <w:iCs/>
        </w:rPr>
        <w:lastRenderedPageBreak/>
        <w:t>Hypoxia Stress</w:t>
      </w:r>
      <w:bookmarkEnd w:id="13"/>
    </w:p>
    <w:p w14:paraId="3B90753B" w14:textId="071C87FC"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It also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addition to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717E59DC" w:rsidR="002D0A78" w:rsidRPr="00985FFB"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 correction factor </w:t>
      </w:r>
      <w:r w:rsidRPr="00985FFB">
        <w:rPr>
          <w:i/>
          <w:iCs/>
        </w:rPr>
        <w:t>c</w:t>
      </w:r>
      <w:r w:rsidRPr="00985FFB">
        <w:t xml:space="preserve"> resulted in a</w:t>
      </w:r>
      <w:r w:rsidR="00C26F45">
        <w:t xml:space="preserve"> visually</w:t>
      </w:r>
      <w:r w:rsidRPr="00985FFB">
        <w:t xml:space="preserve"> good fit to the data across oxygen level</w:t>
      </w:r>
      <w:r w:rsidR="00C26F45">
        <w:t>s and variables</w:t>
      </w:r>
      <w:r w:rsidRPr="00985FFB">
        <w:t xml:space="preserve">. Combining the adjusted </w:t>
      </w:r>
      <w:r w:rsidRPr="00985FFB">
        <w:rPr>
          <w:i/>
          <w:iCs/>
        </w:rPr>
        <w:t>J</w:t>
      </w:r>
      <w:r w:rsidRPr="00985FFB">
        <w:rPr>
          <w:i/>
          <w:iCs/>
          <w:vertAlign w:val="superscript"/>
        </w:rPr>
        <w:t>a</w:t>
      </w:r>
      <w:r w:rsidRPr="00985FFB">
        <w:rPr>
          <w:i/>
          <w:iCs/>
          <w:vertAlign w:val="subscript"/>
        </w:rPr>
        <w:t>Am</w:t>
      </w:r>
      <w:r w:rsidRPr="00985FFB">
        <w:t xml:space="preserve"> with correction factors to increase both mortality rates improved the fit as well,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0C44891C" w14:textId="3C4C9CF0" w:rsidR="002D0A78" w:rsidRPr="00985FFB" w:rsidRDefault="002D0A78" w:rsidP="00C76DD0">
      <w:pPr>
        <w:pStyle w:val="TS"/>
        <w:spacing w:line="360" w:lineRule="auto"/>
      </w:pPr>
    </w:p>
    <w:p w14:paraId="622D6BA4" w14:textId="20C2C96A" w:rsidR="002D0A78" w:rsidRPr="00C76DD0" w:rsidRDefault="002D0A78" w:rsidP="00C76DD0">
      <w:pPr>
        <w:pStyle w:val="TS"/>
        <w:spacing w:line="360" w:lineRule="auto"/>
        <w:rPr>
          <w:b/>
          <w:bCs/>
        </w:rPr>
      </w:pPr>
      <w:bookmarkStart w:id="14" w:name="_Toc131592468"/>
      <w:r w:rsidRPr="00C76DD0">
        <w:rPr>
          <w:b/>
          <w:bCs/>
        </w:rPr>
        <w:t>Discussion</w:t>
      </w:r>
      <w:bookmarkEnd w:id="14"/>
    </w:p>
    <w:p w14:paraId="3E9BE832" w14:textId="77777777"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Pr="00985FFB">
        <w:rPr>
          <w:rFonts w:cs="Times New Roman"/>
        </w:rPr>
        <w:t xml:space="preserve">After we eliminated the parameters in </w:t>
      </w:r>
      <w:proofErr w:type="spellStart"/>
      <w:r w:rsidRPr="00985FFB">
        <w:rPr>
          <w:rFonts w:cs="Times New Roman"/>
        </w:rPr>
        <w:t>DEBkiss</w:t>
      </w:r>
      <w:proofErr w:type="spellEnd"/>
      <w:r w:rsidRPr="00985FFB">
        <w:rPr>
          <w:rFonts w:cs="Times New Roman"/>
        </w:rPr>
        <w:t xml:space="preserve"> that had no effect on the ecological endpoints (size, hatch timing, and survival), we discovered that applying correction factors to reduce the conversion efficiency for growth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w:t>
      </w:r>
      <w:r w:rsidRPr="00985FFB">
        <w:rPr>
          <w:rFonts w:cs="Times New Roman"/>
        </w:rPr>
        <w:lastRenderedPageBreak/>
        <w:t xml:space="preserve">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58%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Multiplying both the pre- and post-hatching mortality rates by the correction factor </w:t>
      </w:r>
      <w:r w:rsidRPr="00985FFB">
        <w:rPr>
          <w:rFonts w:cs="Times New Roman"/>
          <w:i/>
          <w:iCs/>
        </w:rPr>
        <w:t>c</w:t>
      </w:r>
      <w:r w:rsidRPr="00985FFB">
        <w:rPr>
          <w:rFonts w:cs="Times New Roman"/>
          <w:i/>
          <w:iCs/>
          <w:vertAlign w:val="subscript"/>
        </w:rPr>
        <w:t>1</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16EA939" w14:textId="69A01D96" w:rsidR="002D0A78" w:rsidRPr="00985FFB" w:rsidRDefault="002D0A78" w:rsidP="00C76DD0">
      <w:pPr>
        <w:pStyle w:val="TS"/>
        <w:spacing w:line="360" w:lineRule="auto"/>
        <w:ind w:firstLine="720"/>
        <w:rPr>
          <w:rFonts w:cs="Times New Roman"/>
        </w:rPr>
      </w:pPr>
      <w:r w:rsidRPr="00985FFB">
        <w:rPr>
          <w:rFonts w:cs="Times New Roman"/>
        </w:rPr>
        <w:t xml:space="preserve">Our best fitting model, according to </w:t>
      </w:r>
      <w:proofErr w:type="spellStart"/>
      <w:r w:rsidRPr="00985FFB">
        <w:rPr>
          <w:rFonts w:cs="Times New Roman"/>
        </w:rPr>
        <w:t>AICc</w:t>
      </w:r>
      <w:proofErr w:type="spellEnd"/>
      <w:r w:rsidRPr="00985FFB">
        <w:rPr>
          <w:rFonts w:cs="Times New Roman"/>
        </w:rPr>
        <w:t xml:space="preserve">, underestimated time to hatching and overestimated size at age, which suggests there either may be a different correction factor function that better fits the nonlinear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w:t>
      </w:r>
      <w:proofErr w:type="gramStart"/>
      <w:r w:rsidRPr="00985FFB">
        <w:rPr>
          <w:rFonts w:cs="Times New Roman"/>
        </w:rPr>
        <w:t>investigate</w:t>
      </w:r>
      <w:proofErr w:type="gramEnd"/>
      <w:r w:rsidRPr="00985FFB">
        <w:rPr>
          <w:rFonts w:cs="Times New Roman"/>
        </w:rPr>
        <w:t xml:space="preserv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594A451E" w:rsidR="002D0A78" w:rsidRPr="00985FFB" w:rsidRDefault="002D0A78" w:rsidP="00966BCC">
      <w:pPr>
        <w:pStyle w:val="TS"/>
        <w:spacing w:line="360" w:lineRule="auto"/>
        <w:ind w:firstLine="720"/>
        <w:rPr>
          <w:rFonts w:cs="Times New Roman"/>
        </w:rPr>
      </w:pPr>
      <w:r w:rsidRPr="00985FFB">
        <w:rPr>
          <w:rFonts w:cs="Times New Roman"/>
        </w:rPr>
        <w:t>Replacing conversion efficiency with</w:t>
      </w:r>
      <w:r w:rsidRPr="00985FFB">
        <w:rPr>
          <w:rFonts w:cs="Times New Roman"/>
          <w:i/>
          <w:iCs/>
        </w:rPr>
        <w:t xml:space="preserve"> </w:t>
      </w:r>
      <w:r w:rsidRPr="00985FFB">
        <w:rPr>
          <w:rFonts w:cs="Times New Roman"/>
        </w:rPr>
        <w:t xml:space="preserve">assimilation as the hypoxia-reduced parameter yielded a similar fit, likely because both parameters are used to calculate predicted growth and egg buffer depletion. However, applying correction factor </w:t>
      </w:r>
      <w:r w:rsidRPr="00985FFB">
        <w:rPr>
          <w:rFonts w:cs="Times New Roman"/>
          <w:i/>
          <w:iCs/>
        </w:rPr>
        <w:t>c</w:t>
      </w:r>
      <w:r w:rsidRPr="00985FFB">
        <w:rPr>
          <w:rFonts w:cs="Times New Roman"/>
        </w:rPr>
        <w:t xml:space="preserve"> to conversion efficiency explained the data slightly better than assimilation based on </w:t>
      </w:r>
      <w:proofErr w:type="spellStart"/>
      <w:r w:rsidRPr="00985FFB">
        <w:rPr>
          <w:rFonts w:cs="Times New Roman"/>
        </w:rPr>
        <w:t>AICc</w:t>
      </w:r>
      <w:proofErr w:type="spellEnd"/>
      <w:r w:rsidRPr="00985FFB">
        <w:rPr>
          <w:rFonts w:cs="Times New Roman"/>
        </w:rPr>
        <w:t xml:space="preserve">. Hypoxia could influence either the assimilation rate or the efficiency with which assimilates turn into structure could be affected by hypoxia. Under </w:t>
      </w:r>
      <w:r w:rsidRPr="00985FFB">
        <w:rPr>
          <w:rFonts w:cs="Times New Roman"/>
          <w:i/>
          <w:iCs/>
        </w:rPr>
        <w:t>ad libitum</w:t>
      </w:r>
      <w:r w:rsidRPr="00985FFB">
        <w:rPr>
          <w:rFonts w:cs="Times New Roman"/>
        </w:rPr>
        <w:t xml:space="preserve"> feeding, differences in assimilation of hatched larvae could indicate reduced ingestion with low oxygen, a common hypoxia response in fishes (Chabot and Dutil, 1999; Thomas et al., 2019). For embryos, on the other hand, reduced assimilation rates indicate </w:t>
      </w:r>
      <w:r w:rsidRPr="00985FFB">
        <w:rPr>
          <w:rFonts w:cs="Times New Roman"/>
        </w:rPr>
        <w:lastRenderedPageBreak/>
        <w:t xml:space="preserve">slower absorption of the yolk. Hypoxia has been shown to delay development in Atlantic salmon by reducing yolk absorption rates (Polymeropoulos et al., 2017). If assimilation rate were the only difference between hypoxia treatments, one would expect the offspring to reach the same size at hatching regardless of the timing. However, </w:t>
      </w:r>
      <w:r w:rsidRPr="00985FFB">
        <w:rPr>
          <w:rFonts w:cs="Times New Roman"/>
          <w:i/>
          <w:iCs/>
        </w:rPr>
        <w:t>M. menidia</w:t>
      </w:r>
      <w:r w:rsidRPr="00985FFB">
        <w:rPr>
          <w:rFonts w:cs="Times New Roman"/>
        </w:rPr>
        <w:t xml:space="preserve"> larvae had significant differences in hatch lengths between DO treatments (Cross et al., 2019), indicating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continue to reduce </w:t>
      </w:r>
      <w:proofErr w:type="spellStart"/>
      <w:proofErr w:type="gramStart"/>
      <w:r w:rsidRPr="00985FFB">
        <w:rPr>
          <w:rFonts w:cs="Times New Roman"/>
          <w:i/>
          <w:iCs/>
        </w:rPr>
        <w:t>y</w:t>
      </w:r>
      <w:r w:rsidRPr="00985FFB">
        <w:rPr>
          <w:rFonts w:cs="Times New Roman"/>
          <w:i/>
          <w:iCs/>
          <w:vertAlign w:val="subscript"/>
        </w:rPr>
        <w:t>VA</w:t>
      </w:r>
      <w:proofErr w:type="spellEnd"/>
      <w:proofErr w:type="gramEnd"/>
      <w:r w:rsidRPr="00985FFB">
        <w:rPr>
          <w:rFonts w:cs="Times New Roman"/>
        </w:rPr>
        <w:t xml:space="preserve"> but it may also be reduced by increased ventilation required during digestion (Chabot and Claireaux, 2008). The experimental DO levels are greater than the critical oxygen levels for oxygen-independent routine metabolism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of 2.04 mg L</w:t>
      </w:r>
      <w:r w:rsidRPr="00985FFB">
        <w:rPr>
          <w:rFonts w:cs="Times New Roman"/>
          <w:vertAlign w:val="superscript"/>
        </w:rPr>
        <w:t>-1</w:t>
      </w:r>
      <w:r w:rsidRPr="00985FFB">
        <w:rPr>
          <w:rFonts w:cs="Times New Roman"/>
        </w:rPr>
        <w:t xml:space="preserve"> and 1.56 mg L</w:t>
      </w:r>
      <w:r w:rsidRPr="00985FFB">
        <w:rPr>
          <w:rFonts w:cs="Times New Roman"/>
          <w:vertAlign w:val="superscript"/>
        </w:rPr>
        <w:t>-1</w:t>
      </w:r>
      <w:r w:rsidRPr="00985FFB">
        <w:rPr>
          <w:rFonts w:cs="Times New Roman"/>
        </w:rPr>
        <w:t xml:space="preserve"> for embryos and 5dph larvae, respectively (Schwemmer, </w:t>
      </w:r>
      <w:r w:rsidR="00805108">
        <w:rPr>
          <w:rFonts w:cs="Times New Roman"/>
        </w:rPr>
        <w:t>2023</w:t>
      </w:r>
      <w:r w:rsidRPr="00985FFB">
        <w:rPr>
          <w:rFonts w:cs="Times New Roman"/>
        </w:rPr>
        <w:t xml:space="preser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w:t>
      </w:r>
      <w:proofErr w:type="spellStart"/>
      <w:r w:rsidRPr="00985FFB">
        <w:rPr>
          <w:rFonts w:cs="Times New Roman"/>
        </w:rPr>
        <w:t>Nonnotte</w:t>
      </w:r>
      <w:proofErr w:type="spellEnd"/>
      <w:r w:rsidRPr="00985FFB">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sidRPr="00985FFB">
        <w:rPr>
          <w:rFonts w:cs="Times New Roman"/>
          <w:i/>
          <w:iCs/>
        </w:rPr>
        <w:t>M. menidia</w:t>
      </w:r>
      <w:r w:rsidRPr="00985FFB">
        <w:rPr>
          <w:rFonts w:cs="Times New Roman"/>
        </w:rPr>
        <w:t xml:space="preserve"> early life stages even at oxygen levels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76ED105D"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this model did not substantially improve the fit according to </w:t>
      </w:r>
      <w:proofErr w:type="spellStart"/>
      <w:r w:rsidRPr="00985FFB">
        <w:rPr>
          <w:rFonts w:cs="Times New Roman"/>
        </w:rPr>
        <w:t>AICc</w:t>
      </w:r>
      <w:proofErr w:type="spellEnd"/>
      <w:r w:rsidRPr="00985FFB">
        <w:rPr>
          <w:rFonts w:cs="Times New Roman"/>
        </w:rPr>
        <w:t>,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w:t>
      </w:r>
      <w:r w:rsidRPr="00985FFB">
        <w:rPr>
          <w:rFonts w:cs="Times New Roman"/>
        </w:rPr>
        <w:lastRenderedPageBreak/>
        <w:t>length at the time of hatching.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hypoxia in fish embryos is premature hatching (Kamler, 2008) which could allow swimming escape responses that increase maintenance costs,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In contrast, </w:t>
      </w:r>
      <w:r w:rsidRPr="00985FFB">
        <w:rPr>
          <w:rFonts w:cs="Times New Roman"/>
          <w:i/>
          <w:iCs/>
        </w:rPr>
        <w:t>M. menidia</w:t>
      </w:r>
      <w:r w:rsidRPr="00985FFB">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w:t>
      </w:r>
      <w:r w:rsidR="00805108">
        <w:rPr>
          <w:rFonts w:cs="Times New Roman"/>
        </w:rPr>
        <w:t xml:space="preserve"> et al., 2020</w:t>
      </w:r>
      <w:r w:rsidRPr="00985FFB">
        <w:rPr>
          <w:rFonts w:cs="Times New Roman"/>
        </w:rPr>
        <w:t xml:space="preserve">).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If such fluctuations were occurring in the </w:t>
      </w:r>
      <w:r w:rsidRPr="00985FFB">
        <w:rPr>
          <w:rFonts w:cs="Times New Roman"/>
          <w:i/>
          <w:iCs/>
        </w:rPr>
        <w:t>M. menidia</w:t>
      </w:r>
      <w:r w:rsidRPr="00985FFB">
        <w:rPr>
          <w:rFonts w:cs="Times New Roman"/>
        </w:rPr>
        <w:t xml:space="preserve"> offspring from this dataset, the net effect on maintenance was not discernible by our model. </w:t>
      </w:r>
    </w:p>
    <w:p w14:paraId="22869D6B" w14:textId="05E9C343" w:rsidR="002D0A78" w:rsidRPr="00985FFB" w:rsidRDefault="002D0A78" w:rsidP="00966BCC">
      <w:pPr>
        <w:pStyle w:val="TS"/>
        <w:spacing w:line="360" w:lineRule="auto"/>
        <w:rPr>
          <w:rFonts w:cs="Times New Roman"/>
        </w:rPr>
      </w:pPr>
      <w:r w:rsidRPr="00985FFB">
        <w:tab/>
        <w:t>Although both conversion efficiency and assimilation can explain hypoxia effects on total length and egg buffer mass over time, reducing them only produced a small decrease in survival relative to the data. A</w:t>
      </w:r>
      <w:r w:rsidRPr="00985FFB">
        <w:rPr>
          <w:rFonts w:cs="Times New Roman"/>
        </w:rPr>
        <w:t xml:space="preserve">pplying correction factor </w:t>
      </w:r>
      <w:r w:rsidRPr="00985FFB">
        <w:rPr>
          <w:rFonts w:cs="Times New Roman"/>
          <w:i/>
          <w:iCs/>
        </w:rPr>
        <w:t>c</w:t>
      </w:r>
      <w:r w:rsidRPr="00985FFB">
        <w:rPr>
          <w:rFonts w:cs="Times New Roman"/>
          <w:i/>
          <w:iCs/>
          <w:vertAlign w:val="subscript"/>
        </w:rPr>
        <w:t>1</w:t>
      </w:r>
      <w:r w:rsidRPr="00985FFB">
        <w:rPr>
          <w:rFonts w:cs="Times New Roman"/>
        </w:rPr>
        <w:t xml:space="preserve"> to both mortality rates better captured the great reductions in survival at both hatching 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w:t>
      </w:r>
      <w:r w:rsidR="00453D68" w:rsidRPr="00985FFB">
        <w:rPr>
          <w:rFonts w:cs="Times New Roman"/>
        </w:rPr>
        <w:t>3</w:t>
      </w:r>
      <w:r w:rsidRPr="00985FFB">
        <w:rPr>
          <w:rFonts w:cs="Times New Roman"/>
        </w:rPr>
        <w:t xml:space="preserve">). Including hypoxia effects for both pre- and post-hatching mortality rates allowed the model to </w:t>
      </w:r>
      <w:proofErr w:type="gramStart"/>
      <w:r w:rsidRPr="00985FFB">
        <w:rPr>
          <w:rFonts w:cs="Times New Roman"/>
        </w:rPr>
        <w:t>more closely predict these differences</w:t>
      </w:r>
      <w:proofErr w:type="gramEnd"/>
      <w:r w:rsidRPr="00985FFB">
        <w:rPr>
          <w:rFonts w:cs="Times New Roman"/>
        </w:rPr>
        <w:t xml:space="preserve"> in hypoxia effects in both stages and improve the fit based on </w:t>
      </w:r>
      <w:proofErr w:type="spellStart"/>
      <w:r w:rsidRPr="00985FFB">
        <w:rPr>
          <w:rFonts w:cs="Times New Roman"/>
        </w:rPr>
        <w:t>ΔAICc</w:t>
      </w:r>
      <w:proofErr w:type="spellEnd"/>
      <w:r w:rsidRPr="00985FFB">
        <w:rPr>
          <w:rFonts w:cs="Times New Roman"/>
        </w:rPr>
        <w:t xml:space="preserve"> (Table </w:t>
      </w:r>
      <w:r w:rsidR="00B70AAA">
        <w:rPr>
          <w:rFonts w:cs="Times New Roman"/>
        </w:rPr>
        <w:t>5</w:t>
      </w:r>
      <w:r w:rsidRPr="00985FFB">
        <w:rPr>
          <w:rFonts w:cs="Times New Roman"/>
        </w:rPr>
        <w:t xml:space="preserve">).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w:t>
      </w:r>
      <w:r w:rsidRPr="00985FFB">
        <w:rPr>
          <w:rFonts w:cs="Times New Roman"/>
        </w:rPr>
        <w:lastRenderedPageBreak/>
        <w:t xml:space="preserve">(Richards, 2009) and, specifically in embryos, failure to reach a viable level of complexity before the yolk is depleted (Jager et al., 2013). The latter could be an indirect effect of reduced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sidRPr="00985FFB">
        <w:rPr>
          <w:rFonts w:cs="Times New Roman"/>
        </w:rPr>
        <w:t>4</w:t>
      </w:r>
      <w:r w:rsidRPr="00985FFB">
        <w:rPr>
          <w:rFonts w:cs="Times New Roman"/>
        </w:rPr>
        <w:t>),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sidRPr="00985FFB">
        <w:rPr>
          <w:rFonts w:cs="Times New Roman"/>
          <w:i/>
          <w:iCs/>
        </w:rPr>
        <w:t xml:space="preserve">M. menidia </w:t>
      </w:r>
      <w:r w:rsidRPr="00985FFB">
        <w:rPr>
          <w:rFonts w:cs="Times New Roman"/>
        </w:rPr>
        <w:t xml:space="preserve">to begin feeding almost immediately after hatching (Middaugh and </w:t>
      </w:r>
      <w:proofErr w:type="spellStart"/>
      <w:r w:rsidRPr="00985FFB">
        <w:rPr>
          <w:rFonts w:cs="Times New Roman"/>
        </w:rPr>
        <w:t>Lempesis</w:t>
      </w:r>
      <w:proofErr w:type="spellEnd"/>
      <w:r w:rsidRPr="00985FFB">
        <w:rPr>
          <w:rFonts w:cs="Times New Roman"/>
        </w:rPr>
        <w:t xml:space="preserve">, 1976). Furthermore, swimming upward for aquatic surface respiration may inhibit feeding, thus creating </w:t>
      </w:r>
      <w:proofErr w:type="gramStart"/>
      <w:r w:rsidRPr="00985FFB">
        <w:rPr>
          <w:rFonts w:cs="Times New Roman"/>
        </w:rPr>
        <w:t>a positive feedback of additional energetic costs</w:t>
      </w:r>
      <w:proofErr w:type="gramEnd"/>
      <w:r w:rsidRPr="00985FFB">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339CAC2A" w:rsidR="002D0A78" w:rsidRPr="00985FFB" w:rsidRDefault="002D0A78" w:rsidP="00966BC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sidRPr="00985FFB">
        <w:rPr>
          <w:rFonts w:cs="Times New Roman"/>
        </w:rPr>
        <w:t>Kooijman</w:t>
      </w:r>
      <w:proofErr w:type="spellEnd"/>
      <w:r w:rsidRPr="00985FFB">
        <w:rPr>
          <w:rFonts w:cs="Times New Roman"/>
        </w:rPr>
        <w:t xml:space="preserve"> et al., 2020; Lavaud et al., 2021). An important assumption of our model is that several of the parameters have the same value across life stages (e.g. </w:t>
      </w:r>
      <w:r w:rsidRPr="00985FFB">
        <w:rPr>
          <w:rFonts w:cs="Times New Roman"/>
          <w:i/>
          <w:iCs/>
        </w:rPr>
        <w:t>J</w:t>
      </w:r>
      <w:r w:rsidRPr="00985FFB">
        <w:rPr>
          <w:rFonts w:cs="Times New Roman"/>
          <w:i/>
          <w:iCs/>
          <w:vertAlign w:val="superscript"/>
        </w:rPr>
        <w:t>a</w:t>
      </w:r>
      <w:r w:rsidRPr="00985FFB">
        <w:rPr>
          <w:rFonts w:cs="Times New Roman"/>
          <w:i/>
          <w:iCs/>
          <w:vertAlign w:val="subscript"/>
        </w:rPr>
        <w:t>Am</w:t>
      </w:r>
      <w:r w:rsidRPr="00985FFB">
        <w:rPr>
          <w:rFonts w:cs="Times New Roman"/>
        </w:rPr>
        <w:t xml:space="preserve">, </w:t>
      </w:r>
      <w:proofErr w:type="spellStart"/>
      <w:r w:rsidRPr="00985FFB">
        <w:rPr>
          <w:rFonts w:cs="Times New Roman"/>
          <w:i/>
          <w:iCs/>
        </w:rPr>
        <w:t>J</w:t>
      </w:r>
      <w:r w:rsidRPr="00985FFB">
        <w:rPr>
          <w:rFonts w:cs="Times New Roman"/>
          <w:i/>
          <w:iCs/>
          <w:vertAlign w:val="superscript"/>
        </w:rPr>
        <w:t>v</w:t>
      </w:r>
      <w:r w:rsidRPr="00985FFB">
        <w:rPr>
          <w:rFonts w:cs="Times New Roman"/>
          <w:i/>
          <w:iCs/>
          <w:vertAlign w:val="subscript"/>
        </w:rPr>
        <w:t>M</w:t>
      </w:r>
      <w:proofErr w:type="spellEnd"/>
      <w:r w:rsidRPr="00985FFB">
        <w:rPr>
          <w:rFonts w:cs="Times New Roman"/>
        </w:rPr>
        <w:t xml:space="preserve">,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sidRPr="00985FFB">
        <w:rPr>
          <w:rFonts w:cs="Times New Roman"/>
          <w:i/>
          <w:iCs/>
        </w:rPr>
        <w:t>κ</w:t>
      </w:r>
      <w:r w:rsidRPr="00985FFB">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w:t>
      </w:r>
      <w:r w:rsidRPr="00985FFB">
        <w:rPr>
          <w:rFonts w:cs="Times New Roman"/>
        </w:rPr>
        <w:lastRenderedPageBreak/>
        <w:t xml:space="preserve">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p>
    <w:p w14:paraId="5A3A8B6C" w14:textId="785F17C2" w:rsidR="002D0A78" w:rsidRPr="00985FFB" w:rsidRDefault="002D0A78" w:rsidP="00966BCC">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sidRPr="00985FFB">
        <w:rPr>
          <w:rFonts w:cs="Times New Roman"/>
        </w:rPr>
        <w:t>Goussen</w:t>
      </w:r>
      <w:proofErr w:type="spellEnd"/>
      <w:r w:rsidRPr="00985FFB">
        <w:rPr>
          <w:rFonts w:cs="Times New Roman"/>
        </w:rPr>
        <w:t xml:space="preserve">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w:t>
      </w:r>
      <w:r w:rsidRPr="00985FFB">
        <w:rPr>
          <w:rFonts w:cs="Times New Roman"/>
        </w:rPr>
        <w:lastRenderedPageBreak/>
        <w:t xml:space="preserve">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Pr="00985FFB" w:rsidRDefault="002D0A78" w:rsidP="002D0A78">
      <w:pPr>
        <w:pStyle w:val="TS"/>
        <w:spacing w:line="480" w:lineRule="auto"/>
        <w:ind w:firstLine="720"/>
        <w:rPr>
          <w:rFonts w:cs="Times New Roman"/>
        </w:rPr>
      </w:pP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Pr="00985FFB"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729AFB8" w14:textId="77777777" w:rsidR="002D0A78" w:rsidRPr="00985FFB" w:rsidRDefault="002D0A78" w:rsidP="002D0A78">
      <w:pPr>
        <w:pStyle w:val="TS"/>
        <w:ind w:left="720" w:hanging="720"/>
      </w:pPr>
    </w:p>
    <w:p w14:paraId="0B247F44" w14:textId="5BB4839B"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Pr="00985FFB"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Claireaux,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lastRenderedPageBreak/>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r w:rsidRPr="00985FFB">
        <w:t xml:space="preserve">Claireaux,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Pr="00985FFB" w:rsidRDefault="002D0A78" w:rsidP="002D0A78">
      <w:pPr>
        <w:pStyle w:val="TS"/>
        <w:ind w:left="720" w:hanging="720"/>
      </w:pPr>
      <w:r w:rsidRPr="00985FFB">
        <w:t xml:space="preserve">Farrell, A. P. and Brauner, C. J. 2009. Fish Physiology, Vol. 27: Hypoxia. Academic Press, London.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lastRenderedPageBreak/>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proofErr w:type="spellStart"/>
      <w:r w:rsidRPr="00985FFB">
        <w:t>Goussen</w:t>
      </w:r>
      <w:proofErr w:type="spellEnd"/>
      <w:r w:rsidRPr="00985FFB">
        <w:t xml:space="preserve">,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Pr="00985FFB"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Pr="00985FFB" w:rsidRDefault="002D0A78" w:rsidP="002D0A78">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0007B7EB" w14:textId="77777777" w:rsidR="002D0A78" w:rsidRPr="00985FFB" w:rsidRDefault="002D0A78" w:rsidP="002D0A78">
      <w:pPr>
        <w:pStyle w:val="TS"/>
        <w:ind w:left="720" w:hanging="720"/>
      </w:pPr>
    </w:p>
    <w:p w14:paraId="4F735944" w14:textId="3FD8ECF8" w:rsidR="002D0A78" w:rsidRPr="00985FFB" w:rsidRDefault="002D0A78" w:rsidP="002D0A78">
      <w:pPr>
        <w:pStyle w:val="TS"/>
        <w:ind w:left="720" w:hanging="720"/>
      </w:pPr>
      <w:proofErr w:type="spellStart"/>
      <w:r w:rsidRPr="00985FFB">
        <w:t>Jusup</w:t>
      </w:r>
      <w:proofErr w:type="spellEnd"/>
      <w:r w:rsidRPr="00985FFB">
        <w:t xml:space="preserve">, M., Sousa, T., Domingos, T., </w:t>
      </w:r>
      <w:proofErr w:type="spellStart"/>
      <w:r w:rsidRPr="00985FFB">
        <w:t>Labinac</w:t>
      </w:r>
      <w:proofErr w:type="spellEnd"/>
      <w:r w:rsidRPr="00985FFB">
        <w:t xml:space="preserve">,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lastRenderedPageBreak/>
        <w:t xml:space="preserve">Klahre,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5C3F7A60" w:rsidR="002D0A78" w:rsidRPr="00985FFB" w:rsidRDefault="002D0A78" w:rsidP="002D0A78">
      <w:pPr>
        <w:pStyle w:val="TS"/>
        <w:ind w:left="720" w:hanging="720"/>
      </w:pPr>
      <w:proofErr w:type="spellStart"/>
      <w:r w:rsidRPr="00985FFB">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4779E005"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r>
        <w:rPr>
          <w:i/>
          <w:iCs/>
        </w:rPr>
        <w:t xml:space="preserve">Menidia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Pr="00985FFB" w:rsidRDefault="002D0A78"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Pr="00985FFB"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lastRenderedPageBreak/>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18BB6F" w14:textId="0BEE7357" w:rsidR="00861978" w:rsidRPr="00861978" w:rsidRDefault="00861978" w:rsidP="002D0A78">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xml:space="preserve">, 143: 165-172.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Pr="00985FFB"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CD0E613" w14:textId="3985C6E9"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Wikfors, G. H., and Meseck,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xml:space="preserve">. (Ed. J. G. Richards, A. P. </w:t>
      </w:r>
      <w:proofErr w:type="gramStart"/>
      <w:r w:rsidRPr="00985FFB">
        <w:t>Farrell</w:t>
      </w:r>
      <w:proofErr w:type="gramEnd"/>
      <w:r w:rsidRPr="00985FFB">
        <w:t xml:space="preserve">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lastRenderedPageBreak/>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Pr="00985FFB"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r w:rsidR="00B27B73">
        <w:rPr>
          <w:i/>
          <w:iCs/>
        </w:rPr>
        <w:t xml:space="preserve">Menidia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Pr="00985FFB"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lastRenderedPageBreak/>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Pr="00985FFB"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Claireaux,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21B6ECDE" w14:textId="366B7A6D" w:rsidR="002D0A78" w:rsidRPr="00985FFB"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Claireaux,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15" w:name="_Toc131592470"/>
      <w:bookmarkStart w:id="16" w:name="_Hlk155640458"/>
      <w:r w:rsidRPr="00C76DD0">
        <w:rPr>
          <w:b/>
          <w:bCs/>
        </w:rPr>
        <w:lastRenderedPageBreak/>
        <w:t>Figures</w:t>
      </w:r>
      <w:bookmarkEnd w:id="15"/>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4"/>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17" w:name="_Toc131592471"/>
      <w:r w:rsidRPr="00C76DD0">
        <w:rPr>
          <w:b/>
          <w:bCs/>
        </w:rPr>
        <w:lastRenderedPageBreak/>
        <w:t>Tables</w:t>
      </w:r>
      <w:bookmarkEnd w:id="17"/>
    </w:p>
    <w:p w14:paraId="0CBEA3F7" w14:textId="77777777" w:rsidR="00C76DD0" w:rsidRDefault="00C76DD0" w:rsidP="00966BCC">
      <w:pPr>
        <w:pStyle w:val="TS"/>
        <w:rPr>
          <w:b/>
          <w:bCs/>
        </w:rPr>
      </w:pPr>
      <w:bookmarkStart w:id="18" w:name="_Hlk131598981"/>
    </w:p>
    <w:p w14:paraId="4E8CD65A" w14:textId="678C4EF9" w:rsidR="007539A0" w:rsidRPr="00985FFB" w:rsidRDefault="007539A0" w:rsidP="00966BCC">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1B3528">
        <w:tc>
          <w:tcPr>
            <w:tcW w:w="4608" w:type="dxa"/>
          </w:tcPr>
          <w:p w14:paraId="0C082339" w14:textId="77777777" w:rsidR="007539A0" w:rsidRPr="00985FFB" w:rsidRDefault="007539A0" w:rsidP="001B3528">
            <w:pPr>
              <w:pStyle w:val="TS"/>
              <w:rPr>
                <w:b/>
                <w:bCs/>
              </w:rPr>
            </w:pPr>
            <w:r w:rsidRPr="00985FFB">
              <w:rPr>
                <w:b/>
                <w:bCs/>
              </w:rPr>
              <w:t>Parameter</w:t>
            </w:r>
          </w:p>
        </w:tc>
        <w:tc>
          <w:tcPr>
            <w:tcW w:w="1170" w:type="dxa"/>
          </w:tcPr>
          <w:p w14:paraId="2F3C0418" w14:textId="77777777" w:rsidR="007539A0" w:rsidRPr="00985FFB" w:rsidRDefault="007539A0" w:rsidP="001B3528">
            <w:pPr>
              <w:pStyle w:val="TS"/>
              <w:rPr>
                <w:b/>
                <w:bCs/>
              </w:rPr>
            </w:pPr>
            <w:r w:rsidRPr="00985FFB">
              <w:rPr>
                <w:b/>
                <w:bCs/>
              </w:rPr>
              <w:t>Symbol</w:t>
            </w:r>
          </w:p>
        </w:tc>
        <w:tc>
          <w:tcPr>
            <w:tcW w:w="1440" w:type="dxa"/>
          </w:tcPr>
          <w:p w14:paraId="2C75E403" w14:textId="77777777" w:rsidR="007539A0" w:rsidRPr="00985FFB" w:rsidRDefault="007539A0" w:rsidP="001B3528">
            <w:pPr>
              <w:pStyle w:val="TS"/>
              <w:rPr>
                <w:b/>
                <w:bCs/>
              </w:rPr>
            </w:pPr>
            <w:r w:rsidRPr="00985FFB">
              <w:rPr>
                <w:b/>
                <w:bCs/>
              </w:rPr>
              <w:t>Fixed or estimated</w:t>
            </w:r>
          </w:p>
        </w:tc>
        <w:tc>
          <w:tcPr>
            <w:tcW w:w="2430" w:type="dxa"/>
          </w:tcPr>
          <w:p w14:paraId="41B91205" w14:textId="77777777" w:rsidR="007539A0" w:rsidRPr="00985FFB" w:rsidRDefault="007539A0" w:rsidP="001B3528">
            <w:pPr>
              <w:pStyle w:val="TS"/>
              <w:rPr>
                <w:b/>
                <w:bCs/>
              </w:rPr>
            </w:pPr>
            <w:r w:rsidRPr="00985FFB">
              <w:rPr>
                <w:b/>
                <w:bCs/>
              </w:rPr>
              <w:t>Value</w:t>
            </w:r>
          </w:p>
        </w:tc>
      </w:tr>
      <w:tr w:rsidR="00985FFB" w:rsidRPr="00985FFB" w14:paraId="1ECBA0E7" w14:textId="77777777" w:rsidTr="001B3528">
        <w:tc>
          <w:tcPr>
            <w:tcW w:w="4608" w:type="dxa"/>
          </w:tcPr>
          <w:p w14:paraId="1C54CD80" w14:textId="77777777" w:rsidR="007539A0" w:rsidRPr="00985FFB" w:rsidRDefault="007539A0" w:rsidP="001B3528">
            <w:pPr>
              <w:pStyle w:val="TS"/>
            </w:pPr>
            <w:r w:rsidRPr="00985FFB">
              <w:t>Max. area-specific assimilation rate</w:t>
            </w:r>
          </w:p>
        </w:tc>
        <w:tc>
          <w:tcPr>
            <w:tcW w:w="1170" w:type="dxa"/>
          </w:tcPr>
          <w:p w14:paraId="7C5C780B" w14:textId="77777777" w:rsidR="007539A0" w:rsidRPr="00985FFB" w:rsidRDefault="007539A0" w:rsidP="001B3528">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1B3528">
            <w:pPr>
              <w:pStyle w:val="TS"/>
            </w:pPr>
            <w:r w:rsidRPr="00985FFB">
              <w:t>Estimated</w:t>
            </w:r>
          </w:p>
        </w:tc>
        <w:tc>
          <w:tcPr>
            <w:tcW w:w="2430" w:type="dxa"/>
          </w:tcPr>
          <w:p w14:paraId="0EC10AE5" w14:textId="77777777" w:rsidR="007539A0" w:rsidRPr="00985FFB" w:rsidRDefault="007539A0" w:rsidP="001B3528">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1B3528">
        <w:tc>
          <w:tcPr>
            <w:tcW w:w="4608" w:type="dxa"/>
          </w:tcPr>
          <w:p w14:paraId="04E880C2" w14:textId="77777777" w:rsidR="007539A0" w:rsidRPr="00985FFB" w:rsidRDefault="007539A0" w:rsidP="001B3528">
            <w:pPr>
              <w:pStyle w:val="TS"/>
            </w:pPr>
            <w:r w:rsidRPr="00985FFB">
              <w:t>Max. volume-specific maintenance rate</w:t>
            </w:r>
          </w:p>
        </w:tc>
        <w:tc>
          <w:tcPr>
            <w:tcW w:w="1170" w:type="dxa"/>
          </w:tcPr>
          <w:p w14:paraId="66A046D9"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1B3528">
            <w:pPr>
              <w:pStyle w:val="TS"/>
            </w:pPr>
            <w:r w:rsidRPr="00985FFB">
              <w:t>Fixed</w:t>
            </w:r>
          </w:p>
        </w:tc>
        <w:tc>
          <w:tcPr>
            <w:tcW w:w="2430" w:type="dxa"/>
          </w:tcPr>
          <w:p w14:paraId="5DA99423" w14:textId="77777777" w:rsidR="007539A0" w:rsidRPr="00985FFB" w:rsidRDefault="007539A0" w:rsidP="001B3528">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1B3528">
        <w:tc>
          <w:tcPr>
            <w:tcW w:w="4608" w:type="dxa"/>
          </w:tcPr>
          <w:p w14:paraId="4D5CAF54" w14:textId="77777777" w:rsidR="007539A0" w:rsidRPr="00985FFB" w:rsidRDefault="007539A0" w:rsidP="001B3528">
            <w:pPr>
              <w:pStyle w:val="TS"/>
            </w:pPr>
            <w:r w:rsidRPr="00985FFB">
              <w:t>Initial egg buffer mass</w:t>
            </w:r>
          </w:p>
        </w:tc>
        <w:tc>
          <w:tcPr>
            <w:tcW w:w="1170" w:type="dxa"/>
          </w:tcPr>
          <w:p w14:paraId="77BF0AC5" w14:textId="77777777" w:rsidR="007539A0" w:rsidRPr="00985FFB" w:rsidRDefault="007539A0" w:rsidP="001B3528">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1B3528">
            <w:pPr>
              <w:pStyle w:val="TS"/>
            </w:pPr>
            <w:r w:rsidRPr="00985FFB">
              <w:t>Fixed</w:t>
            </w:r>
          </w:p>
        </w:tc>
        <w:tc>
          <w:tcPr>
            <w:tcW w:w="2430" w:type="dxa"/>
          </w:tcPr>
          <w:p w14:paraId="4D685193" w14:textId="77777777" w:rsidR="007539A0" w:rsidRPr="00985FFB" w:rsidRDefault="007539A0" w:rsidP="001B3528">
            <w:pPr>
              <w:pStyle w:val="TS"/>
            </w:pPr>
            <w:r w:rsidRPr="00985FFB">
              <w:t>0.15 mg</w:t>
            </w:r>
          </w:p>
        </w:tc>
      </w:tr>
      <w:tr w:rsidR="00985FFB" w:rsidRPr="00985FFB" w14:paraId="470B89C7" w14:textId="77777777" w:rsidTr="001B3528">
        <w:tc>
          <w:tcPr>
            <w:tcW w:w="4608" w:type="dxa"/>
          </w:tcPr>
          <w:p w14:paraId="5CFC3C48" w14:textId="77777777" w:rsidR="007539A0" w:rsidRPr="00985FFB" w:rsidRDefault="007539A0" w:rsidP="001B3528">
            <w:pPr>
              <w:pStyle w:val="TS"/>
            </w:pPr>
            <w:r w:rsidRPr="00985FFB">
              <w:t>Total length at puberty</w:t>
            </w:r>
          </w:p>
        </w:tc>
        <w:tc>
          <w:tcPr>
            <w:tcW w:w="1170" w:type="dxa"/>
          </w:tcPr>
          <w:p w14:paraId="53A17E15" w14:textId="77777777" w:rsidR="007539A0" w:rsidRPr="00985FFB" w:rsidRDefault="007539A0" w:rsidP="001B3528">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1B3528">
            <w:pPr>
              <w:pStyle w:val="TS"/>
            </w:pPr>
            <w:r w:rsidRPr="00985FFB">
              <w:t>Fixed</w:t>
            </w:r>
          </w:p>
        </w:tc>
        <w:tc>
          <w:tcPr>
            <w:tcW w:w="2430" w:type="dxa"/>
          </w:tcPr>
          <w:p w14:paraId="353B8289" w14:textId="77777777" w:rsidR="007539A0" w:rsidRPr="00985FFB" w:rsidRDefault="007539A0" w:rsidP="001B3528">
            <w:pPr>
              <w:pStyle w:val="TS"/>
            </w:pPr>
            <w:r w:rsidRPr="00985FFB">
              <w:t>102 mm</w:t>
            </w:r>
          </w:p>
        </w:tc>
      </w:tr>
      <w:tr w:rsidR="00985FFB" w:rsidRPr="00985FFB" w14:paraId="3A5760B2" w14:textId="77777777" w:rsidTr="001B3528">
        <w:tc>
          <w:tcPr>
            <w:tcW w:w="4608" w:type="dxa"/>
          </w:tcPr>
          <w:p w14:paraId="20B16020" w14:textId="77777777" w:rsidR="007539A0" w:rsidRPr="00985FFB" w:rsidRDefault="007539A0" w:rsidP="001B3528">
            <w:pPr>
              <w:pStyle w:val="TS"/>
            </w:pPr>
            <w:r w:rsidRPr="00985FFB">
              <w:t>Yield of assimilates on volume</w:t>
            </w:r>
          </w:p>
        </w:tc>
        <w:tc>
          <w:tcPr>
            <w:tcW w:w="1170" w:type="dxa"/>
          </w:tcPr>
          <w:p w14:paraId="4FC17461" w14:textId="77777777" w:rsidR="007539A0" w:rsidRPr="00985FFB" w:rsidRDefault="007539A0" w:rsidP="001B3528">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1B3528">
            <w:pPr>
              <w:pStyle w:val="TS"/>
            </w:pPr>
            <w:r w:rsidRPr="00985FFB">
              <w:t>Fixed</w:t>
            </w:r>
          </w:p>
        </w:tc>
        <w:tc>
          <w:tcPr>
            <w:tcW w:w="2430" w:type="dxa"/>
          </w:tcPr>
          <w:p w14:paraId="0461E33D" w14:textId="77777777" w:rsidR="007539A0" w:rsidRPr="00985FFB" w:rsidRDefault="007539A0" w:rsidP="001B3528">
            <w:pPr>
              <w:pStyle w:val="TS"/>
            </w:pPr>
            <w:r w:rsidRPr="00985FFB">
              <w:t>0.8</w:t>
            </w:r>
          </w:p>
        </w:tc>
      </w:tr>
      <w:tr w:rsidR="00985FFB" w:rsidRPr="00985FFB" w14:paraId="7BFE725B" w14:textId="77777777" w:rsidTr="001B3528">
        <w:tc>
          <w:tcPr>
            <w:tcW w:w="4608" w:type="dxa"/>
          </w:tcPr>
          <w:p w14:paraId="452555B8" w14:textId="77777777" w:rsidR="007539A0" w:rsidRPr="00985FFB" w:rsidRDefault="007539A0" w:rsidP="001B3528">
            <w:pPr>
              <w:pStyle w:val="TS"/>
            </w:pPr>
            <w:r w:rsidRPr="00985FFB">
              <w:t xml:space="preserve">Yield of egg buffer on assimilates </w:t>
            </w:r>
          </w:p>
        </w:tc>
        <w:tc>
          <w:tcPr>
            <w:tcW w:w="1170" w:type="dxa"/>
          </w:tcPr>
          <w:p w14:paraId="44565181" w14:textId="77777777" w:rsidR="007539A0" w:rsidRPr="00985FFB" w:rsidRDefault="007539A0" w:rsidP="001B3528">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1B3528">
            <w:pPr>
              <w:pStyle w:val="TS"/>
            </w:pPr>
            <w:r w:rsidRPr="00985FFB">
              <w:t>Fixed</w:t>
            </w:r>
          </w:p>
        </w:tc>
        <w:tc>
          <w:tcPr>
            <w:tcW w:w="2430" w:type="dxa"/>
          </w:tcPr>
          <w:p w14:paraId="0D89D6B4" w14:textId="77777777" w:rsidR="007539A0" w:rsidRPr="00985FFB" w:rsidRDefault="007539A0" w:rsidP="001B3528">
            <w:pPr>
              <w:pStyle w:val="TS"/>
            </w:pPr>
            <w:r w:rsidRPr="00985FFB">
              <w:t>0.95</w:t>
            </w:r>
          </w:p>
        </w:tc>
      </w:tr>
      <w:tr w:rsidR="00985FFB" w:rsidRPr="00985FFB" w14:paraId="3C151978" w14:textId="77777777" w:rsidTr="001B3528">
        <w:tc>
          <w:tcPr>
            <w:tcW w:w="4608" w:type="dxa"/>
          </w:tcPr>
          <w:p w14:paraId="6B760B63" w14:textId="77777777" w:rsidR="007539A0" w:rsidRPr="00985FFB" w:rsidRDefault="007539A0" w:rsidP="001B3528">
            <w:pPr>
              <w:pStyle w:val="TS"/>
            </w:pPr>
            <w:r w:rsidRPr="00985FFB">
              <w:t>Yield of structure on assimilates</w:t>
            </w:r>
          </w:p>
        </w:tc>
        <w:tc>
          <w:tcPr>
            <w:tcW w:w="1170" w:type="dxa"/>
          </w:tcPr>
          <w:p w14:paraId="2A9FB865" w14:textId="77777777" w:rsidR="007539A0" w:rsidRPr="00985FFB" w:rsidRDefault="007539A0" w:rsidP="001B3528">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1B3528">
            <w:pPr>
              <w:pStyle w:val="TS"/>
            </w:pPr>
            <w:r w:rsidRPr="00985FFB">
              <w:t>Estimated</w:t>
            </w:r>
          </w:p>
        </w:tc>
        <w:tc>
          <w:tcPr>
            <w:tcW w:w="2430" w:type="dxa"/>
          </w:tcPr>
          <w:p w14:paraId="462CB47E" w14:textId="77777777" w:rsidR="007539A0" w:rsidRPr="00985FFB" w:rsidRDefault="007539A0" w:rsidP="001B3528">
            <w:pPr>
              <w:pStyle w:val="TS"/>
            </w:pPr>
            <w:r w:rsidRPr="00985FFB">
              <w:t>0.365</w:t>
            </w:r>
          </w:p>
        </w:tc>
      </w:tr>
      <w:tr w:rsidR="00985FFB" w:rsidRPr="00985FFB" w14:paraId="291BD6C4" w14:textId="77777777" w:rsidTr="001B3528">
        <w:tc>
          <w:tcPr>
            <w:tcW w:w="4608" w:type="dxa"/>
          </w:tcPr>
          <w:p w14:paraId="107EE651" w14:textId="77777777" w:rsidR="007539A0" w:rsidRPr="00985FFB" w:rsidRDefault="007539A0" w:rsidP="001B3528">
            <w:pPr>
              <w:pStyle w:val="TS"/>
            </w:pPr>
            <w:r w:rsidRPr="00985FFB">
              <w:t>Fraction of assimilates allocated to soma</w:t>
            </w:r>
          </w:p>
        </w:tc>
        <w:tc>
          <w:tcPr>
            <w:tcW w:w="1170" w:type="dxa"/>
          </w:tcPr>
          <w:p w14:paraId="6F565D1B" w14:textId="77777777" w:rsidR="007539A0" w:rsidRPr="00985FFB" w:rsidRDefault="007539A0" w:rsidP="001B3528">
            <w:pPr>
              <w:pStyle w:val="TS"/>
              <w:rPr>
                <w:i/>
                <w:iCs/>
              </w:rPr>
            </w:pPr>
            <w:r w:rsidRPr="00985FFB">
              <w:rPr>
                <w:rFonts w:cs="Times New Roman"/>
                <w:i/>
                <w:iCs/>
              </w:rPr>
              <w:t>κ</w:t>
            </w:r>
          </w:p>
        </w:tc>
        <w:tc>
          <w:tcPr>
            <w:tcW w:w="1440" w:type="dxa"/>
          </w:tcPr>
          <w:p w14:paraId="5F3ED10A" w14:textId="77777777" w:rsidR="007539A0" w:rsidRPr="00985FFB" w:rsidRDefault="007539A0" w:rsidP="001B3528">
            <w:pPr>
              <w:pStyle w:val="TS"/>
            </w:pPr>
            <w:r w:rsidRPr="00985FFB">
              <w:t>Fixed</w:t>
            </w:r>
          </w:p>
        </w:tc>
        <w:tc>
          <w:tcPr>
            <w:tcW w:w="2430" w:type="dxa"/>
          </w:tcPr>
          <w:p w14:paraId="07E64CC5" w14:textId="77777777" w:rsidR="007539A0" w:rsidRPr="00985FFB" w:rsidRDefault="007539A0" w:rsidP="001B3528">
            <w:pPr>
              <w:pStyle w:val="TS"/>
            </w:pPr>
            <w:r w:rsidRPr="00985FFB">
              <w:t>0.8</w:t>
            </w:r>
          </w:p>
        </w:tc>
      </w:tr>
      <w:tr w:rsidR="00985FFB" w:rsidRPr="00985FFB" w14:paraId="763E4709" w14:textId="77777777" w:rsidTr="001B3528">
        <w:tc>
          <w:tcPr>
            <w:tcW w:w="4608" w:type="dxa"/>
          </w:tcPr>
          <w:p w14:paraId="2C0AF5B2" w14:textId="77777777" w:rsidR="007539A0" w:rsidRPr="00985FFB" w:rsidRDefault="007539A0" w:rsidP="001B3528">
            <w:pPr>
              <w:pStyle w:val="TS"/>
            </w:pPr>
            <w:r w:rsidRPr="00985FFB">
              <w:t>Scaled food level</w:t>
            </w:r>
          </w:p>
        </w:tc>
        <w:tc>
          <w:tcPr>
            <w:tcW w:w="1170" w:type="dxa"/>
          </w:tcPr>
          <w:p w14:paraId="3B8074FF" w14:textId="77777777" w:rsidR="007539A0" w:rsidRPr="00985FFB" w:rsidRDefault="007539A0" w:rsidP="001B3528">
            <w:pPr>
              <w:pStyle w:val="TS"/>
              <w:rPr>
                <w:i/>
                <w:iCs/>
              </w:rPr>
            </w:pPr>
            <w:r w:rsidRPr="00985FFB">
              <w:rPr>
                <w:rFonts w:cs="Times New Roman"/>
                <w:i/>
                <w:iCs/>
              </w:rPr>
              <w:t>f</w:t>
            </w:r>
          </w:p>
        </w:tc>
        <w:tc>
          <w:tcPr>
            <w:tcW w:w="1440" w:type="dxa"/>
          </w:tcPr>
          <w:p w14:paraId="4A15317A" w14:textId="77777777" w:rsidR="007539A0" w:rsidRPr="00985FFB" w:rsidRDefault="007539A0" w:rsidP="001B3528">
            <w:pPr>
              <w:pStyle w:val="TS"/>
            </w:pPr>
            <w:r w:rsidRPr="00985FFB">
              <w:t>Fixed</w:t>
            </w:r>
          </w:p>
        </w:tc>
        <w:tc>
          <w:tcPr>
            <w:tcW w:w="2430" w:type="dxa"/>
          </w:tcPr>
          <w:p w14:paraId="2A18032B" w14:textId="77777777" w:rsidR="007539A0" w:rsidRPr="00985FFB" w:rsidRDefault="007539A0" w:rsidP="001B3528">
            <w:pPr>
              <w:pStyle w:val="TS"/>
            </w:pPr>
            <w:r w:rsidRPr="00985FFB">
              <w:t xml:space="preserve">1 </w:t>
            </w:r>
          </w:p>
        </w:tc>
      </w:tr>
      <w:tr w:rsidR="00985FFB" w:rsidRPr="00985FFB" w14:paraId="056C1C7E" w14:textId="77777777" w:rsidTr="001B3528">
        <w:tc>
          <w:tcPr>
            <w:tcW w:w="4608" w:type="dxa"/>
          </w:tcPr>
          <w:p w14:paraId="4E3809DF" w14:textId="77777777" w:rsidR="007539A0" w:rsidRPr="00985FFB" w:rsidRDefault="007539A0" w:rsidP="001B3528">
            <w:pPr>
              <w:pStyle w:val="TS"/>
            </w:pPr>
            <w:r w:rsidRPr="00985FFB">
              <w:t>Scaled food level for embryo</w:t>
            </w:r>
          </w:p>
        </w:tc>
        <w:tc>
          <w:tcPr>
            <w:tcW w:w="1170" w:type="dxa"/>
          </w:tcPr>
          <w:p w14:paraId="56DF958A" w14:textId="77777777" w:rsidR="007539A0" w:rsidRPr="00985FFB" w:rsidRDefault="007539A0" w:rsidP="001B3528">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1B3528">
            <w:pPr>
              <w:pStyle w:val="TS"/>
            </w:pPr>
            <w:r w:rsidRPr="00985FFB">
              <w:t>Fixed</w:t>
            </w:r>
          </w:p>
        </w:tc>
        <w:tc>
          <w:tcPr>
            <w:tcW w:w="2430" w:type="dxa"/>
          </w:tcPr>
          <w:p w14:paraId="62AC41FB" w14:textId="77777777" w:rsidR="007539A0" w:rsidRPr="00985FFB" w:rsidRDefault="007539A0" w:rsidP="001B3528">
            <w:pPr>
              <w:pStyle w:val="TS"/>
            </w:pPr>
            <w:r w:rsidRPr="00985FFB">
              <w:t>1</w:t>
            </w:r>
          </w:p>
        </w:tc>
      </w:tr>
      <w:tr w:rsidR="00985FFB" w:rsidRPr="00985FFB" w14:paraId="58566EFC" w14:textId="77777777" w:rsidTr="001B3528">
        <w:tc>
          <w:tcPr>
            <w:tcW w:w="4608" w:type="dxa"/>
          </w:tcPr>
          <w:p w14:paraId="1F8DCD3D" w14:textId="77777777" w:rsidR="007539A0" w:rsidRPr="00985FFB" w:rsidRDefault="007539A0" w:rsidP="001B3528">
            <w:pPr>
              <w:pStyle w:val="TS"/>
            </w:pPr>
            <w:r w:rsidRPr="00985FFB">
              <w:t>Half-saturation total length</w:t>
            </w:r>
          </w:p>
        </w:tc>
        <w:tc>
          <w:tcPr>
            <w:tcW w:w="1170" w:type="dxa"/>
          </w:tcPr>
          <w:p w14:paraId="1E07713B" w14:textId="77777777" w:rsidR="007539A0" w:rsidRPr="00985FFB" w:rsidRDefault="007539A0" w:rsidP="001B3528">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440" w:type="dxa"/>
          </w:tcPr>
          <w:p w14:paraId="1E8FB6A2" w14:textId="77777777" w:rsidR="007539A0" w:rsidRPr="00985FFB" w:rsidRDefault="007539A0" w:rsidP="001B3528">
            <w:pPr>
              <w:pStyle w:val="TS"/>
            </w:pPr>
            <w:r w:rsidRPr="00985FFB">
              <w:t>Fixed</w:t>
            </w:r>
          </w:p>
        </w:tc>
        <w:tc>
          <w:tcPr>
            <w:tcW w:w="2430" w:type="dxa"/>
          </w:tcPr>
          <w:p w14:paraId="0A5E224C" w14:textId="77777777" w:rsidR="007539A0" w:rsidRPr="00985FFB" w:rsidRDefault="007539A0" w:rsidP="001B3528">
            <w:pPr>
              <w:pStyle w:val="TS"/>
            </w:pPr>
            <w:r w:rsidRPr="00985FFB">
              <w:t>0</w:t>
            </w:r>
          </w:p>
        </w:tc>
      </w:tr>
      <w:tr w:rsidR="00985FFB" w:rsidRPr="00985FFB" w14:paraId="28337D11" w14:textId="77777777" w:rsidTr="001B3528">
        <w:tc>
          <w:tcPr>
            <w:tcW w:w="4608" w:type="dxa"/>
          </w:tcPr>
          <w:p w14:paraId="06ECAE4A" w14:textId="77777777" w:rsidR="007539A0" w:rsidRPr="00985FFB" w:rsidRDefault="007539A0" w:rsidP="001B3528">
            <w:pPr>
              <w:pStyle w:val="TS"/>
            </w:pPr>
            <w:r w:rsidRPr="00985FFB">
              <w:t>Mortality rate for embryos</w:t>
            </w:r>
          </w:p>
        </w:tc>
        <w:tc>
          <w:tcPr>
            <w:tcW w:w="1170" w:type="dxa"/>
          </w:tcPr>
          <w:p w14:paraId="40E70035"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1B3528">
            <w:pPr>
              <w:pStyle w:val="TS"/>
            </w:pPr>
            <w:r w:rsidRPr="00985FFB">
              <w:t>Estimated</w:t>
            </w:r>
          </w:p>
        </w:tc>
        <w:tc>
          <w:tcPr>
            <w:tcW w:w="2430" w:type="dxa"/>
          </w:tcPr>
          <w:p w14:paraId="0A8EED55" w14:textId="77777777" w:rsidR="007539A0" w:rsidRPr="00985FFB" w:rsidRDefault="007539A0" w:rsidP="001B3528">
            <w:pPr>
              <w:pStyle w:val="TS"/>
            </w:pPr>
            <w:r w:rsidRPr="00985FFB">
              <w:t>0.0639</w:t>
            </w:r>
          </w:p>
        </w:tc>
      </w:tr>
      <w:tr w:rsidR="007539A0" w:rsidRPr="00985FFB" w14:paraId="03481599" w14:textId="77777777" w:rsidTr="001B3528">
        <w:tc>
          <w:tcPr>
            <w:tcW w:w="4608" w:type="dxa"/>
          </w:tcPr>
          <w:p w14:paraId="5A51CEF0" w14:textId="77777777" w:rsidR="007539A0" w:rsidRPr="00985FFB" w:rsidRDefault="007539A0" w:rsidP="001B3528">
            <w:pPr>
              <w:pStyle w:val="TS"/>
            </w:pPr>
            <w:r w:rsidRPr="00985FFB">
              <w:t>Mortality rate for larvae</w:t>
            </w:r>
          </w:p>
        </w:tc>
        <w:tc>
          <w:tcPr>
            <w:tcW w:w="1170" w:type="dxa"/>
          </w:tcPr>
          <w:p w14:paraId="0F7CBE42"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1B3528">
            <w:pPr>
              <w:pStyle w:val="TS"/>
            </w:pPr>
            <w:r w:rsidRPr="00985FFB">
              <w:t>Estimated</w:t>
            </w:r>
          </w:p>
        </w:tc>
        <w:tc>
          <w:tcPr>
            <w:tcW w:w="2430" w:type="dxa"/>
          </w:tcPr>
          <w:p w14:paraId="5081167A" w14:textId="77777777" w:rsidR="007539A0" w:rsidRPr="00985FFB" w:rsidRDefault="007539A0" w:rsidP="001B3528">
            <w:pPr>
              <w:pStyle w:val="TS"/>
            </w:pPr>
            <w:r w:rsidRPr="00985FFB">
              <w:t>0.0294</w:t>
            </w:r>
          </w:p>
        </w:tc>
      </w:tr>
      <w:bookmarkEnd w:id="18"/>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19"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1B3528">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1B3528">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70643E46" w14:textId="77777777" w:rsidTr="001B3528">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5C9A8822" w14:textId="77777777" w:rsidTr="001B3528">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29BC00E0" w14:textId="77777777" w:rsidTr="001B3528">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116110E9" w14:textId="77777777" w:rsidTr="001B3528">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49A99A83" w14:textId="77777777" w:rsidTr="001B3528">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1B3528">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1B3528">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662663BB" w14:textId="77777777" w:rsidTr="001B3528">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 xml:space="preserve">eggs </w:t>
            </w:r>
            <w:proofErr w:type="gramStart"/>
            <w:r w:rsidRPr="00985FFB">
              <w:t>day</w:t>
            </w:r>
            <w:r w:rsidRPr="00985FFB">
              <w:rPr>
                <w:vertAlign w:val="superscript"/>
              </w:rPr>
              <w:t>-1</w:t>
            </w:r>
            <w:proofErr w:type="gramEnd"/>
          </w:p>
        </w:tc>
      </w:tr>
      <w:tr w:rsidR="00985FFB" w:rsidRPr="00985FFB" w14:paraId="51B0592B" w14:textId="77777777" w:rsidTr="001B3528">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51FCCBBA" w14:textId="77777777" w:rsidTr="001B3528">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1B3528">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1B3528">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1B3528">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1B3528">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1B3528">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1B3528">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985FFB" w:rsidRPr="00985FFB" w14:paraId="304E4FF6" w14:textId="77777777" w:rsidTr="001B3528">
        <w:tc>
          <w:tcPr>
            <w:tcW w:w="2695" w:type="dxa"/>
          </w:tcPr>
          <w:p w14:paraId="111D99C0" w14:textId="77777777" w:rsidR="007539A0" w:rsidRPr="00985FFB" w:rsidRDefault="007539A0" w:rsidP="001B3528">
            <w:pPr>
              <w:pStyle w:val="TS"/>
              <w:spacing w:line="360" w:lineRule="auto"/>
            </w:pPr>
            <w:r w:rsidRPr="00985FFB">
              <w:t>Dry mass at puberty</w:t>
            </w:r>
          </w:p>
        </w:tc>
        <w:tc>
          <w:tcPr>
            <w:tcW w:w="990" w:type="dxa"/>
          </w:tcPr>
          <w:p w14:paraId="37A0089C" w14:textId="77777777" w:rsidR="007539A0" w:rsidRPr="00985FFB" w:rsidRDefault="007539A0" w:rsidP="001B3528">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1B3528">
            <w:pPr>
              <w:pStyle w:val="TS"/>
              <w:spacing w:line="360" w:lineRule="auto"/>
            </w:pPr>
            <w:r w:rsidRPr="00985FFB">
              <w:t>mg</w:t>
            </w:r>
          </w:p>
        </w:tc>
      </w:tr>
      <w:tr w:rsidR="00985FFB" w:rsidRPr="00985FFB" w14:paraId="4E73B375" w14:textId="77777777" w:rsidTr="001B3528">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1B3528">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proofErr w:type="gramStart"/>
            <w:r w:rsidRPr="00985FFB">
              <w:t>mm</w:t>
            </w:r>
            <w:r w:rsidRPr="00985FFB">
              <w:rPr>
                <w:vertAlign w:val="superscript"/>
              </w:rPr>
              <w:t>-3</w:t>
            </w:r>
            <w:proofErr w:type="gramEnd"/>
          </w:p>
        </w:tc>
      </w:tr>
      <w:tr w:rsidR="007539A0" w:rsidRPr="00985FFB" w14:paraId="4E8C4853" w14:textId="77777777" w:rsidTr="001B3528">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20" w:name="_Hlk131599039"/>
      <w:bookmarkEnd w:id="19"/>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1B3528">
        <w:tc>
          <w:tcPr>
            <w:tcW w:w="3595" w:type="dxa"/>
          </w:tcPr>
          <w:p w14:paraId="7EE4B6DF" w14:textId="77777777" w:rsidR="00D33A25" w:rsidRPr="00985FFB" w:rsidRDefault="00D33A25" w:rsidP="001B3528">
            <w:pPr>
              <w:pStyle w:val="TS"/>
              <w:rPr>
                <w:rFonts w:eastAsiaTheme="minorEastAsia"/>
              </w:rPr>
            </w:pPr>
          </w:p>
        </w:tc>
        <w:tc>
          <w:tcPr>
            <w:tcW w:w="1438" w:type="dxa"/>
          </w:tcPr>
          <w:p w14:paraId="27488864" w14:textId="77777777" w:rsidR="00D33A25" w:rsidRPr="00985FFB" w:rsidRDefault="00D33A25" w:rsidP="001B3528">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1B3528">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1B3528">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1B3528">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1B3528">
        <w:tc>
          <w:tcPr>
            <w:tcW w:w="3595" w:type="dxa"/>
          </w:tcPr>
          <w:p w14:paraId="1E4760D3" w14:textId="77777777" w:rsidR="00D33A25" w:rsidRPr="00985FFB" w:rsidRDefault="00D33A25" w:rsidP="001B3528">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1B3528">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1B3528">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1B3528">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1B3528">
            <w:pPr>
              <w:pStyle w:val="TS"/>
              <w:rPr>
                <w:rFonts w:eastAsiaTheme="minorEastAsia"/>
              </w:rPr>
            </w:pPr>
            <w:r w:rsidRPr="00985FFB">
              <w:rPr>
                <w:rFonts w:eastAsiaTheme="minorEastAsia"/>
              </w:rPr>
              <w:t>30.2%</w:t>
            </w:r>
          </w:p>
        </w:tc>
      </w:tr>
      <w:tr w:rsidR="00985FFB" w:rsidRPr="00985FFB" w14:paraId="398DDED5" w14:textId="77777777" w:rsidTr="001B3528">
        <w:tc>
          <w:tcPr>
            <w:tcW w:w="3595" w:type="dxa"/>
          </w:tcPr>
          <w:p w14:paraId="193D022B" w14:textId="77777777" w:rsidR="00D33A25" w:rsidRPr="00985FFB" w:rsidRDefault="00D33A25" w:rsidP="001B3528">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1B3528">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1B3528">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1B3528">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1B3528">
            <w:pPr>
              <w:pStyle w:val="TS"/>
              <w:rPr>
                <w:rFonts w:eastAsiaTheme="minorEastAsia"/>
              </w:rPr>
            </w:pPr>
            <w:r w:rsidRPr="00985FFB">
              <w:rPr>
                <w:rFonts w:eastAsiaTheme="minorEastAsia"/>
              </w:rPr>
              <w:t>9 days</w:t>
            </w:r>
          </w:p>
        </w:tc>
      </w:tr>
      <w:tr w:rsidR="00985FFB" w:rsidRPr="00985FFB" w14:paraId="0CD3D281" w14:textId="77777777" w:rsidTr="001B3528">
        <w:tc>
          <w:tcPr>
            <w:tcW w:w="3595" w:type="dxa"/>
          </w:tcPr>
          <w:p w14:paraId="12AA5DE2" w14:textId="77777777" w:rsidR="00D33A25" w:rsidRPr="00985FFB" w:rsidRDefault="00D33A25" w:rsidP="001B3528">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1B3528">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1B3528">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1B3528">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1B3528">
            <w:pPr>
              <w:pStyle w:val="TS"/>
              <w:rPr>
                <w:rFonts w:eastAsiaTheme="minorEastAsia"/>
              </w:rPr>
            </w:pPr>
            <w:r w:rsidRPr="00985FFB">
              <w:rPr>
                <w:rFonts w:eastAsiaTheme="minorEastAsia"/>
              </w:rPr>
              <w:t>4.1 mm</w:t>
            </w:r>
          </w:p>
        </w:tc>
      </w:tr>
      <w:tr w:rsidR="00985FFB" w:rsidRPr="00985FFB" w14:paraId="7C3EEFF8" w14:textId="77777777" w:rsidTr="001B3528">
        <w:tc>
          <w:tcPr>
            <w:tcW w:w="3595" w:type="dxa"/>
          </w:tcPr>
          <w:p w14:paraId="353F6539" w14:textId="77777777" w:rsidR="00D33A25" w:rsidRPr="00985FFB" w:rsidRDefault="00D33A25" w:rsidP="001B3528">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1B3528">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1B3528">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1B3528">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1B3528">
            <w:pPr>
              <w:pStyle w:val="TS"/>
              <w:rPr>
                <w:rFonts w:eastAsiaTheme="minorEastAsia"/>
              </w:rPr>
            </w:pPr>
            <w:r w:rsidRPr="00985FFB">
              <w:rPr>
                <w:rFonts w:eastAsiaTheme="minorEastAsia"/>
              </w:rPr>
              <w:t>-</w:t>
            </w:r>
          </w:p>
        </w:tc>
      </w:tr>
      <w:tr w:rsidR="00D33A25" w:rsidRPr="00985FFB" w14:paraId="4AD5821E" w14:textId="77777777" w:rsidTr="001B3528">
        <w:tc>
          <w:tcPr>
            <w:tcW w:w="3595" w:type="dxa"/>
          </w:tcPr>
          <w:p w14:paraId="1588E9AB" w14:textId="77777777" w:rsidR="00D33A25" w:rsidRPr="00985FFB" w:rsidRDefault="00D33A25" w:rsidP="001B3528">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1B3528">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1B3528">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1B3528">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1B3528">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20"/>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21"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1B3528">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1B3528">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1B3528">
            <w:pPr>
              <w:pStyle w:val="TS"/>
              <w:rPr>
                <w:b/>
                <w:bCs/>
                <w:szCs w:val="24"/>
              </w:rPr>
            </w:pPr>
            <w:proofErr w:type="spellStart"/>
            <w:r w:rsidRPr="00985FFB">
              <w:rPr>
                <w:b/>
                <w:bCs/>
                <w:szCs w:val="24"/>
              </w:rPr>
              <w:t>AICc</w:t>
            </w:r>
            <w:proofErr w:type="spellEnd"/>
          </w:p>
        </w:tc>
        <w:tc>
          <w:tcPr>
            <w:tcW w:w="1080" w:type="dxa"/>
          </w:tcPr>
          <w:p w14:paraId="2C348E8C" w14:textId="77777777" w:rsidR="00224172" w:rsidRPr="00985FFB" w:rsidRDefault="00224172" w:rsidP="001B3528">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1B3528">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21"/>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22" w:name="_Hlk131599084"/>
      <w:r w:rsidRPr="00985FFB">
        <w:rPr>
          <w:b/>
          <w:bCs/>
        </w:rPr>
        <w:lastRenderedPageBreak/>
        <w:t xml:space="preserve">Table </w:t>
      </w:r>
      <w:r w:rsidR="00C364E1">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1B3528">
        <w:tc>
          <w:tcPr>
            <w:tcW w:w="895" w:type="dxa"/>
            <w:vMerge w:val="restart"/>
          </w:tcPr>
          <w:p w14:paraId="62163F59" w14:textId="77777777" w:rsidR="00D33A25" w:rsidRPr="00985FFB" w:rsidRDefault="00D33A25" w:rsidP="001B3528">
            <w:pPr>
              <w:pStyle w:val="TS"/>
              <w:rPr>
                <w:b/>
                <w:bCs/>
              </w:rPr>
            </w:pPr>
          </w:p>
        </w:tc>
        <w:tc>
          <w:tcPr>
            <w:tcW w:w="8640" w:type="dxa"/>
            <w:gridSpan w:val="4"/>
          </w:tcPr>
          <w:p w14:paraId="0A893604" w14:textId="77777777" w:rsidR="00D33A25" w:rsidRPr="00985FFB" w:rsidRDefault="00D33A25" w:rsidP="001B3528">
            <w:pPr>
              <w:pStyle w:val="TS"/>
              <w:rPr>
                <w:b/>
                <w:bCs/>
              </w:rPr>
            </w:pPr>
            <w:r w:rsidRPr="00985FFB">
              <w:rPr>
                <w:b/>
                <w:bCs/>
              </w:rPr>
              <w:t>Product of correction factor and initial parameter value</w:t>
            </w:r>
          </w:p>
        </w:tc>
      </w:tr>
      <w:tr w:rsidR="00985FFB" w:rsidRPr="00985FFB" w14:paraId="7D926D68" w14:textId="77777777" w:rsidTr="001B3528">
        <w:tc>
          <w:tcPr>
            <w:tcW w:w="895" w:type="dxa"/>
            <w:vMerge/>
          </w:tcPr>
          <w:p w14:paraId="46566D94" w14:textId="77777777" w:rsidR="00D33A25" w:rsidRPr="00985FFB" w:rsidRDefault="00D33A25" w:rsidP="001B3528">
            <w:pPr>
              <w:pStyle w:val="TS"/>
              <w:rPr>
                <w:b/>
                <w:bCs/>
              </w:rPr>
            </w:pPr>
          </w:p>
        </w:tc>
        <w:tc>
          <w:tcPr>
            <w:tcW w:w="2160" w:type="dxa"/>
          </w:tcPr>
          <w:p w14:paraId="7CB6A9BE" w14:textId="77777777" w:rsidR="00D33A25" w:rsidRPr="00985FFB" w:rsidRDefault="00D33A25" w:rsidP="001B3528">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1B3528">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1B3528">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1B3528">
            <w:pPr>
              <w:pStyle w:val="TS"/>
              <w:rPr>
                <w:b/>
                <w:bCs/>
              </w:rPr>
            </w:pPr>
            <w:r w:rsidRPr="00985FFB">
              <w:rPr>
                <w:b/>
                <w:bCs/>
              </w:rPr>
              <w:t>2.7 mg L</w:t>
            </w:r>
            <w:r w:rsidRPr="00985FFB">
              <w:rPr>
                <w:b/>
                <w:bCs/>
                <w:vertAlign w:val="superscript"/>
              </w:rPr>
              <w:t>-1</w:t>
            </w:r>
          </w:p>
        </w:tc>
      </w:tr>
      <w:tr w:rsidR="00985FFB" w:rsidRPr="00985FFB" w14:paraId="734E825A" w14:textId="77777777" w:rsidTr="001B3528">
        <w:tc>
          <w:tcPr>
            <w:tcW w:w="895" w:type="dxa"/>
          </w:tcPr>
          <w:p w14:paraId="757C1AD3" w14:textId="77777777" w:rsidR="00D33A25" w:rsidRPr="00985FFB" w:rsidRDefault="00D33A25" w:rsidP="001B3528">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1B3528">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1B3528">
            <w:pPr>
              <w:pStyle w:val="TS"/>
            </w:pPr>
            <w:r>
              <w:t>0.240</w:t>
            </w:r>
          </w:p>
          <w:p w14:paraId="06ABD27E" w14:textId="545C000B" w:rsidR="00654725" w:rsidRPr="00985FFB" w:rsidRDefault="00654725" w:rsidP="001B3528">
            <w:pPr>
              <w:pStyle w:val="TS"/>
            </w:pPr>
            <w:r>
              <w:t>[0.230, 0.257]</w:t>
            </w:r>
          </w:p>
        </w:tc>
        <w:tc>
          <w:tcPr>
            <w:tcW w:w="2160" w:type="dxa"/>
          </w:tcPr>
          <w:p w14:paraId="49E86846" w14:textId="77777777" w:rsidR="00D33A25" w:rsidRDefault="00654725" w:rsidP="001B3528">
            <w:pPr>
              <w:pStyle w:val="TS"/>
            </w:pPr>
            <w:r>
              <w:t>0.199</w:t>
            </w:r>
          </w:p>
          <w:p w14:paraId="69FB934B" w14:textId="3130454E" w:rsidR="00654725" w:rsidRPr="00985FFB" w:rsidRDefault="00654725" w:rsidP="001B3528">
            <w:pPr>
              <w:pStyle w:val="TS"/>
            </w:pPr>
            <w:r>
              <w:t>[0.188, 0.218]</w:t>
            </w:r>
          </w:p>
        </w:tc>
      </w:tr>
      <w:tr w:rsidR="00985FFB" w:rsidRPr="00985FFB" w14:paraId="135F9B03" w14:textId="77777777" w:rsidTr="001B3528">
        <w:tc>
          <w:tcPr>
            <w:tcW w:w="895" w:type="dxa"/>
          </w:tcPr>
          <w:p w14:paraId="25EBBC4B" w14:textId="77777777" w:rsidR="00D33A25" w:rsidRPr="00985FFB" w:rsidRDefault="00D33A25" w:rsidP="001B3528">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1B3528">
            <w:pPr>
              <w:pStyle w:val="TS"/>
            </w:pPr>
            <w:r>
              <w:t>0.0801</w:t>
            </w:r>
          </w:p>
          <w:p w14:paraId="2CA40D3E" w14:textId="4A41FB2D" w:rsidR="00985478" w:rsidRPr="00985FFB" w:rsidRDefault="00985478" w:rsidP="001B3528">
            <w:pPr>
              <w:pStyle w:val="TS"/>
            </w:pPr>
            <w:r>
              <w:t>[0.0770, 0.0822]</w:t>
            </w:r>
          </w:p>
        </w:tc>
        <w:tc>
          <w:tcPr>
            <w:tcW w:w="2160" w:type="dxa"/>
          </w:tcPr>
          <w:p w14:paraId="4E82843D" w14:textId="77777777" w:rsidR="00985478" w:rsidRDefault="00985478" w:rsidP="001B3528">
            <w:pPr>
              <w:pStyle w:val="TS"/>
            </w:pPr>
            <w:r>
              <w:t>0.0970</w:t>
            </w:r>
          </w:p>
          <w:p w14:paraId="182D12BD" w14:textId="4759AD37" w:rsidR="00985478" w:rsidRPr="00985FFB" w:rsidRDefault="00985478" w:rsidP="001B3528">
            <w:pPr>
              <w:pStyle w:val="TS"/>
            </w:pPr>
            <w:r>
              <w:t>[0.0906, 0.101]</w:t>
            </w:r>
          </w:p>
        </w:tc>
        <w:tc>
          <w:tcPr>
            <w:tcW w:w="2160" w:type="dxa"/>
          </w:tcPr>
          <w:p w14:paraId="7DFFE5B4" w14:textId="007D0633" w:rsidR="00985478" w:rsidRDefault="00985478" w:rsidP="001B3528">
            <w:pPr>
              <w:pStyle w:val="TS"/>
            </w:pPr>
            <w:r>
              <w:t>0.117</w:t>
            </w:r>
          </w:p>
          <w:p w14:paraId="3EC12971" w14:textId="1771B6C3" w:rsidR="00985478" w:rsidRPr="00985FFB" w:rsidRDefault="00985478" w:rsidP="001B3528">
            <w:pPr>
              <w:pStyle w:val="TS"/>
            </w:pPr>
            <w:r>
              <w:t>[0.107, 0.124]</w:t>
            </w:r>
          </w:p>
        </w:tc>
      </w:tr>
      <w:tr w:rsidR="00D33A25" w:rsidRPr="00985FFB" w14:paraId="53071A8B" w14:textId="77777777" w:rsidTr="001B3528">
        <w:tc>
          <w:tcPr>
            <w:tcW w:w="895" w:type="dxa"/>
          </w:tcPr>
          <w:p w14:paraId="55CA7617" w14:textId="77777777" w:rsidR="00D33A25" w:rsidRPr="00985FFB" w:rsidRDefault="00D33A25" w:rsidP="001B3528">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1B3528">
            <w:pPr>
              <w:pStyle w:val="TS"/>
            </w:pPr>
            <w:r>
              <w:t>0.0322</w:t>
            </w:r>
          </w:p>
          <w:p w14:paraId="3AB2CDF5" w14:textId="0601B37F" w:rsidR="00985478" w:rsidRPr="00985FFB" w:rsidRDefault="00985478" w:rsidP="001B3528">
            <w:pPr>
              <w:pStyle w:val="TS"/>
            </w:pPr>
            <w:r>
              <w:t>[0.0317, 0.0326]</w:t>
            </w:r>
          </w:p>
        </w:tc>
        <w:tc>
          <w:tcPr>
            <w:tcW w:w="2160" w:type="dxa"/>
          </w:tcPr>
          <w:p w14:paraId="2677E6E9" w14:textId="77777777" w:rsidR="00D33A25" w:rsidRDefault="00985478" w:rsidP="001B3528">
            <w:pPr>
              <w:pStyle w:val="TS"/>
            </w:pPr>
            <w:r>
              <w:t>0.0369</w:t>
            </w:r>
          </w:p>
          <w:p w14:paraId="60F184A8" w14:textId="772936B4" w:rsidR="00985478" w:rsidRPr="00985FFB" w:rsidRDefault="00985478" w:rsidP="001B3528">
            <w:pPr>
              <w:pStyle w:val="TS"/>
            </w:pPr>
            <w:r>
              <w:t>[0.0354, 0.0378]</w:t>
            </w:r>
          </w:p>
        </w:tc>
        <w:tc>
          <w:tcPr>
            <w:tcW w:w="2160" w:type="dxa"/>
          </w:tcPr>
          <w:p w14:paraId="7C3D4D20" w14:textId="77777777" w:rsidR="00D33A25" w:rsidRDefault="00985478" w:rsidP="001B3528">
            <w:pPr>
              <w:pStyle w:val="TS"/>
            </w:pPr>
            <w:r>
              <w:t>0.0446</w:t>
            </w:r>
          </w:p>
          <w:p w14:paraId="0A0A543B" w14:textId="10848BD7" w:rsidR="00985478" w:rsidRPr="00985FFB" w:rsidRDefault="00985478" w:rsidP="001B3528">
            <w:pPr>
              <w:pStyle w:val="TS"/>
            </w:pPr>
            <w:r>
              <w:t>[0.0417, 0.0466]</w:t>
            </w:r>
          </w:p>
        </w:tc>
        <w:tc>
          <w:tcPr>
            <w:tcW w:w="2160" w:type="dxa"/>
          </w:tcPr>
          <w:p w14:paraId="35C2BE8F" w14:textId="77777777" w:rsidR="00D33A25" w:rsidRDefault="00985478" w:rsidP="001B3528">
            <w:pPr>
              <w:pStyle w:val="TS"/>
            </w:pPr>
            <w:r>
              <w:t>0.0539</w:t>
            </w:r>
          </w:p>
          <w:p w14:paraId="551CF59B" w14:textId="3D573AE4" w:rsidR="00985478" w:rsidRPr="00985FFB" w:rsidRDefault="00985478" w:rsidP="001B3528">
            <w:pPr>
              <w:pStyle w:val="TS"/>
            </w:pPr>
            <w:r>
              <w:t>[0.0492, 0.0571]</w:t>
            </w:r>
          </w:p>
        </w:tc>
      </w:tr>
    </w:tbl>
    <w:p w14:paraId="647F7A8D" w14:textId="06CACC85" w:rsidR="00582644" w:rsidRPr="00985FFB" w:rsidRDefault="00582644" w:rsidP="007539A0"/>
    <w:bookmarkEnd w:id="22"/>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3" w:name="_Toc131590765"/>
      <w:bookmarkStart w:id="24" w:name="_Toc131592472"/>
      <w:bookmarkEnd w:id="23"/>
      <w:bookmarkEnd w:id="24"/>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5" w:name="_Toc131590766"/>
      <w:bookmarkStart w:id="26" w:name="_Toc131592473"/>
      <w:bookmarkEnd w:id="25"/>
      <w:bookmarkEnd w:id="26"/>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7" w:name="_Toc131590767"/>
      <w:bookmarkStart w:id="28" w:name="_Toc131592474"/>
      <w:bookmarkEnd w:id="27"/>
      <w:bookmarkEnd w:id="28"/>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9" w:name="_Toc131590768"/>
      <w:bookmarkStart w:id="30" w:name="_Toc131592475"/>
      <w:bookmarkEnd w:id="29"/>
      <w:bookmarkEnd w:id="30"/>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w:t>
      </w:r>
      <w:proofErr w:type="gramStart"/>
      <w:r w:rsidR="00B70AAA">
        <w:t>lowest</w:t>
      </w:r>
      <w:proofErr w:type="gramEnd"/>
      <w:r w:rsidR="00B70AAA">
        <w:t xml:space="preserve"> </w:t>
      </w:r>
      <w:proofErr w:type="spellStart"/>
      <w:r w:rsidRPr="00985FFB">
        <w:t>AICc</w:t>
      </w:r>
      <w:proofErr w:type="spellEnd"/>
      <w:r w:rsidRPr="00985FFB">
        <w:t xml:space="preserve">. (A) is total length (mm) over time (days), (B) is egg buffer mass (mg) over time (days), and (C) is survival over time (days). </w:t>
      </w:r>
    </w:p>
    <w:bookmarkEnd w:id="16"/>
    <w:p w14:paraId="68C97AC8" w14:textId="19139010" w:rsidR="005F4420" w:rsidRPr="00985FFB" w:rsidRDefault="005F4420" w:rsidP="005F4420"/>
    <w:sectPr w:rsidR="005F4420" w:rsidRPr="00985FFB" w:rsidSect="000C2519">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eresa G Schwemmer" w:date="2024-01-08T12:58:00Z" w:initials="TS">
    <w:p w14:paraId="53B0C66A" w14:textId="77777777" w:rsidR="00A97E5E" w:rsidRDefault="00A97E5E" w:rsidP="00A97E5E">
      <w:pPr>
        <w:pStyle w:val="CommentText"/>
      </w:pPr>
      <w:r>
        <w:rPr>
          <w:rStyle w:val="CommentReference"/>
        </w:rPr>
        <w:annotationRef/>
      </w:r>
      <w:r>
        <w:t>New material</w:t>
      </w:r>
    </w:p>
  </w:comment>
  <w:comment w:id="8" w:author="Teresa G Schwemmer" w:date="2024-01-08T14:37:00Z" w:initials="TGS">
    <w:p w14:paraId="7C0D7879" w14:textId="77777777" w:rsidR="00E6245C" w:rsidRDefault="00E6245C" w:rsidP="00E6245C">
      <w:pPr>
        <w:pStyle w:val="CommentText"/>
      </w:pPr>
      <w:r>
        <w:rPr>
          <w:rStyle w:val="CommentReference"/>
        </w:rPr>
        <w:annotationRef/>
      </w:r>
      <w:r>
        <w:t xml:space="preserve">Inhibition would reduce maintenance if it slows fluxes, but damage could indirectly increase maintenance from the demand side if there is the ability to repair damage. </w:t>
      </w:r>
    </w:p>
  </w:comment>
  <w:comment w:id="9" w:author="Teresa G Schwemmer" w:date="2024-01-08T14:45:00Z" w:initials="TGS">
    <w:p w14:paraId="609AD516" w14:textId="77777777" w:rsidR="00DA2F0D" w:rsidRDefault="00DA2F0D" w:rsidP="00DA2F0D">
      <w:pPr>
        <w:pStyle w:val="CommentText"/>
      </w:pPr>
      <w:r>
        <w:rPr>
          <w:rStyle w:val="CommentReference"/>
        </w:rPr>
        <w:annotationRef/>
      </w:r>
      <w:r>
        <w:t xml:space="preserve">Use introduction to get into the reversibility of inhibitors and that repair is needed to reverse damage (which would take maintenance).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0C66A" w15:done="0"/>
  <w15:commentEx w15:paraId="7C0D7879" w15:done="0"/>
  <w15:commentEx w15:paraId="609AD516" w15:paraIdParent="7C0D78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FBE7505" w16cex:dateUtc="2024-01-08T17:58:00Z"/>
  <w16cex:commentExtensible w16cex:durableId="3158EFF6" w16cex:dateUtc="2024-01-08T19:37:00Z"/>
  <w16cex:commentExtensible w16cex:durableId="4B4EB332" w16cex:dateUtc="2024-01-08T1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0C66A" w16cid:durableId="5FBE7505"/>
  <w16cid:commentId w16cid:paraId="7C0D7879" w16cid:durableId="3158EFF6"/>
  <w16cid:commentId w16cid:paraId="609AD516" w16cid:durableId="4B4EB3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FC3A5" w14:textId="77777777" w:rsidR="00877A6C" w:rsidRDefault="00877A6C" w:rsidP="00B740BC">
      <w:pPr>
        <w:spacing w:after="0" w:line="240" w:lineRule="auto"/>
      </w:pPr>
      <w:r>
        <w:separator/>
      </w:r>
    </w:p>
  </w:endnote>
  <w:endnote w:type="continuationSeparator" w:id="0">
    <w:p w14:paraId="2440824D" w14:textId="77777777" w:rsidR="00877A6C" w:rsidRDefault="00877A6C"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9D757B" w:rsidRDefault="009D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C214F" w14:textId="77777777" w:rsidR="00877A6C" w:rsidRDefault="00877A6C" w:rsidP="00B740BC">
      <w:pPr>
        <w:spacing w:after="0" w:line="240" w:lineRule="auto"/>
      </w:pPr>
      <w:r>
        <w:separator/>
      </w:r>
    </w:p>
  </w:footnote>
  <w:footnote w:type="continuationSeparator" w:id="0">
    <w:p w14:paraId="7D9BCBDE" w14:textId="77777777" w:rsidR="00877A6C" w:rsidRDefault="00877A6C"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resa G Schwemmer">
    <w15:presenceInfo w15:providerId="AD" w15:userId="S::Teresa.Schwemmer@stonybrook.edu::6bca501e-7c4a-468b-aca9-e2f364bb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70CC"/>
    <w:rsid w:val="00023CD1"/>
    <w:rsid w:val="00035981"/>
    <w:rsid w:val="00047011"/>
    <w:rsid w:val="00053652"/>
    <w:rsid w:val="000643E5"/>
    <w:rsid w:val="0007061A"/>
    <w:rsid w:val="000817D6"/>
    <w:rsid w:val="00084310"/>
    <w:rsid w:val="00085216"/>
    <w:rsid w:val="00091618"/>
    <w:rsid w:val="000B280F"/>
    <w:rsid w:val="000C2519"/>
    <w:rsid w:val="000D7A6B"/>
    <w:rsid w:val="000E77DD"/>
    <w:rsid w:val="00103F48"/>
    <w:rsid w:val="0010771C"/>
    <w:rsid w:val="001126FF"/>
    <w:rsid w:val="001154E8"/>
    <w:rsid w:val="00116952"/>
    <w:rsid w:val="00130784"/>
    <w:rsid w:val="00136D28"/>
    <w:rsid w:val="00147AAB"/>
    <w:rsid w:val="00182B23"/>
    <w:rsid w:val="00185107"/>
    <w:rsid w:val="001A292D"/>
    <w:rsid w:val="001A5F9D"/>
    <w:rsid w:val="001C5434"/>
    <w:rsid w:val="001D2761"/>
    <w:rsid w:val="001E469E"/>
    <w:rsid w:val="001F3D56"/>
    <w:rsid w:val="002177CA"/>
    <w:rsid w:val="00224172"/>
    <w:rsid w:val="00247ADC"/>
    <w:rsid w:val="00271609"/>
    <w:rsid w:val="00273F67"/>
    <w:rsid w:val="002847FF"/>
    <w:rsid w:val="00291CB4"/>
    <w:rsid w:val="002B2C8D"/>
    <w:rsid w:val="002B4E30"/>
    <w:rsid w:val="002D0A78"/>
    <w:rsid w:val="002D13AD"/>
    <w:rsid w:val="002D1A68"/>
    <w:rsid w:val="002D68F2"/>
    <w:rsid w:val="003019CC"/>
    <w:rsid w:val="0030492B"/>
    <w:rsid w:val="00306A8A"/>
    <w:rsid w:val="003269BA"/>
    <w:rsid w:val="00332F5C"/>
    <w:rsid w:val="00335E89"/>
    <w:rsid w:val="003557B4"/>
    <w:rsid w:val="00361DEA"/>
    <w:rsid w:val="00361F01"/>
    <w:rsid w:val="0036707C"/>
    <w:rsid w:val="003A4FEF"/>
    <w:rsid w:val="003B326F"/>
    <w:rsid w:val="003E1636"/>
    <w:rsid w:val="003E41C2"/>
    <w:rsid w:val="003E4B5B"/>
    <w:rsid w:val="003E4FB1"/>
    <w:rsid w:val="003F1B12"/>
    <w:rsid w:val="004069B6"/>
    <w:rsid w:val="004271DA"/>
    <w:rsid w:val="00435B47"/>
    <w:rsid w:val="00450F8F"/>
    <w:rsid w:val="00453D68"/>
    <w:rsid w:val="00480521"/>
    <w:rsid w:val="0049059C"/>
    <w:rsid w:val="00492232"/>
    <w:rsid w:val="00492973"/>
    <w:rsid w:val="00495462"/>
    <w:rsid w:val="004A6689"/>
    <w:rsid w:val="004B1BB0"/>
    <w:rsid w:val="004C26DA"/>
    <w:rsid w:val="004C5027"/>
    <w:rsid w:val="004D5B92"/>
    <w:rsid w:val="00504D58"/>
    <w:rsid w:val="00506D17"/>
    <w:rsid w:val="0055736B"/>
    <w:rsid w:val="00565055"/>
    <w:rsid w:val="00565610"/>
    <w:rsid w:val="00577E13"/>
    <w:rsid w:val="00582644"/>
    <w:rsid w:val="00586A0D"/>
    <w:rsid w:val="00592A59"/>
    <w:rsid w:val="005A0204"/>
    <w:rsid w:val="005C1BCA"/>
    <w:rsid w:val="005C2FC8"/>
    <w:rsid w:val="005C4AC7"/>
    <w:rsid w:val="005C6C63"/>
    <w:rsid w:val="005F0803"/>
    <w:rsid w:val="005F4420"/>
    <w:rsid w:val="00633AC2"/>
    <w:rsid w:val="00641392"/>
    <w:rsid w:val="006444E2"/>
    <w:rsid w:val="00647DF6"/>
    <w:rsid w:val="00652558"/>
    <w:rsid w:val="00653817"/>
    <w:rsid w:val="00654725"/>
    <w:rsid w:val="00671068"/>
    <w:rsid w:val="00671D2D"/>
    <w:rsid w:val="00677F83"/>
    <w:rsid w:val="00680AD2"/>
    <w:rsid w:val="00693623"/>
    <w:rsid w:val="006B163D"/>
    <w:rsid w:val="006B3BE4"/>
    <w:rsid w:val="006C1E09"/>
    <w:rsid w:val="006C7FA6"/>
    <w:rsid w:val="006E3F6F"/>
    <w:rsid w:val="00703201"/>
    <w:rsid w:val="007064BB"/>
    <w:rsid w:val="007272DB"/>
    <w:rsid w:val="007315B7"/>
    <w:rsid w:val="0073686F"/>
    <w:rsid w:val="00740D6B"/>
    <w:rsid w:val="007469B8"/>
    <w:rsid w:val="007539A0"/>
    <w:rsid w:val="00754E2E"/>
    <w:rsid w:val="00762520"/>
    <w:rsid w:val="00765678"/>
    <w:rsid w:val="007740E3"/>
    <w:rsid w:val="00794B8F"/>
    <w:rsid w:val="007A77AF"/>
    <w:rsid w:val="007B3511"/>
    <w:rsid w:val="007E1EC8"/>
    <w:rsid w:val="007E53C8"/>
    <w:rsid w:val="007E6F05"/>
    <w:rsid w:val="007F0070"/>
    <w:rsid w:val="008027FA"/>
    <w:rsid w:val="00805108"/>
    <w:rsid w:val="00805BC8"/>
    <w:rsid w:val="00805E76"/>
    <w:rsid w:val="0081447D"/>
    <w:rsid w:val="00816565"/>
    <w:rsid w:val="00817097"/>
    <w:rsid w:val="00817961"/>
    <w:rsid w:val="00831E14"/>
    <w:rsid w:val="0083224B"/>
    <w:rsid w:val="00836949"/>
    <w:rsid w:val="00850F9F"/>
    <w:rsid w:val="0085567E"/>
    <w:rsid w:val="00855722"/>
    <w:rsid w:val="00856177"/>
    <w:rsid w:val="00856DEE"/>
    <w:rsid w:val="00861978"/>
    <w:rsid w:val="00867CF0"/>
    <w:rsid w:val="00877A6C"/>
    <w:rsid w:val="00886B99"/>
    <w:rsid w:val="00893248"/>
    <w:rsid w:val="008A1326"/>
    <w:rsid w:val="008A234A"/>
    <w:rsid w:val="008A3D39"/>
    <w:rsid w:val="008A7CE3"/>
    <w:rsid w:val="008C1284"/>
    <w:rsid w:val="008C2BF2"/>
    <w:rsid w:val="008D0B91"/>
    <w:rsid w:val="008F109A"/>
    <w:rsid w:val="008F726D"/>
    <w:rsid w:val="009030ED"/>
    <w:rsid w:val="00904E8E"/>
    <w:rsid w:val="009069EE"/>
    <w:rsid w:val="009163F9"/>
    <w:rsid w:val="00927C65"/>
    <w:rsid w:val="00943699"/>
    <w:rsid w:val="00957F2C"/>
    <w:rsid w:val="00962178"/>
    <w:rsid w:val="00962235"/>
    <w:rsid w:val="00963DA5"/>
    <w:rsid w:val="00966BCC"/>
    <w:rsid w:val="00967992"/>
    <w:rsid w:val="00970378"/>
    <w:rsid w:val="0097656F"/>
    <w:rsid w:val="00985286"/>
    <w:rsid w:val="00985478"/>
    <w:rsid w:val="00985FFB"/>
    <w:rsid w:val="00986B35"/>
    <w:rsid w:val="009964BD"/>
    <w:rsid w:val="009C1735"/>
    <w:rsid w:val="009C5146"/>
    <w:rsid w:val="009D55DD"/>
    <w:rsid w:val="009D757B"/>
    <w:rsid w:val="009E1A96"/>
    <w:rsid w:val="009E1BCE"/>
    <w:rsid w:val="00A43D22"/>
    <w:rsid w:val="00A44F8B"/>
    <w:rsid w:val="00A46257"/>
    <w:rsid w:val="00A55CB3"/>
    <w:rsid w:val="00A6258B"/>
    <w:rsid w:val="00A67351"/>
    <w:rsid w:val="00A716A5"/>
    <w:rsid w:val="00A73A12"/>
    <w:rsid w:val="00A76A52"/>
    <w:rsid w:val="00A9494B"/>
    <w:rsid w:val="00A97E5E"/>
    <w:rsid w:val="00AA0452"/>
    <w:rsid w:val="00AA0A5E"/>
    <w:rsid w:val="00AA46F0"/>
    <w:rsid w:val="00AB1C3F"/>
    <w:rsid w:val="00AD2BDF"/>
    <w:rsid w:val="00AD6193"/>
    <w:rsid w:val="00AE15AD"/>
    <w:rsid w:val="00AE2744"/>
    <w:rsid w:val="00AE5CF2"/>
    <w:rsid w:val="00AE7EDA"/>
    <w:rsid w:val="00AF6D34"/>
    <w:rsid w:val="00B04D48"/>
    <w:rsid w:val="00B26A57"/>
    <w:rsid w:val="00B27B73"/>
    <w:rsid w:val="00B33034"/>
    <w:rsid w:val="00B44587"/>
    <w:rsid w:val="00B50AA2"/>
    <w:rsid w:val="00B62F95"/>
    <w:rsid w:val="00B70AAA"/>
    <w:rsid w:val="00B740BC"/>
    <w:rsid w:val="00B75081"/>
    <w:rsid w:val="00B80B33"/>
    <w:rsid w:val="00BA0528"/>
    <w:rsid w:val="00BA4357"/>
    <w:rsid w:val="00BA5687"/>
    <w:rsid w:val="00BC3F2D"/>
    <w:rsid w:val="00BC622D"/>
    <w:rsid w:val="00BC6C8D"/>
    <w:rsid w:val="00BF1448"/>
    <w:rsid w:val="00C069DF"/>
    <w:rsid w:val="00C142EA"/>
    <w:rsid w:val="00C2655E"/>
    <w:rsid w:val="00C26F45"/>
    <w:rsid w:val="00C310EF"/>
    <w:rsid w:val="00C31444"/>
    <w:rsid w:val="00C364E1"/>
    <w:rsid w:val="00C522B6"/>
    <w:rsid w:val="00C655C5"/>
    <w:rsid w:val="00C70432"/>
    <w:rsid w:val="00C76DD0"/>
    <w:rsid w:val="00C84826"/>
    <w:rsid w:val="00C84D21"/>
    <w:rsid w:val="00CD0549"/>
    <w:rsid w:val="00CD35AB"/>
    <w:rsid w:val="00CE17F6"/>
    <w:rsid w:val="00CF3CEA"/>
    <w:rsid w:val="00D11665"/>
    <w:rsid w:val="00D33A25"/>
    <w:rsid w:val="00D55BE0"/>
    <w:rsid w:val="00D55C9E"/>
    <w:rsid w:val="00D604B0"/>
    <w:rsid w:val="00D71935"/>
    <w:rsid w:val="00D73211"/>
    <w:rsid w:val="00D76575"/>
    <w:rsid w:val="00D81EB5"/>
    <w:rsid w:val="00D832C2"/>
    <w:rsid w:val="00D93B70"/>
    <w:rsid w:val="00D953A1"/>
    <w:rsid w:val="00D9766C"/>
    <w:rsid w:val="00DA2F0D"/>
    <w:rsid w:val="00DC03A0"/>
    <w:rsid w:val="00DC46C3"/>
    <w:rsid w:val="00DC678A"/>
    <w:rsid w:val="00DD09BE"/>
    <w:rsid w:val="00DD5C1C"/>
    <w:rsid w:val="00DE5099"/>
    <w:rsid w:val="00E0058E"/>
    <w:rsid w:val="00E15A9B"/>
    <w:rsid w:val="00E15DC3"/>
    <w:rsid w:val="00E231AE"/>
    <w:rsid w:val="00E237EE"/>
    <w:rsid w:val="00E25829"/>
    <w:rsid w:val="00E51140"/>
    <w:rsid w:val="00E6245C"/>
    <w:rsid w:val="00E8441A"/>
    <w:rsid w:val="00E95B15"/>
    <w:rsid w:val="00EB04DC"/>
    <w:rsid w:val="00EB7293"/>
    <w:rsid w:val="00ED0CFB"/>
    <w:rsid w:val="00ED1AA3"/>
    <w:rsid w:val="00F0159C"/>
    <w:rsid w:val="00F37688"/>
    <w:rsid w:val="00F50188"/>
    <w:rsid w:val="00F52F55"/>
    <w:rsid w:val="00F56B59"/>
    <w:rsid w:val="00F84032"/>
    <w:rsid w:val="00F84737"/>
    <w:rsid w:val="00F860B0"/>
    <w:rsid w:val="00F956F8"/>
    <w:rsid w:val="00FB3898"/>
    <w:rsid w:val="00FC0F58"/>
    <w:rsid w:val="00FC4FE0"/>
    <w:rsid w:val="00FD0939"/>
    <w:rsid w:val="00FD12EF"/>
    <w:rsid w:val="00FE2127"/>
    <w:rsid w:val="00FE2AB8"/>
    <w:rsid w:val="00FE76BF"/>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38</Pages>
  <Words>11272</Words>
  <Characters>64256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75378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10</cp:revision>
  <cp:lastPrinted>2023-07-28T14:44:00Z</cp:lastPrinted>
  <dcterms:created xsi:type="dcterms:W3CDTF">2024-01-09T02:18:00Z</dcterms:created>
  <dcterms:modified xsi:type="dcterms:W3CDTF">2024-01-09T04:39:00Z</dcterms:modified>
</cp:coreProperties>
</file>