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A467" w14:textId="77777777" w:rsidR="00A46DE5" w:rsidRPr="00C76DD0" w:rsidRDefault="00A46DE5" w:rsidP="00A46DE5">
      <w:pPr>
        <w:pStyle w:val="TS"/>
        <w:numPr>
          <w:ilvl w:val="0"/>
          <w:numId w:val="1"/>
        </w:numPr>
        <w:spacing w:line="360" w:lineRule="auto"/>
        <w:ind w:left="360"/>
        <w:rPr>
          <w:b/>
          <w:bCs/>
        </w:rPr>
      </w:pPr>
      <w:bookmarkStart w:id="0" w:name="_Toc131592464"/>
      <w:r w:rsidRPr="00C76DD0">
        <w:rPr>
          <w:b/>
          <w:bCs/>
        </w:rPr>
        <w:t>Results</w:t>
      </w:r>
      <w:bookmarkEnd w:id="0"/>
    </w:p>
    <w:p w14:paraId="43ABD5FD" w14:textId="77777777" w:rsidR="00A46DE5" w:rsidRPr="00C76DD0" w:rsidRDefault="00A46DE5" w:rsidP="00A46DE5">
      <w:pPr>
        <w:pStyle w:val="TS"/>
        <w:numPr>
          <w:ilvl w:val="1"/>
          <w:numId w:val="1"/>
        </w:numPr>
        <w:spacing w:line="360" w:lineRule="auto"/>
        <w:ind w:left="450" w:hanging="450"/>
        <w:rPr>
          <w:i/>
          <w:iCs/>
        </w:rPr>
      </w:pPr>
      <w:bookmarkStart w:id="1" w:name="_Toc131592465"/>
      <w:proofErr w:type="spellStart"/>
      <w:r w:rsidRPr="00C76DD0">
        <w:rPr>
          <w:i/>
          <w:iCs/>
        </w:rPr>
        <w:t>DEBkiss</w:t>
      </w:r>
      <w:proofErr w:type="spellEnd"/>
      <w:r w:rsidRPr="00C76DD0">
        <w:rPr>
          <w:i/>
          <w:iCs/>
        </w:rPr>
        <w:t xml:space="preserve"> Model</w:t>
      </w:r>
      <w:bookmarkEnd w:id="1"/>
    </w:p>
    <w:p w14:paraId="323D2B32" w14:textId="77777777" w:rsidR="00A46DE5" w:rsidRPr="00985FFB" w:rsidRDefault="00A46DE5" w:rsidP="00A46DE5">
      <w:pPr>
        <w:pStyle w:val="TS"/>
        <w:spacing w:line="360" w:lineRule="auto"/>
        <w:ind w:firstLine="720"/>
      </w:pPr>
      <w:r w:rsidRPr="00985FFB">
        <w:t xml:space="preserve">We obtained realistic fits to </w:t>
      </w:r>
      <w:r>
        <w:t xml:space="preserve">the full life cycle </w:t>
      </w:r>
      <w:r w:rsidRPr="00985FFB">
        <w:t xml:space="preserve">data (Figure 2). The only exception is late-life survival, for which the mortality was too high beyond the larval stage but could not be better fit due to lack of full-life survival data. However, this did not impair our ability to model the effects of hypoxia on early life survival. Estimating </w:t>
      </w:r>
      <w:proofErr w:type="spellStart"/>
      <w:r w:rsidRPr="00985FFB">
        <w:rPr>
          <w:i/>
          <w:iCs/>
        </w:rPr>
        <w:t>y</w:t>
      </w:r>
      <w:r w:rsidRPr="00985FFB">
        <w:rPr>
          <w:i/>
          <w:iCs/>
          <w:vertAlign w:val="subscript"/>
        </w:rPr>
        <w:t>VA</w:t>
      </w:r>
      <w:proofErr w:type="spellEnd"/>
      <w:r w:rsidRPr="00985FFB">
        <w:rPr>
          <w:i/>
          <w:iCs/>
        </w:rPr>
        <w:t xml:space="preserve"> </w:t>
      </w:r>
      <w:r w:rsidRPr="00985FFB">
        <w:t xml:space="preserve">returned a </w:t>
      </w:r>
      <w:r>
        <w:t xml:space="preserve">value much lower than 0.8, which is the value suggested by Jager (2018) and has been applied in </w:t>
      </w:r>
      <w:proofErr w:type="spellStart"/>
      <w:r>
        <w:t>DEBkiss</w:t>
      </w:r>
      <w:proofErr w:type="spellEnd"/>
      <w:r>
        <w:t xml:space="preserve"> models of other species (e.g. Jager et al., 2018; Hamda et al., 2019). However, our value of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VA</w:t>
      </w:r>
      <w:proofErr w:type="spellEnd"/>
      <w:r>
        <w:t xml:space="preserve"> =</w:t>
      </w:r>
      <w:r>
        <w:rPr>
          <w:i/>
          <w:iCs/>
        </w:rPr>
        <w:t xml:space="preserve"> </w:t>
      </w:r>
      <w:r>
        <w:t xml:space="preserve">0.365 is close to the maximum growth efficiency of 0.375 measured in the closely related </w:t>
      </w:r>
      <w:r>
        <w:rPr>
          <w:i/>
          <w:iCs/>
        </w:rPr>
        <w:t xml:space="preserve">M. </w:t>
      </w:r>
      <w:proofErr w:type="spellStart"/>
      <w:r>
        <w:rPr>
          <w:i/>
          <w:iCs/>
        </w:rPr>
        <w:t>beryllina</w:t>
      </w:r>
      <w:proofErr w:type="spellEnd"/>
      <w:r>
        <w:t xml:space="preserve"> (Letcher and Bengtson, 1993). T</w:t>
      </w:r>
      <w:r w:rsidRPr="00985FFB">
        <w:t xml:space="preserve">his gave a realistic fit to the length data and allowed a detailed and very close fit to egg buffer mass over time (hatch timing). The observed and predicted data for full life span and early life are plotted in Figure 2. </w:t>
      </w:r>
    </w:p>
    <w:p w14:paraId="6FAEE04C" w14:textId="77777777" w:rsidR="00A46DE5" w:rsidRPr="00985FFB" w:rsidRDefault="00A46DE5" w:rsidP="00A46DE5">
      <w:pPr>
        <w:pStyle w:val="TS"/>
        <w:spacing w:line="360" w:lineRule="auto"/>
        <w:ind w:firstLine="720"/>
      </w:pPr>
    </w:p>
    <w:p w14:paraId="22DFBA39" w14:textId="77777777" w:rsidR="00A46DE5" w:rsidRPr="00C76DD0" w:rsidRDefault="00A46DE5" w:rsidP="00A46DE5">
      <w:pPr>
        <w:pStyle w:val="TS"/>
        <w:numPr>
          <w:ilvl w:val="1"/>
          <w:numId w:val="1"/>
        </w:numPr>
        <w:spacing w:line="360" w:lineRule="auto"/>
        <w:ind w:left="450" w:hanging="450"/>
        <w:rPr>
          <w:i/>
          <w:iCs/>
        </w:rPr>
      </w:pPr>
      <w:bookmarkStart w:id="2" w:name="_Toc131592466"/>
      <w:r w:rsidRPr="00C76DD0">
        <w:rPr>
          <w:i/>
          <w:iCs/>
        </w:rPr>
        <w:t>Hypoxia</w:t>
      </w:r>
      <w:bookmarkEnd w:id="2"/>
      <w:r>
        <w:rPr>
          <w:i/>
          <w:iCs/>
        </w:rPr>
        <w:t xml:space="preserve"> Effects</w:t>
      </w:r>
    </w:p>
    <w:p w14:paraId="7BF7E4DC" w14:textId="77777777" w:rsidR="00A46DE5" w:rsidRPr="00AA46F0" w:rsidRDefault="00A46DE5" w:rsidP="00A46DE5">
      <w:pPr>
        <w:pStyle w:val="TS"/>
        <w:spacing w:line="360" w:lineRule="auto"/>
        <w:ind w:firstLine="720"/>
        <w:rPr>
          <w:rFonts w:eastAsiaTheme="minorEastAsia"/>
        </w:rPr>
      </w:pPr>
      <w:r>
        <w:t>Applying the oxygen-dependent correction factor to t</w:t>
      </w:r>
      <w:r w:rsidRPr="00985FFB">
        <w:t>he parameter</w:t>
      </w:r>
      <w:r>
        <w:t xml:space="preserve"> combination</w:t>
      </w:r>
      <w:r w:rsidRPr="00985FFB">
        <w:t>s</w:t>
      </w:r>
      <w:r>
        <w:t xml:space="preserve"> listed above</w:t>
      </w:r>
      <w:r w:rsidRPr="00985FFB">
        <w:t xml:space="preserve"> reproduce</w:t>
      </w:r>
      <w:r>
        <w:t>d</w:t>
      </w:r>
      <w:r w:rsidRPr="00985FFB">
        <w:t xml:space="preserve"> the direction of experimentally observed hypoxia effects, e.g. increasing </w:t>
      </w:r>
      <w:r w:rsidRPr="00985FFB">
        <w:rPr>
          <w:i/>
          <w:iCs/>
        </w:rPr>
        <w:t>J</w:t>
      </w:r>
      <w:r w:rsidRPr="00985FFB">
        <w:rPr>
          <w:i/>
          <w:iCs/>
          <w:vertAlign w:val="superscript"/>
        </w:rPr>
        <w:t>a</w:t>
      </w:r>
      <w:r w:rsidRPr="00985FFB">
        <w:rPr>
          <w:i/>
          <w:iCs/>
          <w:vertAlign w:val="subscript"/>
        </w:rPr>
        <w:t>Am</w:t>
      </w:r>
      <w:r w:rsidRPr="00985FFB">
        <w:t xml:space="preserve"> reduced total length, increased time until egg buffer mass reaches 0, and reduced survival</w:t>
      </w:r>
      <w:r>
        <w:t xml:space="preserve">. </w:t>
      </w:r>
      <w:r w:rsidRPr="00985FFB">
        <w:t xml:space="preserve">The best model of experimental hypoxia effects on </w:t>
      </w:r>
      <w:r w:rsidRPr="00985FFB">
        <w:rPr>
          <w:i/>
          <w:iCs/>
        </w:rPr>
        <w:t>M. menidia</w:t>
      </w:r>
      <w:r w:rsidRPr="00985FFB">
        <w:t xml:space="preserve"> early life stages </w:t>
      </w:r>
      <w:r>
        <w:t xml:space="preserve">simultaneously </w:t>
      </w:r>
      <w:r w:rsidRPr="00985FFB">
        <w:t xml:space="preserve">had </w:t>
      </w:r>
      <w:proofErr w:type="spellStart"/>
      <w:r w:rsidRPr="00985FFB">
        <w:rPr>
          <w:i/>
          <w:iCs/>
        </w:rPr>
        <w:t>y</w:t>
      </w:r>
      <w:r w:rsidRPr="00985FFB">
        <w:rPr>
          <w:i/>
          <w:iCs/>
          <w:vertAlign w:val="subscript"/>
        </w:rPr>
        <w:t>VA</w:t>
      </w:r>
      <w:proofErr w:type="spellEnd"/>
      <w:r>
        <w:t xml:space="preserve"> multiplied by </w:t>
      </w:r>
      <w:r>
        <w:rPr>
          <w:i/>
          <w:iCs/>
        </w:rPr>
        <w:t>c</w:t>
      </w:r>
      <w:r>
        <w:t>, and</w:t>
      </w:r>
      <w:r w:rsidRPr="00985FFB">
        <w:t xml:space="preserve">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emb</w:t>
      </w:r>
      <w:proofErr w:type="spellEnd"/>
      <w:r w:rsidRPr="00985FFB">
        <w:t xml:space="preserve"> and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lar</w:t>
      </w:r>
      <w:proofErr w:type="spellEnd"/>
      <w:r>
        <w:t xml:space="preserve"> divided by </w:t>
      </w:r>
      <w:r>
        <w:rPr>
          <w:i/>
          <w:iCs/>
        </w:rPr>
        <w:t>c</w:t>
      </w:r>
      <w:r>
        <w:t xml:space="preserve"> (Figure 4, Table 4, Figure S1).</w:t>
      </w:r>
      <w:r w:rsidRPr="00985FFB">
        <w:t xml:space="preserve"> Although a</w:t>
      </w:r>
      <w:r>
        <w:t>pplying damage to</w:t>
      </w:r>
      <w:r w:rsidRPr="00985FFB">
        <w:t xml:space="preserve"> </w:t>
      </w:r>
      <w:proofErr w:type="spellStart"/>
      <w:r w:rsidRPr="00985FFB">
        <w:rPr>
          <w:i/>
          <w:iCs/>
        </w:rPr>
        <w:t>y</w:t>
      </w:r>
      <w:r w:rsidRPr="00985FFB">
        <w:rPr>
          <w:i/>
          <w:iCs/>
          <w:vertAlign w:val="subscript"/>
        </w:rPr>
        <w:t>VA</w:t>
      </w:r>
      <w:proofErr w:type="spellEnd"/>
      <w:r w:rsidRPr="00985FFB">
        <w:rPr>
          <w:i/>
          <w:iCs/>
        </w:rPr>
        <w:t xml:space="preserve"> </w:t>
      </w:r>
      <w:r w:rsidRPr="00985FFB">
        <w:t xml:space="preserve">alone </w:t>
      </w:r>
      <w:r>
        <w:t>affected</w:t>
      </w:r>
      <w:r w:rsidRPr="00985FFB">
        <w:t xml:space="preserve"> all three state variables, </w:t>
      </w:r>
      <w:r>
        <w:t>concurrently</w:t>
      </w:r>
      <w:r w:rsidRPr="00985FFB">
        <w:t xml:space="preserve"> increasing both mortality parameters improved the fit to the data (Table 4). </w:t>
      </w:r>
      <w:r>
        <w:t xml:space="preserve">The model in which the correction factor was applied to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VA</w:t>
      </w:r>
      <w:proofErr w:type="spellEnd"/>
      <w:r>
        <w:t xml:space="preserve">,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emb</w:t>
      </w:r>
      <w:proofErr w:type="spellEnd"/>
      <w:r>
        <w:t>,</w:t>
      </w:r>
      <w:r w:rsidRPr="00985FFB">
        <w:t xml:space="preserve"> and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lar</w:t>
      </w:r>
      <w:proofErr w:type="spellEnd"/>
      <w:r>
        <w:t xml:space="preserve"> als</w:t>
      </w:r>
      <w:r w:rsidRPr="00985FFB">
        <w:t xml:space="preserve">o had </w:t>
      </w:r>
      <w:r>
        <w:t>the lowest</w:t>
      </w:r>
      <w:r w:rsidRPr="00985FFB">
        <w:t xml:space="preserve"> </w:t>
      </w:r>
      <w:proofErr w:type="spellStart"/>
      <w:r w:rsidRPr="00985FFB">
        <w:t>AICc</w:t>
      </w:r>
      <w:proofErr w:type="spellEnd"/>
      <w:r w:rsidRPr="00985FFB">
        <w:t xml:space="preserve"> </w:t>
      </w:r>
      <w:r>
        <w:t>of all candidate models</w:t>
      </w:r>
      <w:r w:rsidRPr="00985FFB">
        <w:t xml:space="preserve">, with an </w:t>
      </w:r>
      <w:proofErr w:type="spellStart"/>
      <w:r w:rsidRPr="00985FFB">
        <w:t>AICc</w:t>
      </w:r>
      <w:proofErr w:type="spellEnd"/>
      <w:r w:rsidRPr="00985FFB">
        <w:t xml:space="preserve"> of </w:t>
      </w:r>
      <w:r>
        <w:t>794.03 (</w:t>
      </w:r>
      <w:proofErr w:type="spellStart"/>
      <w:r>
        <w:t>AICc</w:t>
      </w:r>
      <w:r>
        <w:rPr>
          <w:vertAlign w:val="subscript"/>
        </w:rPr>
        <w:t>min</w:t>
      </w:r>
      <w:proofErr w:type="spellEnd"/>
      <w:r>
        <w:t>)</w:t>
      </w:r>
      <w:r w:rsidRPr="00985FFB">
        <w:t xml:space="preserve">. </w:t>
      </w:r>
      <w:commentRangeStart w:id="3"/>
      <w:commentRangeStart w:id="4"/>
      <w:r w:rsidRPr="00985FFB">
        <w:t xml:space="preserve">Adding a correction factor to </w:t>
      </w:r>
      <w:proofErr w:type="spellStart"/>
      <w:r w:rsidRPr="00985FFB">
        <w:rPr>
          <w:i/>
          <w:iCs/>
        </w:rPr>
        <w:t>J</w:t>
      </w:r>
      <w:r w:rsidRPr="00985FFB">
        <w:rPr>
          <w:i/>
          <w:iCs/>
          <w:vertAlign w:val="superscript"/>
        </w:rPr>
        <w:t>v</w:t>
      </w:r>
      <w:r w:rsidRPr="00985FFB">
        <w:rPr>
          <w:i/>
          <w:iCs/>
          <w:vertAlign w:val="subscript"/>
        </w:rPr>
        <w:t>M</w:t>
      </w:r>
      <w:proofErr w:type="spellEnd"/>
      <w:r w:rsidRPr="00985FFB">
        <w:t xml:space="preserve"> in </w:t>
      </w:r>
      <w:r>
        <w:t>simultaneously with</w:t>
      </w:r>
      <w:r w:rsidRPr="00985FFB">
        <w:t xml:space="preserve"> these three parameters</w:t>
      </w:r>
      <w:r>
        <w:t xml:space="preserve"> yielded a slightly higher</w:t>
      </w:r>
      <w:r w:rsidRPr="00985FFB">
        <w:t xml:space="preserve"> </w:t>
      </w:r>
      <w:proofErr w:type="spellStart"/>
      <w:r w:rsidRPr="00985FFB">
        <w:t>AICc</w:t>
      </w:r>
      <w:proofErr w:type="spellEnd"/>
      <w:r w:rsidRPr="00985FFB">
        <w:t xml:space="preserve"> </w:t>
      </w:r>
      <w:r>
        <w:t>of 795.97</w:t>
      </w:r>
      <w:commentRangeEnd w:id="3"/>
      <w:r>
        <w:rPr>
          <w:rStyle w:val="CommentReference"/>
          <w:rFonts w:ascii="Calibri" w:eastAsia="Calibri" w:hAnsi="Calibri" w:cs="Times New Roman"/>
        </w:rPr>
        <w:commentReference w:id="3"/>
      </w:r>
      <w:commentRangeEnd w:id="4"/>
      <w:r>
        <w:rPr>
          <w:rStyle w:val="CommentReference"/>
          <w:rFonts w:ascii="Calibri" w:eastAsia="Calibri" w:hAnsi="Calibri" w:cs="Times New Roman"/>
        </w:rPr>
        <w:commentReference w:id="4"/>
      </w:r>
      <w:r>
        <w:t xml:space="preserve"> (Table 4)</w:t>
      </w:r>
      <w:r w:rsidRPr="00985FFB">
        <w:t xml:space="preserve">. The ratio of Akaike weights shows that the model with </w:t>
      </w:r>
      <w:r w:rsidRPr="009C5146">
        <w:rPr>
          <w:i/>
          <w:iCs/>
        </w:rPr>
        <w:t>c</w:t>
      </w:r>
      <w:r>
        <w:t xml:space="preserve"> applied to</w:t>
      </w:r>
      <w:r w:rsidRPr="00985FFB">
        <w:t xml:space="preserve"> </w:t>
      </w:r>
      <w:proofErr w:type="spellStart"/>
      <w:r w:rsidRPr="00985FFB">
        <w:rPr>
          <w:i/>
          <w:iCs/>
        </w:rPr>
        <w:t>y</w:t>
      </w:r>
      <w:r w:rsidRPr="00985FFB">
        <w:rPr>
          <w:i/>
          <w:iCs/>
          <w:vertAlign w:val="subscript"/>
        </w:rPr>
        <w:t>VA</w:t>
      </w:r>
      <w:proofErr w:type="spellEnd"/>
      <w:r w:rsidRPr="00985FFB">
        <w:t xml:space="preserve">,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emb</w:t>
      </w:r>
      <w:proofErr w:type="spellEnd"/>
      <w:r w:rsidRPr="00985FFB">
        <w:t xml:space="preserve">, and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lar</w:t>
      </w:r>
      <w:proofErr w:type="spellEnd"/>
      <w:r w:rsidRPr="00985FFB">
        <w:t>,</w:t>
      </w:r>
      <w:r>
        <w:t xml:space="preserve"> is 2.67 times as likely as the one with </w:t>
      </w:r>
      <w:r>
        <w:rPr>
          <w:i/>
          <w:iCs/>
        </w:rPr>
        <w:t>c</w:t>
      </w:r>
      <w:r>
        <w:t xml:space="preserve"> concurrently applied </w:t>
      </w:r>
      <w:r w:rsidRPr="00985FFB">
        <w:t xml:space="preserve">to </w:t>
      </w:r>
      <w:proofErr w:type="spellStart"/>
      <w:r w:rsidRPr="00985FFB">
        <w:rPr>
          <w:i/>
          <w:iCs/>
        </w:rPr>
        <w:t>J</w:t>
      </w:r>
      <w:r w:rsidRPr="00985FFB">
        <w:rPr>
          <w:i/>
          <w:iCs/>
          <w:vertAlign w:val="superscript"/>
        </w:rPr>
        <w:t>v</w:t>
      </w:r>
      <w:r w:rsidRPr="00985FFB">
        <w:rPr>
          <w:i/>
          <w:iCs/>
          <w:vertAlign w:val="subscript"/>
        </w:rPr>
        <w:t>M</w:t>
      </w:r>
      <w:proofErr w:type="spellEnd"/>
      <w:r w:rsidRPr="00985FFB">
        <w:t xml:space="preserve"> (Table 4). </w:t>
      </w:r>
      <w:r>
        <w:t>Applying a damage effect to maintenance</w:t>
      </w:r>
      <w:r w:rsidRPr="00985FFB">
        <w:t xml:space="preserve"> was therefore not considered to have improved the fit</w:t>
      </w:r>
      <w:r>
        <w:t>.</w:t>
      </w:r>
      <w:r w:rsidRPr="00985FFB">
        <w:t xml:space="preserve"> After estimating </w:t>
      </w:r>
      <w:proofErr w:type="gramStart"/>
      <w:r w:rsidRPr="00985FFB">
        <w:rPr>
          <w:i/>
          <w:iCs/>
        </w:rPr>
        <w:t>Z</w:t>
      </w:r>
      <w:proofErr w:type="gramEnd"/>
      <w:r w:rsidRPr="00985FFB">
        <w:t xml:space="preserve"> we calculated the values of </w:t>
      </w:r>
      <w:proofErr w:type="spellStart"/>
      <w:r w:rsidRPr="00985FFB">
        <w:rPr>
          <w:i/>
          <w:iCs/>
        </w:rPr>
        <w:t>y</w:t>
      </w:r>
      <w:r w:rsidRPr="00985FFB">
        <w:rPr>
          <w:i/>
          <w:iCs/>
          <w:vertAlign w:val="subscript"/>
        </w:rPr>
        <w:t>VA</w:t>
      </w:r>
      <w:proofErr w:type="spellEnd"/>
      <w:r w:rsidRPr="00985FFB">
        <w:t xml:space="preserve">,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emb</w:t>
      </w:r>
      <w:proofErr w:type="spellEnd"/>
      <w:r w:rsidRPr="00985FFB">
        <w:t xml:space="preserve">, and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lar</w:t>
      </w:r>
      <w:proofErr w:type="spellEnd"/>
      <w:r w:rsidRPr="00985FFB">
        <w:t xml:space="preserve"> when their respective correction factors are applied for each DO level (Table </w:t>
      </w:r>
      <w:r>
        <w:t>5</w:t>
      </w:r>
      <w:r w:rsidRPr="00985FFB">
        <w:t xml:space="preserve">). </w:t>
      </w:r>
    </w:p>
    <w:p w14:paraId="7013C90D" w14:textId="77777777" w:rsidR="00A46DE5" w:rsidRDefault="00A46DE5" w:rsidP="00A46DE5">
      <w:pPr>
        <w:pStyle w:val="TS"/>
        <w:spacing w:line="360" w:lineRule="auto"/>
      </w:pPr>
      <w:r w:rsidRPr="00985FFB">
        <w:tab/>
      </w:r>
      <w:commentRangeStart w:id="5"/>
      <w:commentRangeStart w:id="6"/>
      <w:r>
        <w:t xml:space="preserve">Interestingly, although </w:t>
      </w:r>
      <w:r>
        <w:rPr>
          <w:i/>
          <w:iCs/>
        </w:rPr>
        <w:t>J</w:t>
      </w:r>
      <w:r>
        <w:rPr>
          <w:i/>
          <w:iCs/>
          <w:vertAlign w:val="superscript"/>
        </w:rPr>
        <w:t>a</w:t>
      </w:r>
      <w:r>
        <w:rPr>
          <w:i/>
          <w:iCs/>
          <w:vertAlign w:val="subscript"/>
        </w:rPr>
        <w:t>Am</w:t>
      </w:r>
      <w:r>
        <w:t xml:space="preserve"> affects the variables similarly to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VA</w:t>
      </w:r>
      <w:proofErr w:type="spellEnd"/>
      <w:r>
        <w:t xml:space="preserve">, the ratio of Akaike weights showed that the best fitting model is about 3000 times as likely as the version applying inhibition to </w:t>
      </w:r>
      <w:r>
        <w:rPr>
          <w:i/>
          <w:iCs/>
        </w:rPr>
        <w:t>J</w:t>
      </w:r>
      <w:r>
        <w:rPr>
          <w:i/>
          <w:iCs/>
          <w:vertAlign w:val="superscript"/>
        </w:rPr>
        <w:t>a</w:t>
      </w:r>
      <w:r>
        <w:rPr>
          <w:i/>
          <w:iCs/>
          <w:vertAlign w:val="subscript"/>
        </w:rPr>
        <w:t>Am</w:t>
      </w:r>
      <w:r>
        <w:t xml:space="preserve">,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emb</w:t>
      </w:r>
      <w:proofErr w:type="spellEnd"/>
      <w:r>
        <w:t>,</w:t>
      </w:r>
      <w:r w:rsidRPr="00985FFB">
        <w:t xml:space="preserve"> and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lar</w:t>
      </w:r>
      <w:proofErr w:type="spellEnd"/>
      <w:r>
        <w:t xml:space="preserve"> (Table 4). </w:t>
      </w:r>
      <w:r w:rsidRPr="00985FFB">
        <w:t xml:space="preserve">Reducing </w:t>
      </w:r>
      <w:r w:rsidRPr="00985FFB">
        <w:rPr>
          <w:i/>
          <w:iCs/>
        </w:rPr>
        <w:t>J</w:t>
      </w:r>
      <w:r w:rsidRPr="00985FFB">
        <w:rPr>
          <w:i/>
          <w:iCs/>
          <w:vertAlign w:val="superscript"/>
        </w:rPr>
        <w:t>a</w:t>
      </w:r>
      <w:r w:rsidRPr="00985FFB">
        <w:rPr>
          <w:i/>
          <w:iCs/>
          <w:vertAlign w:val="subscript"/>
        </w:rPr>
        <w:t>Am</w:t>
      </w:r>
      <w:r w:rsidRPr="00985FFB">
        <w:t xml:space="preserve"> with hypoxia using</w:t>
      </w:r>
      <w:r>
        <w:t xml:space="preserve"> the</w:t>
      </w:r>
      <w:r w:rsidRPr="00985FFB">
        <w:t xml:space="preserve"> correction factor</w:t>
      </w:r>
      <w:r>
        <w:t xml:space="preserve"> </w:t>
      </w:r>
      <w:r w:rsidRPr="00985FFB">
        <w:lastRenderedPageBreak/>
        <w:t>resulted in a</w:t>
      </w:r>
      <w:r>
        <w:t xml:space="preserve"> visually</w:t>
      </w:r>
      <w:r w:rsidRPr="00985FFB">
        <w:t xml:space="preserve"> good fit to the data across oxygen level</w:t>
      </w:r>
      <w:r>
        <w:t>s and variables</w:t>
      </w:r>
      <w:r w:rsidRPr="00985FFB">
        <w:t xml:space="preserve">. </w:t>
      </w:r>
      <w:r>
        <w:t xml:space="preserve">Simultaneously applying </w:t>
      </w:r>
      <w:r>
        <w:rPr>
          <w:i/>
          <w:iCs/>
        </w:rPr>
        <w:t>c</w:t>
      </w:r>
      <w:r>
        <w:t xml:space="preserve"> to </w:t>
      </w:r>
      <w:r w:rsidRPr="00985FFB">
        <w:rPr>
          <w:i/>
          <w:iCs/>
        </w:rPr>
        <w:t>J</w:t>
      </w:r>
      <w:r w:rsidRPr="00985FFB">
        <w:rPr>
          <w:i/>
          <w:iCs/>
          <w:vertAlign w:val="superscript"/>
        </w:rPr>
        <w:t>a</w:t>
      </w:r>
      <w:r w:rsidRPr="00985FFB">
        <w:rPr>
          <w:i/>
          <w:iCs/>
          <w:vertAlign w:val="subscript"/>
        </w:rPr>
        <w:t>Am</w:t>
      </w:r>
      <w:r w:rsidRPr="00985FFB">
        <w:t xml:space="preserve"> </w:t>
      </w:r>
      <w:r>
        <w:t>and</w:t>
      </w:r>
      <w:r w:rsidRPr="00985FFB">
        <w:t xml:space="preserve"> both mortality </w:t>
      </w:r>
      <w:r>
        <w:t>parameter</w:t>
      </w:r>
      <w:r w:rsidRPr="00985FFB">
        <w:t xml:space="preserve">s improved the fit </w:t>
      </w:r>
      <w:r>
        <w:t xml:space="preserve">compared to only applying it to </w:t>
      </w:r>
      <w:r>
        <w:rPr>
          <w:i/>
          <w:iCs/>
        </w:rPr>
        <w:t>J</w:t>
      </w:r>
      <w:r>
        <w:rPr>
          <w:i/>
          <w:iCs/>
          <w:vertAlign w:val="superscript"/>
        </w:rPr>
        <w:t>a</w:t>
      </w:r>
      <w:r>
        <w:rPr>
          <w:i/>
          <w:iCs/>
          <w:vertAlign w:val="subscript"/>
        </w:rPr>
        <w:t>Am</w:t>
      </w:r>
      <w:r w:rsidRPr="00985FFB">
        <w:t xml:space="preserve">, but this model fit less well than the version that </w:t>
      </w:r>
      <w:r>
        <w:t xml:space="preserve">applied </w:t>
      </w:r>
      <w:r>
        <w:rPr>
          <w:i/>
          <w:iCs/>
        </w:rPr>
        <w:t>c</w:t>
      </w:r>
      <w:r>
        <w:t xml:space="preserve"> to</w:t>
      </w:r>
      <w:r w:rsidRPr="00985FFB">
        <w:t xml:space="preserve"> </w:t>
      </w:r>
      <w:proofErr w:type="spellStart"/>
      <w:r w:rsidRPr="00985FFB">
        <w:rPr>
          <w:i/>
          <w:iCs/>
        </w:rPr>
        <w:t>y</w:t>
      </w:r>
      <w:r w:rsidRPr="00985FFB">
        <w:rPr>
          <w:i/>
          <w:iCs/>
          <w:vertAlign w:val="subscript"/>
        </w:rPr>
        <w:t>VA</w:t>
      </w:r>
      <w:proofErr w:type="spellEnd"/>
      <w:r w:rsidRPr="00985FFB">
        <w:t xml:space="preserve">,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emb</w:t>
      </w:r>
      <w:proofErr w:type="spellEnd"/>
      <w:r w:rsidRPr="00985FFB">
        <w:t xml:space="preserve">, and </w:t>
      </w:r>
      <w:proofErr w:type="spellStart"/>
      <w:r w:rsidRPr="00985FFB">
        <w:rPr>
          <w:rFonts w:cs="Times New Roman"/>
          <w:i/>
          <w:iCs/>
        </w:rPr>
        <w:t>μ</w:t>
      </w:r>
      <w:r w:rsidRPr="00985FFB">
        <w:rPr>
          <w:i/>
          <w:iCs/>
          <w:vertAlign w:val="subscript"/>
        </w:rPr>
        <w:t>lar</w:t>
      </w:r>
      <w:proofErr w:type="spellEnd"/>
      <w:r w:rsidRPr="00985FFB">
        <w:t xml:space="preserve">, with an AIC value of </w:t>
      </w:r>
      <w:r>
        <w:t>810.21</w:t>
      </w:r>
      <w:r w:rsidRPr="00985FFB">
        <w:t xml:space="preserve"> in the former model compared to </w:t>
      </w:r>
      <w:r>
        <w:t>794.03</w:t>
      </w:r>
      <w:r w:rsidRPr="00985FFB">
        <w:t xml:space="preserve"> in the latter. </w:t>
      </w:r>
      <w:commentRangeEnd w:id="5"/>
      <w:r>
        <w:rPr>
          <w:rStyle w:val="CommentReference"/>
          <w:rFonts w:ascii="Calibri" w:eastAsia="Calibri" w:hAnsi="Calibri" w:cs="Times New Roman"/>
        </w:rPr>
        <w:commentReference w:id="5"/>
      </w:r>
      <w:commentRangeEnd w:id="6"/>
      <w:r>
        <w:rPr>
          <w:rStyle w:val="CommentReference"/>
          <w:rFonts w:ascii="Calibri" w:eastAsia="Calibri" w:hAnsi="Calibri" w:cs="Times New Roman"/>
        </w:rPr>
        <w:commentReference w:id="6"/>
      </w:r>
    </w:p>
    <w:p w14:paraId="4214DEC0" w14:textId="77777777" w:rsidR="00A46DE5" w:rsidRPr="00FF09CE" w:rsidRDefault="00A46DE5" w:rsidP="00A46DE5">
      <w:pPr>
        <w:pStyle w:val="TS"/>
        <w:spacing w:line="360" w:lineRule="auto"/>
        <w:ind w:firstLine="720"/>
        <w:rPr>
          <w:rFonts w:cs="Times New Roman"/>
        </w:rPr>
      </w:pPr>
      <w:r w:rsidRPr="00985FFB">
        <w:rPr>
          <w:rFonts w:cs="Times New Roman"/>
        </w:rPr>
        <w:t xml:space="preserve">The estimated best value of </w:t>
      </w:r>
      <w:r w:rsidRPr="00985FFB">
        <w:rPr>
          <w:rFonts w:cs="Times New Roman"/>
          <w:i/>
          <w:iCs/>
        </w:rPr>
        <w:t>Z</w:t>
      </w:r>
      <w:r w:rsidRPr="00985FFB">
        <w:rPr>
          <w:rFonts w:cs="Times New Roman"/>
        </w:rPr>
        <w:t xml:space="preserve">, the exponential coefficient in the correction factor </w:t>
      </w:r>
      <w:r w:rsidRPr="00985FFB">
        <w:rPr>
          <w:rFonts w:cs="Times New Roman"/>
          <w:i/>
          <w:iCs/>
        </w:rPr>
        <w:t>c</w:t>
      </w:r>
      <w:r w:rsidRPr="00985FFB">
        <w:rPr>
          <w:rFonts w:cs="Times New Roman"/>
        </w:rPr>
        <w:t xml:space="preserve">, enables us to calculate that </w:t>
      </w:r>
      <w:proofErr w:type="spellStart"/>
      <w:r w:rsidRPr="00985FFB">
        <w:rPr>
          <w:rFonts w:cs="Times New Roman"/>
          <w:i/>
          <w:iCs/>
        </w:rPr>
        <w:t>y</w:t>
      </w:r>
      <w:r w:rsidRPr="00985FFB">
        <w:rPr>
          <w:rFonts w:cs="Times New Roman"/>
          <w:i/>
          <w:iCs/>
          <w:vertAlign w:val="subscript"/>
        </w:rPr>
        <w:t>VA</w:t>
      </w:r>
      <w:proofErr w:type="spellEnd"/>
      <w:r w:rsidRPr="00985FFB">
        <w:rPr>
          <w:rFonts w:cs="Times New Roman"/>
        </w:rPr>
        <w:t xml:space="preserve"> at the lowest oxygen level is </w:t>
      </w:r>
      <w:r>
        <w:rPr>
          <w:rFonts w:cs="Times New Roman"/>
        </w:rPr>
        <w:t>55</w:t>
      </w:r>
      <w:r w:rsidRPr="00985FFB">
        <w:rPr>
          <w:rFonts w:cs="Times New Roman"/>
        </w:rPr>
        <w:t>% of its value with no hypoxia stress. Reducing conversion efficiency</w:t>
      </w:r>
      <w:r w:rsidRPr="00985FFB">
        <w:rPr>
          <w:rFonts w:cs="Times New Roman"/>
          <w:i/>
          <w:iCs/>
        </w:rPr>
        <w:t xml:space="preserve"> </w:t>
      </w:r>
      <w:r w:rsidRPr="00985FFB">
        <w:rPr>
          <w:rFonts w:cs="Times New Roman"/>
        </w:rPr>
        <w:t xml:space="preserve">alone produced small differences in survival at hatching because it prolongs the time spent in the embryo stage, which has a greater mortality rate than post-hatching in our model. </w:t>
      </w:r>
      <w:r>
        <w:rPr>
          <w:rFonts w:cs="Times New Roman"/>
        </w:rPr>
        <w:t>Dividin</w:t>
      </w:r>
      <w:r w:rsidRPr="00985FFB">
        <w:rPr>
          <w:rFonts w:cs="Times New Roman"/>
        </w:rPr>
        <w:t xml:space="preserve">g both the pre- and post-hatching mortality rates by </w:t>
      </w:r>
      <w:r w:rsidRPr="00985FFB">
        <w:rPr>
          <w:rFonts w:cs="Times New Roman"/>
          <w:i/>
          <w:iCs/>
        </w:rPr>
        <w:t>c</w:t>
      </w:r>
      <w:r w:rsidRPr="00985FFB">
        <w:rPr>
          <w:rFonts w:cs="Times New Roman"/>
        </w:rPr>
        <w:t xml:space="preserve"> more closely predicted the reduced survival rates in the low DO treatments, resulting in a best fitting model that explained observed hypoxia effects well by altering conversion efficiency, embryo mortality, and post-hatch mortality. </w:t>
      </w:r>
    </w:p>
    <w:p w14:paraId="75EF7163" w14:textId="77777777" w:rsidR="00FB3DD0" w:rsidRDefault="00FB3DD0" w:rsidP="00A46DE5">
      <w:pPr>
        <w:pStyle w:val="TS"/>
      </w:pPr>
    </w:p>
    <w:sectPr w:rsidR="00FB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ger Nisbet" w:date="2024-02-08T12:00:00Z" w:initials="RN">
    <w:p w14:paraId="35B23C4D" w14:textId="77777777" w:rsidR="00A46DE5" w:rsidRDefault="00A46DE5" w:rsidP="00A46DE5">
      <w:pPr>
        <w:pStyle w:val="CommentText"/>
      </w:pPr>
      <w:r>
        <w:rPr>
          <w:rStyle w:val="CommentReference"/>
        </w:rPr>
        <w:annotationRef/>
      </w:r>
      <w:r>
        <w:t>Do you mean adding the correction factor to JvM alone?  Or was it additional to the pervious runs meaning that although NLL will be reduced with a further degree of freedom, the improvement is too small to offset the penalty paid in the formula for AIC (1.99 from memory?)?</w:t>
      </w:r>
    </w:p>
  </w:comment>
  <w:comment w:id="4" w:author="Teresa G Schwemmer" w:date="2024-02-22T20:05:00Z" w:initials="TS">
    <w:p w14:paraId="11C01391" w14:textId="77777777" w:rsidR="00A46DE5" w:rsidRDefault="00A46DE5" w:rsidP="00A46DE5">
      <w:pPr>
        <w:pStyle w:val="CommentText"/>
      </w:pPr>
      <w:r>
        <w:rPr>
          <w:rStyle w:val="CommentReference"/>
        </w:rPr>
        <w:annotationRef/>
      </w:r>
      <w:r>
        <w:t xml:space="preserve">The second one - applying the correction factor to JvM, yVA, u_emb, and u_lar. I added the word “simultaneously” to make that clear, and added the reference to Table 4 where this can be seen. </w:t>
      </w:r>
    </w:p>
  </w:comment>
  <w:comment w:id="5" w:author="Roger Nisbet" w:date="2024-02-08T12:04:00Z" w:initials="RN">
    <w:p w14:paraId="10BB60FE" w14:textId="77777777" w:rsidR="00A46DE5" w:rsidRDefault="00A46DE5" w:rsidP="00A46DE5">
      <w:pPr>
        <w:pStyle w:val="CommentText"/>
      </w:pPr>
      <w:r>
        <w:rPr>
          <w:rStyle w:val="CommentReference"/>
        </w:rPr>
        <w:annotationRef/>
      </w:r>
      <w:r>
        <w:t>I</w:t>
      </w:r>
      <w:r w:rsidRPr="00AE50F9">
        <w:rPr>
          <w:highlight w:val="yellow"/>
        </w:rPr>
        <w:t>’m not sure I understand this.</w:t>
      </w:r>
      <w:r>
        <w:t xml:space="preserve">  </w:t>
      </w:r>
      <w:r w:rsidRPr="00AE50F9">
        <w:rPr>
          <w:highlight w:val="red"/>
        </w:rPr>
        <w:t>Perhaps we should discuss?</w:t>
      </w:r>
    </w:p>
  </w:comment>
  <w:comment w:id="6" w:author="Teresa G Schwemmer" w:date="2024-02-22T20:09:00Z" w:initials="TS">
    <w:p w14:paraId="7F84B667" w14:textId="77777777" w:rsidR="00A46DE5" w:rsidRDefault="00A46DE5" w:rsidP="00A46DE5">
      <w:pPr>
        <w:pStyle w:val="CommentText"/>
      </w:pPr>
      <w:r>
        <w:rPr>
          <w:rStyle w:val="CommentReference"/>
        </w:rPr>
        <w:annotationRef/>
      </w:r>
      <w:r>
        <w:t>I made the changes discussed in our meeting - rewrote the sentence about applyign the correction factor to JaAm and both mortality parameters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B23C4D" w15:done="0"/>
  <w15:commentEx w15:paraId="11C01391" w15:paraIdParent="35B23C4D" w15:done="0"/>
  <w15:commentEx w15:paraId="10BB60FE" w15:done="0"/>
  <w15:commentEx w15:paraId="7F84B667" w15:paraIdParent="10BB60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6FE687" w16cex:dateUtc="2024-02-23T01:05:00Z"/>
  <w16cex:commentExtensible w16cex:durableId="59DD7F9B" w16cex:dateUtc="2024-02-23T0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B23C4D" w16cid:durableId="296F40C2"/>
  <w16cid:commentId w16cid:paraId="11C01391" w16cid:durableId="7E6FE687"/>
  <w16cid:commentId w16cid:paraId="10BB60FE" w16cid:durableId="296F41C9"/>
  <w16cid:commentId w16cid:paraId="7F84B667" w16cid:durableId="59DD7F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1B8"/>
    <w:multiLevelType w:val="multilevel"/>
    <w:tmpl w:val="68D415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</w:rPr>
    </w:lvl>
  </w:abstractNum>
  <w:num w:numId="1" w16cid:durableId="1739989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ger Nisbet">
    <w15:presenceInfo w15:providerId="AD" w15:userId="S-1-5-21-106859694-4272289320-593755808-2277"/>
  </w15:person>
  <w15:person w15:author="Teresa G Schwemmer">
    <w15:presenceInfo w15:providerId="AD" w15:userId="S::Teresa.Schwemmer@stonybrook.edu::6bca501e-7c4a-468b-aca9-e2f364bb1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5"/>
    <w:rsid w:val="00072F46"/>
    <w:rsid w:val="00440D59"/>
    <w:rsid w:val="00A46DE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ED69"/>
  <w15:chartTrackingRefBased/>
  <w15:docId w15:val="{50FD787C-D78F-4B8D-AB9C-6A049208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E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46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DE5"/>
    <w:pPr>
      <w:spacing w:after="20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DE5"/>
    <w:rPr>
      <w:rFonts w:ascii="Calibri" w:eastAsia="Calibri" w:hAnsi="Calibri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</cp:revision>
  <dcterms:created xsi:type="dcterms:W3CDTF">2024-02-23T01:10:00Z</dcterms:created>
  <dcterms:modified xsi:type="dcterms:W3CDTF">2024-02-23T01:11:00Z</dcterms:modified>
</cp:coreProperties>
</file>