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6E21" w14:textId="4AE31A66" w:rsidR="00A0634B" w:rsidRPr="008F491C" w:rsidRDefault="003C596C" w:rsidP="008F491C">
      <w:pPr>
        <w:ind w:firstLine="0"/>
        <w:rPr>
          <w:rFonts w:eastAsiaTheme="majorEastAsia" w:cs="Arial"/>
          <w:b/>
          <w:bCs/>
          <w:iCs/>
          <w:spacing w:val="10"/>
          <w:sz w:val="44"/>
          <w:szCs w:val="60"/>
        </w:rPr>
      </w:pPr>
      <w:bookmarkStart w:id="0" w:name="_Hlk196987243"/>
      <w:r>
        <w:rPr>
          <w:rFonts w:cs="Arial"/>
          <w:sz w:val="44"/>
        </w:rPr>
        <w:t xml:space="preserve">Influence of sex steroid hormones on the neuroendocrine effects of </w:t>
      </w:r>
      <w:r w:rsidR="00042A7F">
        <w:rPr>
          <w:rFonts w:cs="Arial"/>
          <w:sz w:val="44"/>
        </w:rPr>
        <w:t xml:space="preserve">evening </w:t>
      </w:r>
      <w:r>
        <w:rPr>
          <w:rFonts w:cs="Arial"/>
          <w:sz w:val="44"/>
        </w:rPr>
        <w:t xml:space="preserve">light </w:t>
      </w:r>
      <w:r w:rsidR="00042A7F">
        <w:rPr>
          <w:rFonts w:cs="Arial"/>
          <w:sz w:val="44"/>
        </w:rPr>
        <w:t>exposure in healthy adults</w:t>
      </w:r>
      <w:r w:rsidR="00272444" w:rsidRPr="008F491C">
        <w:rPr>
          <w:rFonts w:cs="Arial"/>
          <w:sz w:val="44"/>
        </w:rPr>
        <w:t xml:space="preserve"> </w:t>
      </w:r>
    </w:p>
    <w:p w14:paraId="5B83C127" w14:textId="77777777" w:rsidR="00272444" w:rsidRPr="008F491C" w:rsidRDefault="00272444" w:rsidP="004E7693">
      <w:pPr>
        <w:spacing w:before="120" w:after="120" w:line="240" w:lineRule="auto"/>
        <w:ind w:firstLine="0"/>
        <w:rPr>
          <w:rFonts w:cs="Arial"/>
        </w:rPr>
      </w:pPr>
    </w:p>
    <w:p w14:paraId="30312DEA" w14:textId="294D7F26" w:rsidR="0009497B" w:rsidRPr="00042A7F" w:rsidRDefault="747FFEE4" w:rsidP="00807818">
      <w:pPr>
        <w:pStyle w:val="paragraph"/>
        <w:spacing w:before="0"/>
        <w:ind w:left="-30" w:right="-30"/>
        <w:jc w:val="left"/>
        <w:textAlignment w:val="baseline"/>
        <w:rPr>
          <w:rFonts w:cs="Arial"/>
          <w:vertAlign w:val="superscript"/>
        </w:rPr>
      </w:pPr>
      <w:r w:rsidRPr="747FFEE4">
        <w:rPr>
          <w:rStyle w:val="normaltextrun"/>
          <w:rFonts w:ascii="Arial" w:hAnsi="Arial" w:cs="Arial"/>
          <w:sz w:val="28"/>
          <w:szCs w:val="28"/>
        </w:rPr>
        <w:t>Carolina Guidolin</w:t>
      </w:r>
      <w:r w:rsidRPr="747FFEE4">
        <w:rPr>
          <w:rStyle w:val="normaltextrun"/>
          <w:rFonts w:ascii="Arial" w:hAnsi="Arial" w:cs="Arial"/>
          <w:sz w:val="28"/>
          <w:szCs w:val="28"/>
          <w:vertAlign w:val="superscript"/>
        </w:rPr>
        <w:t xml:space="preserve"> </w:t>
      </w:r>
      <w:r w:rsidRPr="747FFEE4">
        <w:rPr>
          <w:rStyle w:val="normaltextrun"/>
          <w:rFonts w:ascii="Arial" w:hAnsi="Arial" w:cs="Arial"/>
          <w:sz w:val="22"/>
          <w:szCs w:val="22"/>
          <w:vertAlign w:val="superscript"/>
        </w:rPr>
        <w:t xml:space="preserve">1, 2, </w:t>
      </w:r>
      <w:r w:rsidRPr="747FFEE4">
        <w:rPr>
          <w:rStyle w:val="normaltextrun"/>
          <w:rFonts w:ascii="Arial" w:hAnsi="Arial" w:cs="Arial"/>
          <w:color w:val="000000" w:themeColor="text1"/>
          <w:sz w:val="22"/>
          <w:szCs w:val="22"/>
          <w:vertAlign w:val="superscript"/>
        </w:rPr>
        <w:t>[</w:t>
      </w:r>
      <w:hyperlink r:id="rId8">
        <w:r w:rsidRPr="747FFEE4">
          <w:rPr>
            <w:rStyle w:val="Hyperlink"/>
            <w:rFonts w:ascii="Arial" w:hAnsi="Arial" w:cs="Arial"/>
            <w:color w:val="000000" w:themeColor="text1"/>
            <w:sz w:val="22"/>
            <w:szCs w:val="22"/>
            <w:u w:val="none"/>
            <w:vertAlign w:val="superscript"/>
          </w:rPr>
          <w:t>0009-0007-4959-2667</w:t>
        </w:r>
      </w:hyperlink>
      <w:r w:rsidRPr="747FFEE4">
        <w:rPr>
          <w:rStyle w:val="normaltextrun"/>
          <w:rFonts w:ascii="Arial" w:hAnsi="Arial" w:cs="Arial"/>
          <w:sz w:val="22"/>
          <w:szCs w:val="22"/>
          <w:vertAlign w:val="superscript"/>
        </w:rPr>
        <w:t>]</w:t>
      </w:r>
      <w:r w:rsidRPr="747FFEE4">
        <w:rPr>
          <w:rStyle w:val="normaltextrun"/>
          <w:rFonts w:ascii="Arial" w:hAnsi="Arial" w:cs="Arial"/>
          <w:sz w:val="22"/>
          <w:szCs w:val="22"/>
        </w:rPr>
        <w:t xml:space="preserve">, </w:t>
      </w:r>
      <w:proofErr w:type="spellStart"/>
      <w:r w:rsidRPr="747FFEE4">
        <w:rPr>
          <w:rStyle w:val="normaltextrun"/>
          <w:rFonts w:ascii="Arial" w:hAnsi="Arial" w:cs="Arial"/>
          <w:sz w:val="28"/>
          <w:szCs w:val="28"/>
        </w:rPr>
        <w:t>Maydel</w:t>
      </w:r>
      <w:proofErr w:type="spellEnd"/>
      <w:r w:rsidRPr="747FFEE4">
        <w:rPr>
          <w:rStyle w:val="normaltextrun"/>
          <w:rFonts w:ascii="Arial" w:hAnsi="Arial" w:cs="Arial"/>
          <w:sz w:val="28"/>
          <w:szCs w:val="28"/>
        </w:rPr>
        <w:t xml:space="preserve"> Fernandez-Alonso</w:t>
      </w:r>
      <w:r w:rsidRPr="747FFEE4">
        <w:rPr>
          <w:rStyle w:val="normaltextrun"/>
          <w:rFonts w:ascii="Arial" w:hAnsi="Arial" w:cs="Arial"/>
          <w:sz w:val="28"/>
          <w:szCs w:val="28"/>
          <w:vertAlign w:val="superscript"/>
        </w:rPr>
        <w:t xml:space="preserve"> </w:t>
      </w:r>
      <w:r w:rsidRPr="747FFEE4">
        <w:rPr>
          <w:rStyle w:val="normaltextrun"/>
          <w:rFonts w:ascii="Arial" w:hAnsi="Arial" w:cs="Arial"/>
          <w:sz w:val="22"/>
          <w:szCs w:val="22"/>
          <w:vertAlign w:val="superscript"/>
        </w:rPr>
        <w:t>2 [0000-0002-3179-7476]</w:t>
      </w:r>
      <w:r w:rsidRPr="747FFEE4">
        <w:rPr>
          <w:rStyle w:val="normaltextrun"/>
          <w:rFonts w:ascii="Arial" w:hAnsi="Arial" w:cs="Arial"/>
          <w:sz w:val="28"/>
          <w:szCs w:val="28"/>
        </w:rPr>
        <w:t xml:space="preserve">, Johannes </w:t>
      </w:r>
      <w:proofErr w:type="spellStart"/>
      <w:r w:rsidRPr="747FFEE4">
        <w:rPr>
          <w:rStyle w:val="normaltextrun"/>
          <w:rFonts w:ascii="Arial" w:hAnsi="Arial" w:cs="Arial"/>
          <w:sz w:val="28"/>
          <w:szCs w:val="28"/>
        </w:rPr>
        <w:t>Zauner</w:t>
      </w:r>
      <w:proofErr w:type="spellEnd"/>
      <w:r w:rsidRPr="747FFEE4">
        <w:rPr>
          <w:rStyle w:val="normaltextrun"/>
          <w:rFonts w:ascii="Arial" w:hAnsi="Arial" w:cs="Arial"/>
          <w:sz w:val="22"/>
          <w:szCs w:val="22"/>
          <w:vertAlign w:val="superscript"/>
        </w:rPr>
        <w:t xml:space="preserve"> 1,2 [0000-0003-2171-4566]</w:t>
      </w:r>
      <w:r w:rsidRPr="747FFEE4">
        <w:rPr>
          <w:rStyle w:val="normaltextrun"/>
          <w:rFonts w:ascii="Arial" w:hAnsi="Arial" w:cs="Arial"/>
          <w:sz w:val="28"/>
          <w:szCs w:val="28"/>
        </w:rPr>
        <w:t xml:space="preserve">, Josef </w:t>
      </w:r>
      <w:proofErr w:type="spellStart"/>
      <w:r w:rsidRPr="747FFEE4">
        <w:rPr>
          <w:rStyle w:val="normaltextrun"/>
          <w:rFonts w:ascii="Arial" w:hAnsi="Arial" w:cs="Arial"/>
          <w:sz w:val="28"/>
          <w:szCs w:val="28"/>
        </w:rPr>
        <w:t>Trinkl</w:t>
      </w:r>
      <w:proofErr w:type="spellEnd"/>
      <w:r w:rsidRPr="747FFEE4">
        <w:rPr>
          <w:rStyle w:val="normaltextrun"/>
          <w:rFonts w:ascii="Arial" w:hAnsi="Arial" w:cs="Arial"/>
          <w:sz w:val="28"/>
          <w:szCs w:val="28"/>
          <w:vertAlign w:val="superscript"/>
        </w:rPr>
        <w:t xml:space="preserve"> </w:t>
      </w:r>
      <w:r w:rsidRPr="747FFEE4">
        <w:rPr>
          <w:rStyle w:val="normaltextrun"/>
          <w:rFonts w:ascii="Arial" w:hAnsi="Arial" w:cs="Arial"/>
          <w:sz w:val="22"/>
          <w:szCs w:val="22"/>
          <w:vertAlign w:val="superscript"/>
        </w:rPr>
        <w:t>2,</w:t>
      </w:r>
      <w:r w:rsidR="00DF5249">
        <w:rPr>
          <w:rStyle w:val="normaltextrun"/>
          <w:rFonts w:ascii="Arial" w:hAnsi="Arial" w:cs="Arial"/>
          <w:sz w:val="22"/>
          <w:szCs w:val="22"/>
          <w:vertAlign w:val="superscript"/>
        </w:rPr>
        <w:t xml:space="preserve"> </w:t>
      </w:r>
      <w:r w:rsidR="0029634B">
        <w:rPr>
          <w:rStyle w:val="normaltextrun"/>
          <w:rFonts w:ascii="Arial" w:hAnsi="Arial" w:cs="Arial"/>
          <w:sz w:val="22"/>
          <w:szCs w:val="22"/>
          <w:vertAlign w:val="superscript"/>
        </w:rPr>
        <w:t>3</w:t>
      </w:r>
      <w:r w:rsidRPr="747FFEE4">
        <w:rPr>
          <w:rStyle w:val="normaltextrun"/>
          <w:rFonts w:ascii="Arial" w:hAnsi="Arial" w:cs="Arial"/>
          <w:sz w:val="22"/>
          <w:szCs w:val="22"/>
          <w:vertAlign w:val="superscript"/>
        </w:rPr>
        <w:t xml:space="preserve"> [0009-0008-9064-4972]</w:t>
      </w:r>
      <w:r w:rsidRPr="747FFEE4">
        <w:rPr>
          <w:rStyle w:val="normaltextrun"/>
          <w:rFonts w:ascii="Arial" w:hAnsi="Arial" w:cs="Arial"/>
          <w:sz w:val="28"/>
          <w:szCs w:val="28"/>
        </w:rPr>
        <w:t>, Stephan Munkwitz</w:t>
      </w:r>
      <w:r w:rsidRPr="747FFEE4">
        <w:rPr>
          <w:rStyle w:val="normaltextrun"/>
          <w:rFonts w:ascii="Arial" w:hAnsi="Arial" w:cs="Arial"/>
          <w:sz w:val="22"/>
          <w:szCs w:val="22"/>
          <w:vertAlign w:val="superscript"/>
        </w:rPr>
        <w:t>2 [0000-0002-9559-5566]</w:t>
      </w:r>
      <w:r w:rsidRPr="747FFEE4">
        <w:rPr>
          <w:rStyle w:val="normaltextrun"/>
          <w:rFonts w:ascii="Arial" w:hAnsi="Arial" w:cs="Arial"/>
          <w:sz w:val="22"/>
          <w:szCs w:val="22"/>
        </w:rPr>
        <w:t>,</w:t>
      </w:r>
      <w:r w:rsidRPr="747FFEE4">
        <w:rPr>
          <w:rStyle w:val="normaltextrun"/>
          <w:rFonts w:ascii="Arial" w:hAnsi="Arial" w:cs="Arial"/>
          <w:sz w:val="28"/>
          <w:szCs w:val="28"/>
        </w:rPr>
        <w:t xml:space="preserve"> Manuel Spitschan</w:t>
      </w:r>
      <w:r w:rsidRPr="747FFEE4">
        <w:rPr>
          <w:rStyle w:val="normaltextrun"/>
          <w:rFonts w:ascii="Arial" w:hAnsi="Arial" w:cs="Arial"/>
          <w:sz w:val="22"/>
          <w:szCs w:val="22"/>
          <w:vertAlign w:val="superscript"/>
        </w:rPr>
        <w:t>1, 2, 4,</w:t>
      </w:r>
      <w:r w:rsidR="0029634B">
        <w:rPr>
          <w:rStyle w:val="normaltextrun"/>
          <w:rFonts w:ascii="Arial" w:hAnsi="Arial" w:cs="Arial"/>
          <w:sz w:val="22"/>
          <w:szCs w:val="22"/>
          <w:vertAlign w:val="superscript"/>
        </w:rPr>
        <w:t xml:space="preserve"> 5</w:t>
      </w:r>
      <w:r w:rsidRPr="747FFEE4">
        <w:rPr>
          <w:rStyle w:val="normaltextrun"/>
          <w:rFonts w:ascii="Arial" w:hAnsi="Arial" w:cs="Arial"/>
          <w:sz w:val="22"/>
          <w:szCs w:val="22"/>
          <w:vertAlign w:val="superscript"/>
        </w:rPr>
        <w:t xml:space="preserve"> [</w:t>
      </w:r>
      <w:hyperlink r:id="rId9">
        <w:r w:rsidRPr="747FFEE4">
          <w:rPr>
            <w:rStyle w:val="normaltextrun"/>
            <w:rFonts w:ascii="Arial" w:hAnsi="Arial" w:cs="Arial"/>
            <w:sz w:val="22"/>
            <w:szCs w:val="22"/>
            <w:u w:val="single"/>
            <w:vertAlign w:val="superscript"/>
          </w:rPr>
          <w:t>0000-0002-8572-9268</w:t>
        </w:r>
      </w:hyperlink>
      <w:r w:rsidRPr="747FFEE4">
        <w:rPr>
          <w:rStyle w:val="normaltextrun"/>
          <w:rFonts w:ascii="Arial" w:hAnsi="Arial" w:cs="Arial"/>
          <w:sz w:val="22"/>
          <w:szCs w:val="22"/>
          <w:vertAlign w:val="superscript"/>
        </w:rPr>
        <w:t xml:space="preserve">] </w:t>
      </w:r>
      <w:r w:rsidRPr="747FFEE4">
        <w:rPr>
          <w:rStyle w:val="normaltextrun"/>
          <w:rFonts w:ascii="Arial" w:hAnsi="Arial" w:cs="Arial"/>
          <w:sz w:val="28"/>
          <w:szCs w:val="28"/>
        </w:rPr>
        <w:t>*</w:t>
      </w:r>
      <w:r w:rsidRPr="747FFEE4">
        <w:rPr>
          <w:rStyle w:val="eop"/>
          <w:rFonts w:eastAsia="Arial" w:cs="Arial"/>
          <w:sz w:val="28"/>
          <w:szCs w:val="28"/>
        </w:rPr>
        <w:t> </w:t>
      </w:r>
    </w:p>
    <w:p w14:paraId="0D47E3C3" w14:textId="77777777" w:rsidR="007715FF" w:rsidRPr="0009497B" w:rsidRDefault="007715FF" w:rsidP="007715FF">
      <w:pPr>
        <w:spacing w:before="120" w:after="120" w:line="240" w:lineRule="auto"/>
        <w:ind w:firstLine="0"/>
        <w:rPr>
          <w:rFonts w:cs="Arial"/>
        </w:rPr>
      </w:pPr>
      <w:r w:rsidRPr="0009497B">
        <w:rPr>
          <w:rFonts w:cs="Arial"/>
          <w:vertAlign w:val="superscript"/>
        </w:rPr>
        <w:t>1</w:t>
      </w:r>
      <w:r w:rsidRPr="0009497B">
        <w:rPr>
          <w:rFonts w:cs="Arial"/>
        </w:rPr>
        <w:t xml:space="preserve"> TUM School of Medicine and Health, Department Health and Sports Sciences, Chronobiology &amp; Health, Technical University of Munich, Munich, Germany </w:t>
      </w:r>
    </w:p>
    <w:p w14:paraId="19F97933" w14:textId="77777777" w:rsidR="007715FF" w:rsidRDefault="007715FF" w:rsidP="007715FF">
      <w:pPr>
        <w:spacing w:before="120" w:after="120" w:line="240" w:lineRule="auto"/>
        <w:ind w:firstLine="0"/>
        <w:rPr>
          <w:rFonts w:cs="Arial"/>
        </w:rPr>
      </w:pPr>
      <w:r w:rsidRPr="0009497B">
        <w:rPr>
          <w:rFonts w:cs="Arial"/>
          <w:vertAlign w:val="superscript"/>
        </w:rPr>
        <w:t>2</w:t>
      </w:r>
      <w:r w:rsidRPr="0009497B">
        <w:rPr>
          <w:rFonts w:cs="Arial"/>
        </w:rPr>
        <w:t xml:space="preserve"> Max Planck Institute for Biological Cybernetics, Max Planck Research Group Translational Sensory &amp; Circadian Neuroscience, Tübingen, Germany</w:t>
      </w:r>
    </w:p>
    <w:p w14:paraId="12AB4656" w14:textId="77777777" w:rsidR="007715FF" w:rsidRPr="00DD174F" w:rsidRDefault="007715FF" w:rsidP="007715FF">
      <w:pPr>
        <w:spacing w:before="120" w:after="120" w:line="240" w:lineRule="auto"/>
        <w:ind w:firstLine="0"/>
        <w:rPr>
          <w:rFonts w:cs="Arial"/>
        </w:rPr>
      </w:pPr>
      <w:r>
        <w:rPr>
          <w:rFonts w:cs="Arial"/>
          <w:vertAlign w:val="superscript"/>
        </w:rPr>
        <w:t>3</w:t>
      </w:r>
      <w:r>
        <w:rPr>
          <w:rFonts w:cs="Arial"/>
        </w:rPr>
        <w:t xml:space="preserve"> University Hospital and Faculty of Medicine, University of Tübingen, Tübingen, Germany</w:t>
      </w:r>
    </w:p>
    <w:p w14:paraId="4FB61C8B" w14:textId="77777777" w:rsidR="007715FF" w:rsidRPr="0009497B" w:rsidRDefault="007715FF" w:rsidP="007715FF">
      <w:pPr>
        <w:spacing w:before="120" w:after="120" w:line="240" w:lineRule="auto"/>
        <w:ind w:firstLine="0"/>
        <w:rPr>
          <w:rFonts w:cs="Arial"/>
        </w:rPr>
      </w:pPr>
      <w:r>
        <w:rPr>
          <w:rFonts w:cs="Arial"/>
          <w:vertAlign w:val="superscript"/>
        </w:rPr>
        <w:t>4</w:t>
      </w:r>
      <w:r w:rsidRPr="0009497B">
        <w:rPr>
          <w:rFonts w:cs="Arial"/>
        </w:rPr>
        <w:t xml:space="preserve"> TUM Institute for Advanced Study (TUM-IAS), Technical University of Munich, </w:t>
      </w:r>
      <w:proofErr w:type="spellStart"/>
      <w:r w:rsidRPr="0009497B">
        <w:rPr>
          <w:rFonts w:cs="Arial"/>
        </w:rPr>
        <w:t>Garching</w:t>
      </w:r>
      <w:proofErr w:type="spellEnd"/>
      <w:r w:rsidRPr="0009497B">
        <w:rPr>
          <w:rFonts w:cs="Arial"/>
        </w:rPr>
        <w:t>, Germany</w:t>
      </w:r>
    </w:p>
    <w:p w14:paraId="1871EF65" w14:textId="77777777" w:rsidR="007715FF" w:rsidRPr="0009497B" w:rsidRDefault="007715FF" w:rsidP="007715FF">
      <w:pPr>
        <w:spacing w:before="120" w:after="120" w:line="240" w:lineRule="auto"/>
        <w:ind w:firstLine="0"/>
        <w:rPr>
          <w:rFonts w:cs="Arial"/>
        </w:rPr>
      </w:pPr>
      <w:r>
        <w:rPr>
          <w:rFonts w:cs="Arial"/>
          <w:vertAlign w:val="superscript"/>
        </w:rPr>
        <w:t>5</w:t>
      </w:r>
      <w:r w:rsidRPr="0009497B">
        <w:rPr>
          <w:rFonts w:cs="Arial"/>
          <w:vertAlign w:val="superscript"/>
        </w:rPr>
        <w:t xml:space="preserve"> </w:t>
      </w:r>
      <w:r w:rsidRPr="0009497B">
        <w:rPr>
          <w:rFonts w:cs="Arial"/>
        </w:rPr>
        <w:t>TUMCREATE Ltd., Singapore, Singapore </w:t>
      </w:r>
    </w:p>
    <w:p w14:paraId="6057C205" w14:textId="39CA9A80" w:rsidR="747FFEE4" w:rsidRDefault="747FFEE4" w:rsidP="747FFEE4">
      <w:pPr>
        <w:spacing w:before="120" w:after="120" w:line="240" w:lineRule="auto"/>
        <w:ind w:firstLine="0"/>
        <w:rPr>
          <w:rFonts w:cs="Arial"/>
        </w:rPr>
      </w:pPr>
    </w:p>
    <w:p w14:paraId="7896748E" w14:textId="77777777" w:rsidR="00A0634B" w:rsidRPr="0009497B" w:rsidRDefault="00A0634B" w:rsidP="004E7693">
      <w:pPr>
        <w:spacing w:before="120" w:after="120" w:line="240" w:lineRule="auto"/>
        <w:ind w:firstLine="0"/>
        <w:rPr>
          <w:rFonts w:cs="Arial"/>
        </w:rPr>
      </w:pPr>
    </w:p>
    <w:p w14:paraId="5AE276A5" w14:textId="52865FF1" w:rsidR="00A0634B" w:rsidRPr="00CC766F" w:rsidRDefault="00A0634B" w:rsidP="00CC766F">
      <w:pPr>
        <w:spacing w:before="120" w:after="120" w:line="240" w:lineRule="auto"/>
        <w:ind w:firstLine="0"/>
        <w:rPr>
          <w:rFonts w:cs="Arial"/>
          <w:vertAlign w:val="superscript"/>
        </w:rPr>
      </w:pPr>
      <w:r w:rsidRPr="0009497B">
        <w:rPr>
          <w:rFonts w:cs="Arial"/>
        </w:rPr>
        <w:t xml:space="preserve">* Corresponding author: </w:t>
      </w:r>
      <w:r w:rsidR="0009497B" w:rsidRPr="0009497B">
        <w:rPr>
          <w:rFonts w:cs="Arial"/>
        </w:rPr>
        <w:t xml:space="preserve">Manuel </w:t>
      </w:r>
      <w:proofErr w:type="spellStart"/>
      <w:r w:rsidR="0009497B" w:rsidRPr="0009497B">
        <w:rPr>
          <w:rFonts w:cs="Arial"/>
        </w:rPr>
        <w:t>Spitschan</w:t>
      </w:r>
      <w:proofErr w:type="spellEnd"/>
      <w:r w:rsidRPr="0009497B">
        <w:rPr>
          <w:rFonts w:cs="Arial"/>
        </w:rPr>
        <w:t xml:space="preserve"> (</w:t>
      </w:r>
      <w:r w:rsidR="0009497B" w:rsidRPr="0009497B">
        <w:rPr>
          <w:rFonts w:cs="Arial"/>
        </w:rPr>
        <w:t>manuel.spitschan@tum.de).</w:t>
      </w:r>
      <w:r w:rsidRPr="0009497B">
        <w:rPr>
          <w:rFonts w:cs="Arial"/>
        </w:rPr>
        <w:t xml:space="preserve"> </w:t>
      </w:r>
      <w:r w:rsidRPr="008F491C">
        <w:br w:type="page"/>
      </w:r>
    </w:p>
    <w:bookmarkEnd w:id="0"/>
    <w:p w14:paraId="3CEE88C9" w14:textId="77777777" w:rsidR="007109A1" w:rsidRPr="008F491C" w:rsidRDefault="007109A1" w:rsidP="004E7693">
      <w:pPr>
        <w:pStyle w:val="Heading1"/>
        <w:spacing w:before="120" w:after="120" w:line="240" w:lineRule="auto"/>
        <w:rPr>
          <w:rFonts w:cs="Arial"/>
          <w:i/>
        </w:rPr>
      </w:pPr>
      <w:r w:rsidRPr="008F491C">
        <w:rPr>
          <w:rFonts w:cs="Arial"/>
        </w:rPr>
        <w:lastRenderedPageBreak/>
        <w:t>Abstract</w:t>
      </w:r>
    </w:p>
    <w:p w14:paraId="6AE6E9FA" w14:textId="473EA810" w:rsidR="00B57711" w:rsidRDefault="000B4848" w:rsidP="00CC766F">
      <w:r>
        <w:t xml:space="preserve">Light regulates various non-visual functions in humans, including </w:t>
      </w:r>
      <w:r w:rsidR="00807818">
        <w:t>melatonin</w:t>
      </w:r>
      <w:r>
        <w:t xml:space="preserve"> production, circadian phase shifting, alertness, and </w:t>
      </w:r>
      <w:r w:rsidR="006C13B5">
        <w:t xml:space="preserve">control of </w:t>
      </w:r>
      <w:r>
        <w:t>pupil size. The</w:t>
      </w:r>
      <w:r w:rsidR="006C13B5">
        <w:t>se</w:t>
      </w:r>
      <w:r>
        <w:t xml:space="preserve"> non-visual effects of light are mediated by melanopsin-containing intrinsically photosensitive retinal ganglion cells (ipRGCs). Individual sensitivity to </w:t>
      </w:r>
      <w:r w:rsidR="006C13B5">
        <w:t>non-visual light</w:t>
      </w:r>
      <w:r>
        <w:t xml:space="preserve"> responses varies, with sex identified as contributing to these differences. Although the mechanisms behind sex differences in non-visual light effects are unclear, animal studies have shown that sex steroid hormones can modulate photic responses along the non-visual pathway. However, human studies are limited, often lacking documentation on participants’ hormonal status and relying on between-subject designs, unable to capture hormonal fluctuations in naturally cycling individuals. Furthermore, the influence of exogenous hormones from contraceptive pill use remains largely unexplored. This within-subjects study addresses these gaps by examining how hormonal status modulates melanopsin sensitivity and evening melatonin suppression in healthy adults (aged 23–35). Three participant groups with distinct hormonal profiles will be recruited: naturally cycling individuals (NC group), individuals using monophasic combined oral contraceptives (MCOC group) and healthy male participants (HM group), with a maximum of 12 participants per group (n=36 total). Participants will undergo four evening experimental sessions across the menstrual cycle (NC group), the pill cycle (MCOC group), and an equivalent duration of 28 days (HM group). Each experimental session will span a total of 8 hours, starting </w:t>
      </w:r>
      <w:r w:rsidR="007715FF">
        <w:t>seven</w:t>
      </w:r>
      <w:r>
        <w:t xml:space="preserve"> hours prior and ending </w:t>
      </w:r>
      <w:r w:rsidR="007715FF">
        <w:t>one</w:t>
      </w:r>
      <w:r>
        <w:t xml:space="preserve"> hour after habitual bedtime, during which melanopsin sensitivity will be measured by state-of-the-art pupillometry, and light exposure to suppress melatonin will be delivered via a virtual reality head-mounted display (90 lux </w:t>
      </w:r>
      <w:proofErr w:type="spellStart"/>
      <w:r>
        <w:t>melanopic</w:t>
      </w:r>
      <w:proofErr w:type="spellEnd"/>
      <w:r>
        <w:t xml:space="preserve"> equivalent daylight illuminance [</w:t>
      </w:r>
      <w:proofErr w:type="spellStart"/>
      <w:r>
        <w:t>m</w:t>
      </w:r>
      <w:r w:rsidR="006C13B5">
        <w:t>elanopic</w:t>
      </w:r>
      <w:proofErr w:type="spellEnd"/>
      <w:r w:rsidR="006C13B5">
        <w:t xml:space="preserve"> </w:t>
      </w:r>
      <w:r>
        <w:t>EDI]). Sex steroid hormone levels</w:t>
      </w:r>
      <w:r w:rsidR="0032004C">
        <w:t xml:space="preserve"> (</w:t>
      </w:r>
      <w:proofErr w:type="spellStart"/>
      <w:r w:rsidR="0032004C">
        <w:t>estradiol</w:t>
      </w:r>
      <w:proofErr w:type="spellEnd"/>
      <w:r w:rsidR="0032004C">
        <w:t xml:space="preserve">, progesterone, testosterone, </w:t>
      </w:r>
      <w:proofErr w:type="spellStart"/>
      <w:r w:rsidR="0032004C">
        <w:t>ethinylestradiol</w:t>
      </w:r>
      <w:proofErr w:type="spellEnd"/>
      <w:r w:rsidR="0032004C">
        <w:t>, synthetic progestins)</w:t>
      </w:r>
      <w:r>
        <w:t xml:space="preserve"> will be measured through blood sampling. An additional dim-light (&lt;1 lux </w:t>
      </w:r>
      <w:proofErr w:type="spellStart"/>
      <w:r>
        <w:t>m</w:t>
      </w:r>
      <w:r w:rsidR="006C13B5">
        <w:t>elanopic</w:t>
      </w:r>
      <w:proofErr w:type="spellEnd"/>
      <w:r w:rsidR="006C13B5">
        <w:t xml:space="preserve"> </w:t>
      </w:r>
      <w:r>
        <w:t xml:space="preserve">EDI) control session to measure melatonin levels in </w:t>
      </w:r>
      <w:r w:rsidR="006C13B5">
        <w:t xml:space="preserve">the </w:t>
      </w:r>
      <w:r>
        <w:t xml:space="preserve">absence of light will be performed for each participant and randomised across the menstrual and pill cycle (NC and MCOC groups). </w:t>
      </w:r>
      <w:r w:rsidR="006C13B5">
        <w:t>This study</w:t>
      </w:r>
      <w:r>
        <w:t xml:space="preserve"> will </w:t>
      </w:r>
      <w:r w:rsidR="006C13B5">
        <w:t xml:space="preserve">offer a first systematic account of how hormonal changes influence light sensitivity in healthy adults. </w:t>
      </w:r>
      <w:r w:rsidR="003008FF">
        <w:t xml:space="preserve">Furthermore, our work will contribute to </w:t>
      </w:r>
      <w:r w:rsidR="00CE1EB5">
        <w:t>developing</w:t>
      </w:r>
      <w:r w:rsidR="003008FF">
        <w:t xml:space="preserve"> guidelines for including individuals with natural menstrual cycles in future circadian research, thereby encouraging more representative participant inclusion</w:t>
      </w:r>
      <w:r w:rsidR="00FA67AA">
        <w:t xml:space="preserve">. </w:t>
      </w:r>
      <w:r w:rsidR="00B57711">
        <w:br w:type="page"/>
      </w:r>
    </w:p>
    <w:p w14:paraId="6B42028B" w14:textId="218B599F" w:rsidR="0069485A" w:rsidRDefault="00927992" w:rsidP="00B57711">
      <w:pPr>
        <w:pStyle w:val="Heading1"/>
      </w:pPr>
      <w:r>
        <w:lastRenderedPageBreak/>
        <w:t>List of a</w:t>
      </w:r>
      <w:r w:rsidR="00B57711">
        <w:t>bbreviations</w:t>
      </w:r>
    </w:p>
    <w:p w14:paraId="0A49CC01" w14:textId="77777777" w:rsidR="00CB04DB" w:rsidRDefault="00CB04DB" w:rsidP="007A0923">
      <w:pPr>
        <w:spacing w:line="240" w:lineRule="auto"/>
        <w:ind w:firstLine="357"/>
      </w:pPr>
      <w:r>
        <w:t>AUC</w:t>
      </w:r>
      <w:r>
        <w:tab/>
        <w:t>Area Under the Curve</w:t>
      </w:r>
    </w:p>
    <w:p w14:paraId="4C23F3BE" w14:textId="77777777" w:rsidR="00CB04DB" w:rsidRDefault="00CB04DB" w:rsidP="007A0923">
      <w:pPr>
        <w:spacing w:line="240" w:lineRule="auto"/>
        <w:ind w:firstLine="357"/>
      </w:pPr>
      <w:proofErr w:type="gramStart"/>
      <w:r>
        <w:t xml:space="preserve">AUDIT  </w:t>
      </w:r>
      <w:r>
        <w:tab/>
      </w:r>
      <w:proofErr w:type="gramEnd"/>
      <w:r>
        <w:t>Alcohol Use Disorders Identification Test</w:t>
      </w:r>
    </w:p>
    <w:p w14:paraId="1A4A8E67" w14:textId="77777777" w:rsidR="00CB04DB" w:rsidRDefault="00CB04DB" w:rsidP="007A0923">
      <w:pPr>
        <w:spacing w:line="240" w:lineRule="auto"/>
        <w:ind w:firstLine="357"/>
      </w:pPr>
      <w:r>
        <w:t>BF</w:t>
      </w:r>
      <w:r>
        <w:tab/>
      </w:r>
      <w:r>
        <w:tab/>
        <w:t>Bayes factor</w:t>
      </w:r>
    </w:p>
    <w:p w14:paraId="3945B8BF" w14:textId="77777777" w:rsidR="00CB04DB" w:rsidRDefault="00CB04DB" w:rsidP="007A0923">
      <w:pPr>
        <w:spacing w:line="240" w:lineRule="auto"/>
        <w:ind w:firstLine="357"/>
      </w:pPr>
      <w:r>
        <w:t>BFDA</w:t>
      </w:r>
      <w:r>
        <w:tab/>
        <w:t>Bayes Factor Design Analysis</w:t>
      </w:r>
    </w:p>
    <w:p w14:paraId="42CD3B1F" w14:textId="77777777" w:rsidR="00CB04DB" w:rsidRDefault="00CB04DB" w:rsidP="007A0923">
      <w:pPr>
        <w:spacing w:line="240" w:lineRule="auto"/>
        <w:ind w:firstLine="357"/>
      </w:pPr>
      <w:proofErr w:type="gramStart"/>
      <w:r>
        <w:t xml:space="preserve">BMI  </w:t>
      </w:r>
      <w:r>
        <w:tab/>
      </w:r>
      <w:proofErr w:type="gramEnd"/>
      <w:r>
        <w:t>Body Mass Index</w:t>
      </w:r>
    </w:p>
    <w:p w14:paraId="5661F5E4" w14:textId="77777777" w:rsidR="00CB04DB" w:rsidRDefault="00CB04DB" w:rsidP="007A0923">
      <w:pPr>
        <w:spacing w:line="240" w:lineRule="auto"/>
        <w:ind w:firstLine="357"/>
      </w:pPr>
      <w:r>
        <w:t xml:space="preserve">CH </w:t>
      </w:r>
      <w:r>
        <w:tab/>
        <w:t>Confirmatory hypothesis</w:t>
      </w:r>
    </w:p>
    <w:p w14:paraId="07231FAC" w14:textId="77777777" w:rsidR="00CB04DB" w:rsidRPr="00CB04DB" w:rsidRDefault="00CB04DB" w:rsidP="007A0923">
      <w:pPr>
        <w:spacing w:line="240" w:lineRule="auto"/>
        <w:ind w:firstLine="357"/>
        <w:rPr>
          <w:lang w:val="de-DE"/>
        </w:rPr>
      </w:pPr>
      <w:r w:rsidRPr="00CB04DB">
        <w:rPr>
          <w:lang w:val="de-DE"/>
        </w:rPr>
        <w:t>E</w:t>
      </w:r>
      <w:proofErr w:type="gramStart"/>
      <w:r w:rsidRPr="00CB04DB">
        <w:rPr>
          <w:lang w:val="de-DE"/>
        </w:rPr>
        <w:t xml:space="preserve">2  </w:t>
      </w:r>
      <w:r w:rsidRPr="00CB04DB">
        <w:rPr>
          <w:lang w:val="de-DE"/>
        </w:rPr>
        <w:tab/>
      </w:r>
      <w:proofErr w:type="gramEnd"/>
      <w:r w:rsidRPr="00CB04DB">
        <w:rPr>
          <w:lang w:val="de-DE"/>
        </w:rPr>
        <w:t>Estradiol</w:t>
      </w:r>
    </w:p>
    <w:p w14:paraId="6982B5EA" w14:textId="77777777" w:rsidR="00CB04DB" w:rsidRPr="00CB04DB" w:rsidRDefault="00CB04DB" w:rsidP="007A0923">
      <w:pPr>
        <w:spacing w:line="240" w:lineRule="auto"/>
        <w:ind w:firstLine="357"/>
        <w:rPr>
          <w:lang w:val="de-DE"/>
        </w:rPr>
      </w:pPr>
      <w:r w:rsidRPr="00CB04DB">
        <w:rPr>
          <w:lang w:val="de-DE"/>
        </w:rPr>
        <w:t>E3</w:t>
      </w:r>
      <w:proofErr w:type="gramStart"/>
      <w:r w:rsidRPr="00CB04DB">
        <w:rPr>
          <w:lang w:val="de-DE"/>
        </w:rPr>
        <w:t xml:space="preserve">G  </w:t>
      </w:r>
      <w:r w:rsidRPr="00CB04DB">
        <w:rPr>
          <w:lang w:val="de-DE"/>
        </w:rPr>
        <w:tab/>
      </w:r>
      <w:proofErr w:type="gramEnd"/>
      <w:r w:rsidRPr="00CB04DB">
        <w:rPr>
          <w:lang w:val="de-DE"/>
        </w:rPr>
        <w:t>Estrone-3-D-glucuronide</w:t>
      </w:r>
    </w:p>
    <w:p w14:paraId="5689C732" w14:textId="77777777" w:rsidR="00CB04DB" w:rsidRDefault="00CB04DB" w:rsidP="007A0923">
      <w:pPr>
        <w:spacing w:line="240" w:lineRule="auto"/>
        <w:ind w:firstLine="357"/>
      </w:pPr>
      <w:r>
        <w:t>EDI</w:t>
      </w:r>
      <w:r>
        <w:tab/>
        <w:t>Equivalent daylight illuminance (</w:t>
      </w:r>
      <w:proofErr w:type="gramStart"/>
      <w:r>
        <w:t>e.g.</w:t>
      </w:r>
      <w:proofErr w:type="gramEnd"/>
      <w:r>
        <w:t xml:space="preserve"> </w:t>
      </w:r>
      <w:proofErr w:type="spellStart"/>
      <w:r>
        <w:t>melanopic</w:t>
      </w:r>
      <w:proofErr w:type="spellEnd"/>
      <w:r>
        <w:t xml:space="preserve"> EDI)</w:t>
      </w:r>
    </w:p>
    <w:p w14:paraId="7EABA64C" w14:textId="77777777" w:rsidR="00CB04DB" w:rsidRDefault="00CB04DB" w:rsidP="007A0923">
      <w:pPr>
        <w:spacing w:line="240" w:lineRule="auto"/>
        <w:ind w:firstLine="357"/>
      </w:pPr>
      <w:r>
        <w:t>EDTA</w:t>
      </w:r>
      <w:r>
        <w:tab/>
        <w:t>E</w:t>
      </w:r>
      <w:r w:rsidRPr="00560912">
        <w:t>thylenediaminetetraacetic acid</w:t>
      </w:r>
      <w:r>
        <w:t xml:space="preserve"> </w:t>
      </w:r>
    </w:p>
    <w:p w14:paraId="1A17A959" w14:textId="77777777" w:rsidR="00CB04DB" w:rsidRDefault="00CB04DB" w:rsidP="007A0923">
      <w:pPr>
        <w:spacing w:line="240" w:lineRule="auto"/>
        <w:ind w:firstLine="357"/>
      </w:pPr>
      <w:r>
        <w:t>EE</w:t>
      </w:r>
      <w:r>
        <w:tab/>
      </w:r>
      <w:r>
        <w:tab/>
      </w:r>
      <w:proofErr w:type="spellStart"/>
      <w:r>
        <w:t>Ethinylestradiol</w:t>
      </w:r>
      <w:proofErr w:type="spellEnd"/>
    </w:p>
    <w:p w14:paraId="18C87900" w14:textId="436A0477" w:rsidR="00CB04DB" w:rsidRDefault="00CB04DB" w:rsidP="007A0923">
      <w:pPr>
        <w:spacing w:line="240" w:lineRule="auto"/>
        <w:ind w:firstLine="357"/>
      </w:pPr>
      <w:r>
        <w:t>ESS</w:t>
      </w:r>
      <w:r>
        <w:tab/>
        <w:t>Epworth Sleepiness Scale</w:t>
      </w:r>
    </w:p>
    <w:p w14:paraId="553A1CC6" w14:textId="39BD4235" w:rsidR="00386D5F" w:rsidRDefault="00386D5F" w:rsidP="007A0923">
      <w:pPr>
        <w:spacing w:line="240" w:lineRule="auto"/>
        <w:ind w:firstLine="357"/>
      </w:pPr>
      <w:r>
        <w:t>FPR</w:t>
      </w:r>
      <w:r>
        <w:tab/>
        <w:t>False Positive Rate</w:t>
      </w:r>
    </w:p>
    <w:p w14:paraId="5DD6BB48" w14:textId="77777777" w:rsidR="00CB04DB" w:rsidRDefault="00CB04DB" w:rsidP="007A0923">
      <w:pPr>
        <w:spacing w:line="240" w:lineRule="auto"/>
        <w:ind w:firstLine="357"/>
      </w:pPr>
      <w:r>
        <w:t>HBT</w:t>
      </w:r>
      <w:r>
        <w:tab/>
        <w:t>Habitual bedtime</w:t>
      </w:r>
    </w:p>
    <w:p w14:paraId="11DBA189" w14:textId="77777777" w:rsidR="00CB04DB" w:rsidRDefault="00CB04DB" w:rsidP="007A0923">
      <w:pPr>
        <w:spacing w:line="240" w:lineRule="auto"/>
        <w:ind w:firstLine="357"/>
      </w:pPr>
      <w:r>
        <w:t xml:space="preserve">HM </w:t>
      </w:r>
      <w:r>
        <w:tab/>
        <w:t>Healthy male [participant]</w:t>
      </w:r>
    </w:p>
    <w:p w14:paraId="31D0B938" w14:textId="77777777" w:rsidR="00CB04DB" w:rsidRDefault="00CB04DB" w:rsidP="007A0923">
      <w:pPr>
        <w:spacing w:line="240" w:lineRule="auto"/>
        <w:ind w:firstLine="357"/>
      </w:pPr>
      <w:r>
        <w:t xml:space="preserve">I-PANAS-SF </w:t>
      </w:r>
      <w:r>
        <w:tab/>
        <w:t xml:space="preserve">International Positive and Negative Affect Schedule Short Form </w:t>
      </w:r>
    </w:p>
    <w:p w14:paraId="2F5E78E1" w14:textId="77777777" w:rsidR="00CB04DB" w:rsidRDefault="00CB04DB" w:rsidP="007A0923">
      <w:pPr>
        <w:spacing w:line="240" w:lineRule="auto"/>
        <w:ind w:firstLine="357"/>
      </w:pPr>
      <w:r>
        <w:t>ipRGCs</w:t>
      </w:r>
      <w:r>
        <w:tab/>
        <w:t>Intrinsically photosensitive retinal ganglion cells</w:t>
      </w:r>
    </w:p>
    <w:p w14:paraId="565019EB" w14:textId="77777777" w:rsidR="00CB04DB" w:rsidRDefault="00CB04DB" w:rsidP="007A0923">
      <w:pPr>
        <w:spacing w:line="240" w:lineRule="auto"/>
        <w:ind w:firstLine="357"/>
      </w:pPr>
      <w:r>
        <w:t>KSS</w:t>
      </w:r>
      <w:r>
        <w:tab/>
        <w:t>Karolinska Sleepiness Scale</w:t>
      </w:r>
    </w:p>
    <w:p w14:paraId="59FF1F77" w14:textId="77777777" w:rsidR="00CB04DB" w:rsidRDefault="00CB04DB" w:rsidP="007A0923">
      <w:pPr>
        <w:spacing w:line="240" w:lineRule="auto"/>
        <w:ind w:firstLine="357"/>
        <w:rPr>
          <w:lang w:val="en-US"/>
        </w:rPr>
      </w:pPr>
      <w:r>
        <w:t>LC-MS/MS</w:t>
      </w:r>
      <w:r>
        <w:tab/>
        <w:t xml:space="preserve"> L</w:t>
      </w:r>
      <w:proofErr w:type="spellStart"/>
      <w:r w:rsidRPr="26EC6AF4">
        <w:rPr>
          <w:lang w:val="en-US"/>
        </w:rPr>
        <w:t>iquid</w:t>
      </w:r>
      <w:proofErr w:type="spellEnd"/>
      <w:r w:rsidRPr="26EC6AF4">
        <w:rPr>
          <w:lang w:val="en-US"/>
        </w:rPr>
        <w:t xml:space="preserve"> chromatography coupled to tandem mass spectrometry </w:t>
      </w:r>
    </w:p>
    <w:p w14:paraId="2B6702EE" w14:textId="77777777" w:rsidR="00CB04DB" w:rsidRDefault="00CB04DB" w:rsidP="007A0923">
      <w:pPr>
        <w:spacing w:line="240" w:lineRule="auto"/>
        <w:ind w:firstLine="357"/>
      </w:pPr>
      <w:r>
        <w:t>LED</w:t>
      </w:r>
      <w:r>
        <w:tab/>
        <w:t>Light emitting diode</w:t>
      </w:r>
    </w:p>
    <w:p w14:paraId="29E8311D" w14:textId="77777777" w:rsidR="00CB04DB" w:rsidRDefault="00CB04DB" w:rsidP="007A0923">
      <w:pPr>
        <w:spacing w:line="240" w:lineRule="auto"/>
        <w:ind w:firstLine="357"/>
      </w:pPr>
      <w:proofErr w:type="gramStart"/>
      <w:r>
        <w:t xml:space="preserve">LH  </w:t>
      </w:r>
      <w:r>
        <w:tab/>
      </w:r>
      <w:proofErr w:type="gramEnd"/>
      <w:r>
        <w:t>Luteinising hormone</w:t>
      </w:r>
    </w:p>
    <w:p w14:paraId="4BB0F868" w14:textId="77777777" w:rsidR="00CB04DB" w:rsidRDefault="00CB04DB" w:rsidP="007A0923">
      <w:pPr>
        <w:spacing w:line="240" w:lineRule="auto"/>
        <w:ind w:firstLine="357"/>
      </w:pPr>
      <w:r>
        <w:t>LMM</w:t>
      </w:r>
      <w:r>
        <w:tab/>
        <w:t>Liner Mixed Model</w:t>
      </w:r>
    </w:p>
    <w:p w14:paraId="5F368393" w14:textId="77777777" w:rsidR="00CB04DB" w:rsidRDefault="00CB04DB" w:rsidP="007A0923">
      <w:pPr>
        <w:spacing w:line="240" w:lineRule="auto"/>
        <w:ind w:firstLine="357"/>
      </w:pPr>
      <w:r>
        <w:t xml:space="preserve">MCOC </w:t>
      </w:r>
      <w:r>
        <w:tab/>
        <w:t>Monophasic combined oral contraceptive</w:t>
      </w:r>
    </w:p>
    <w:p w14:paraId="4962776B" w14:textId="77777777" w:rsidR="00CB04DB" w:rsidRDefault="00CB04DB" w:rsidP="007A0923">
      <w:pPr>
        <w:spacing w:line="240" w:lineRule="auto"/>
        <w:ind w:firstLine="357"/>
      </w:pPr>
      <w:r>
        <w:t>MCTQ</w:t>
      </w:r>
      <w:r>
        <w:tab/>
        <w:t>Munich Chronotype Questionnaire</w:t>
      </w:r>
    </w:p>
    <w:p w14:paraId="618C159E" w14:textId="77777777" w:rsidR="00CB04DB" w:rsidRDefault="00CB04DB" w:rsidP="007A0923">
      <w:pPr>
        <w:spacing w:line="240" w:lineRule="auto"/>
        <w:ind w:firstLine="357"/>
      </w:pPr>
      <w:r>
        <w:t xml:space="preserve">NC </w:t>
      </w:r>
      <w:r>
        <w:tab/>
        <w:t xml:space="preserve">Naturally cycling </w:t>
      </w:r>
    </w:p>
    <w:p w14:paraId="56262EC1" w14:textId="77777777" w:rsidR="00CB04DB" w:rsidRDefault="00CB04DB" w:rsidP="007A0923">
      <w:pPr>
        <w:spacing w:line="240" w:lineRule="auto"/>
        <w:ind w:firstLine="357"/>
      </w:pPr>
      <w:r>
        <w:t>NSAIDs</w:t>
      </w:r>
      <w:r>
        <w:tab/>
        <w:t>Non-steroidal anti-inflammatory drug</w:t>
      </w:r>
    </w:p>
    <w:p w14:paraId="11DC9295" w14:textId="77777777" w:rsidR="00CB04DB" w:rsidRDefault="00CB04DB" w:rsidP="007A0923">
      <w:pPr>
        <w:spacing w:line="240" w:lineRule="auto"/>
        <w:ind w:firstLine="357"/>
      </w:pPr>
      <w:r>
        <w:t xml:space="preserve">P4 </w:t>
      </w:r>
      <w:r>
        <w:tab/>
      </w:r>
      <w:r>
        <w:tab/>
        <w:t>Progesterone</w:t>
      </w:r>
    </w:p>
    <w:p w14:paraId="55F02A41" w14:textId="77777777" w:rsidR="00CB04DB" w:rsidRDefault="00CB04DB" w:rsidP="007A0923">
      <w:pPr>
        <w:spacing w:line="240" w:lineRule="auto"/>
        <w:ind w:firstLine="357"/>
      </w:pPr>
      <w:proofErr w:type="spellStart"/>
      <w:r>
        <w:lastRenderedPageBreak/>
        <w:t>PeRBa</w:t>
      </w:r>
      <w:proofErr w:type="spellEnd"/>
      <w:r>
        <w:tab/>
        <w:t>Perceived Research Burden Assessment</w:t>
      </w:r>
    </w:p>
    <w:p w14:paraId="7991EE6E" w14:textId="77777777" w:rsidR="00CB04DB" w:rsidRDefault="00CB04DB" w:rsidP="007A0923">
      <w:pPr>
        <w:spacing w:line="240" w:lineRule="auto"/>
        <w:ind w:firstLine="357"/>
      </w:pPr>
      <w:r>
        <w:t>PIPR</w:t>
      </w:r>
      <w:r>
        <w:tab/>
        <w:t>Post Illumination Pupil Response</w:t>
      </w:r>
    </w:p>
    <w:p w14:paraId="6E74E499" w14:textId="77777777" w:rsidR="00CB04DB" w:rsidRDefault="00CB04DB" w:rsidP="007A0923">
      <w:pPr>
        <w:spacing w:line="240" w:lineRule="auto"/>
        <w:ind w:firstLine="357"/>
      </w:pPr>
      <w:r>
        <w:t>PMDD</w:t>
      </w:r>
      <w:r>
        <w:tab/>
        <w:t>Premenstrual Dysphoric Disorder</w:t>
      </w:r>
    </w:p>
    <w:p w14:paraId="1572BE7E" w14:textId="77777777" w:rsidR="00CB04DB" w:rsidRDefault="00CB04DB" w:rsidP="007A0923">
      <w:pPr>
        <w:spacing w:line="240" w:lineRule="auto"/>
        <w:ind w:firstLine="357"/>
      </w:pPr>
      <w:r>
        <w:t>PSQI</w:t>
      </w:r>
      <w:r>
        <w:tab/>
        <w:t>Pittsburgh Sleep Quality Index</w:t>
      </w:r>
    </w:p>
    <w:p w14:paraId="6E029374" w14:textId="77777777" w:rsidR="00CB04DB" w:rsidRDefault="00CB04DB" w:rsidP="007A0923">
      <w:pPr>
        <w:spacing w:line="240" w:lineRule="auto"/>
        <w:ind w:firstLine="357"/>
      </w:pPr>
      <w:r>
        <w:t>PSST</w:t>
      </w:r>
      <w:r>
        <w:tab/>
        <w:t xml:space="preserve">Premenstrual Symptoms Screening Tool </w:t>
      </w:r>
    </w:p>
    <w:p w14:paraId="73DFC55E" w14:textId="77777777" w:rsidR="00CB04DB" w:rsidRDefault="00CB04DB" w:rsidP="007A0923">
      <w:pPr>
        <w:spacing w:line="240" w:lineRule="auto"/>
        <w:ind w:firstLine="357"/>
      </w:pPr>
      <w:r>
        <w:t>RSQ</w:t>
      </w:r>
      <w:r>
        <w:tab/>
        <w:t>Reproductive Status Questionnaire</w:t>
      </w:r>
    </w:p>
    <w:p w14:paraId="6AA3ADA4" w14:textId="77777777" w:rsidR="00CB04DB" w:rsidRDefault="00CB04DB" w:rsidP="007A0923">
      <w:pPr>
        <w:spacing w:line="240" w:lineRule="auto"/>
        <w:ind w:firstLine="357"/>
      </w:pPr>
      <w:r>
        <w:t xml:space="preserve">SCN </w:t>
      </w:r>
      <w:r>
        <w:tab/>
        <w:t>Suprachiasmatic nucleus</w:t>
      </w:r>
    </w:p>
    <w:p w14:paraId="24496E95" w14:textId="77777777" w:rsidR="00CB04DB" w:rsidRDefault="00CB04DB" w:rsidP="007A0923">
      <w:pPr>
        <w:spacing w:line="240" w:lineRule="auto"/>
        <w:ind w:firstLine="357"/>
      </w:pPr>
      <w:proofErr w:type="gramStart"/>
      <w:r>
        <w:t xml:space="preserve">SP  </w:t>
      </w:r>
      <w:r>
        <w:tab/>
      </w:r>
      <w:proofErr w:type="gramEnd"/>
      <w:r>
        <w:t>Synthetic progestin</w:t>
      </w:r>
    </w:p>
    <w:p w14:paraId="3024033A" w14:textId="2E46B64C" w:rsidR="00CB04DB" w:rsidRDefault="00CB04DB" w:rsidP="007A0923">
      <w:pPr>
        <w:spacing w:line="240" w:lineRule="auto"/>
        <w:ind w:firstLine="357"/>
      </w:pPr>
      <w:r>
        <w:t>T</w:t>
      </w:r>
      <w:r>
        <w:tab/>
      </w:r>
      <w:r>
        <w:tab/>
        <w:t>Testosterone</w:t>
      </w:r>
    </w:p>
    <w:p w14:paraId="69CC5C6C" w14:textId="54AE7276" w:rsidR="00386D5F" w:rsidRDefault="00386D5F" w:rsidP="007A0923">
      <w:pPr>
        <w:spacing w:line="240" w:lineRule="auto"/>
        <w:ind w:firstLine="357"/>
      </w:pPr>
      <w:r>
        <w:t>TPR</w:t>
      </w:r>
      <w:r>
        <w:tab/>
        <w:t>True Positive Rate</w:t>
      </w:r>
    </w:p>
    <w:p w14:paraId="17449159" w14:textId="755B67DF" w:rsidR="0077661B" w:rsidRPr="00CC766F" w:rsidRDefault="00CB04DB" w:rsidP="00CC766F">
      <w:pPr>
        <w:spacing w:line="240" w:lineRule="auto"/>
        <w:ind w:firstLine="357"/>
      </w:pPr>
      <w:r>
        <w:t>VR</w:t>
      </w:r>
      <w:r>
        <w:tab/>
      </w:r>
      <w:r>
        <w:tab/>
        <w:t xml:space="preserve">Virtual Reality </w:t>
      </w:r>
      <w:r w:rsidR="0077661B" w:rsidRPr="008F491C">
        <w:rPr>
          <w:rFonts w:cs="Arial"/>
          <w:i/>
        </w:rPr>
        <w:br w:type="page"/>
      </w:r>
    </w:p>
    <w:p w14:paraId="404AEFAE" w14:textId="3E625BEA" w:rsidR="6671982B" w:rsidRPr="008F491C" w:rsidRDefault="0077661B" w:rsidP="008F491C">
      <w:pPr>
        <w:pStyle w:val="Heading1"/>
        <w:spacing w:before="120" w:after="120" w:line="240" w:lineRule="auto"/>
        <w:rPr>
          <w:rFonts w:cs="Arial"/>
          <w:i/>
        </w:rPr>
      </w:pPr>
      <w:r w:rsidRPr="008F491C">
        <w:rPr>
          <w:rFonts w:cs="Arial"/>
        </w:rPr>
        <w:lastRenderedPageBreak/>
        <w:t>Introduction</w:t>
      </w:r>
    </w:p>
    <w:p w14:paraId="4A6F1FAA" w14:textId="382621AB" w:rsidR="004A3F1A" w:rsidRDefault="5AD01062" w:rsidP="00807818">
      <w:pPr>
        <w:rPr>
          <w:rFonts w:eastAsia="Arial" w:cs="Arial"/>
        </w:rPr>
      </w:pPr>
      <w:r w:rsidRPr="7049312C">
        <w:rPr>
          <w:rFonts w:eastAsia="Arial" w:cs="Arial"/>
        </w:rPr>
        <w:t>Exposure to light</w:t>
      </w:r>
      <w:r w:rsidR="08317BD2" w:rsidRPr="7049312C">
        <w:rPr>
          <w:rFonts w:eastAsia="Arial" w:cs="Arial"/>
        </w:rPr>
        <w:t xml:space="preserve"> regulates </w:t>
      </w:r>
      <w:r w:rsidR="00C03CD6">
        <w:rPr>
          <w:rFonts w:eastAsia="Arial" w:cs="Arial"/>
        </w:rPr>
        <w:t>various</w:t>
      </w:r>
      <w:r w:rsidR="08317BD2" w:rsidRPr="7049312C">
        <w:rPr>
          <w:rFonts w:eastAsia="Arial" w:cs="Arial"/>
        </w:rPr>
        <w:t xml:space="preserve"> physiological functions in humans</w:t>
      </w:r>
      <w:r w:rsidR="7FF42965" w:rsidRPr="7049312C">
        <w:rPr>
          <w:rFonts w:eastAsia="Arial" w:cs="Arial"/>
        </w:rPr>
        <w:t xml:space="preserve">, including the production of </w:t>
      </w:r>
      <w:r w:rsidR="004F439F">
        <w:rPr>
          <w:rFonts w:eastAsia="Arial" w:cs="Arial"/>
        </w:rPr>
        <w:t xml:space="preserve">the </w:t>
      </w:r>
      <w:r w:rsidR="7FF42965" w:rsidRPr="7049312C">
        <w:rPr>
          <w:rFonts w:eastAsia="Arial" w:cs="Arial"/>
        </w:rPr>
        <w:t>hormone melatonin</w:t>
      </w:r>
      <w:r w:rsidR="10B2E801" w:rsidRPr="7049312C">
        <w:rPr>
          <w:rFonts w:eastAsia="Arial" w:cs="Arial"/>
        </w:rPr>
        <w:t>,</w:t>
      </w:r>
      <w:r w:rsidR="785047D4" w:rsidRPr="7049312C">
        <w:rPr>
          <w:rFonts w:eastAsia="Arial" w:cs="Arial"/>
        </w:rPr>
        <w:t xml:space="preserve"> the circadian </w:t>
      </w:r>
      <w:r w:rsidR="77CAE409" w:rsidRPr="7049312C">
        <w:rPr>
          <w:rFonts w:eastAsia="Arial" w:cs="Arial"/>
        </w:rPr>
        <w:t xml:space="preserve">timing </w:t>
      </w:r>
      <w:r w:rsidR="785047D4" w:rsidRPr="7049312C">
        <w:rPr>
          <w:rFonts w:eastAsia="Arial" w:cs="Arial"/>
        </w:rPr>
        <w:t>system, alertness</w:t>
      </w:r>
      <w:r w:rsidR="44EAC4EC" w:rsidRPr="7049312C">
        <w:rPr>
          <w:rFonts w:eastAsia="Arial" w:cs="Arial"/>
        </w:rPr>
        <w:t>,</w:t>
      </w:r>
      <w:r w:rsidR="785047D4" w:rsidRPr="7049312C">
        <w:rPr>
          <w:rFonts w:eastAsia="Arial" w:cs="Arial"/>
        </w:rPr>
        <w:t xml:space="preserve"> and pupil size. These </w:t>
      </w:r>
      <w:r w:rsidR="58DFFEB9" w:rsidRPr="7049312C">
        <w:rPr>
          <w:rFonts w:eastAsia="Arial" w:cs="Arial"/>
        </w:rPr>
        <w:t xml:space="preserve">neuroendocrine, circadian, cognitive and pupillary </w:t>
      </w:r>
      <w:r w:rsidR="785047D4" w:rsidRPr="7049312C">
        <w:rPr>
          <w:rFonts w:eastAsia="Arial" w:cs="Arial"/>
        </w:rPr>
        <w:t xml:space="preserve">effects </w:t>
      </w:r>
      <w:r w:rsidR="128F4E4B" w:rsidRPr="7049312C">
        <w:rPr>
          <w:rFonts w:eastAsia="Arial" w:cs="Arial"/>
        </w:rPr>
        <w:t xml:space="preserve">of light exposure </w:t>
      </w:r>
      <w:r w:rsidR="785047D4" w:rsidRPr="7049312C">
        <w:rPr>
          <w:rFonts w:eastAsia="Arial" w:cs="Arial"/>
        </w:rPr>
        <w:t xml:space="preserve">are termed </w:t>
      </w:r>
      <w:r w:rsidR="4032667D" w:rsidRPr="7049312C">
        <w:rPr>
          <w:rFonts w:eastAsia="Arial" w:cs="Arial"/>
        </w:rPr>
        <w:t>“</w:t>
      </w:r>
      <w:r w:rsidR="785047D4" w:rsidRPr="7049312C">
        <w:rPr>
          <w:rFonts w:eastAsia="Arial" w:cs="Arial"/>
        </w:rPr>
        <w:t>non-visual effects</w:t>
      </w:r>
      <w:r w:rsidR="245F285C" w:rsidRPr="7049312C">
        <w:rPr>
          <w:rFonts w:eastAsia="Arial" w:cs="Arial"/>
        </w:rPr>
        <w:t>”</w:t>
      </w:r>
      <w:r w:rsidR="0056024A">
        <w:rPr>
          <w:rFonts w:eastAsia="Arial" w:cs="Arial"/>
        </w:rPr>
        <w:t xml:space="preserve"> and</w:t>
      </w:r>
      <w:r w:rsidR="6EE999A7" w:rsidRPr="7049312C">
        <w:rPr>
          <w:rFonts w:eastAsia="Arial" w:cs="Arial"/>
        </w:rPr>
        <w:t xml:space="preserve"> are mediated by the melanopsin-containing intri</w:t>
      </w:r>
      <w:r w:rsidR="07040782" w:rsidRPr="7049312C">
        <w:rPr>
          <w:rFonts w:eastAsia="Arial" w:cs="Arial"/>
        </w:rPr>
        <w:t>ns</w:t>
      </w:r>
      <w:r w:rsidR="6EE999A7" w:rsidRPr="7049312C">
        <w:rPr>
          <w:rFonts w:eastAsia="Arial" w:cs="Arial"/>
        </w:rPr>
        <w:t>ically photosensitive retinal ganglion cells (i</w:t>
      </w:r>
      <w:r w:rsidR="139CC713" w:rsidRPr="7049312C">
        <w:rPr>
          <w:rFonts w:eastAsia="Arial" w:cs="Arial"/>
        </w:rPr>
        <w:t>p</w:t>
      </w:r>
      <w:r w:rsidR="6EE999A7" w:rsidRPr="7049312C">
        <w:rPr>
          <w:rFonts w:eastAsia="Arial" w:cs="Arial"/>
        </w:rPr>
        <w:t>RGCs)</w:t>
      </w:r>
      <w:r w:rsidR="008F491C" w:rsidRPr="7049312C">
        <w:rPr>
          <w:rFonts w:eastAsia="Arial" w:cs="Arial"/>
        </w:rPr>
        <w:t xml:space="preserve"> </w:t>
      </w:r>
      <w:r w:rsidR="01F94BDF" w:rsidRPr="7049312C">
        <w:rPr>
          <w:rFonts w:eastAsia="Arial" w:cs="Arial"/>
        </w:rPr>
        <w:t xml:space="preserve">in the retina </w:t>
      </w:r>
      <w:r w:rsidR="459614F9" w:rsidRPr="7049312C">
        <w:rPr>
          <w:rFonts w:eastAsia="Arial" w:cs="Arial"/>
        </w:rPr>
        <w:fldChar w:fldCharType="begin"/>
      </w:r>
      <w:r w:rsidR="0092047F">
        <w:rPr>
          <w:rFonts w:eastAsia="Arial" w:cs="Arial"/>
        </w:rPr>
        <w:instrText xml:space="preserve"> ADDIN ZOTERO_ITEM CSL_CITATION {"citationID":"QdUood7R","properties":{"formattedCitation":"(Blume et al., 2019)","plainCitation":"(Blume et al., 2019)","noteIndex":0},"citationItems":[{"id":28,"uris":["http://zotero.org/users/11330488/items/KCKM9NLQ"],"itemData":{"id":28,"type":"article-journal","abstract":"Humans live in a 24-hour environment, in which light and darkness follow a diurnal pattern. Our circadian pacemaker, the suprachiasmatic nuclei (SCN) in the hypothalamus, is entrained to the 24-hour solar day via a pathway from the retina and synchronises our internal biological rhythms. Rhythmic variations in ambient illumination impact behaviours such as rest during sleep and activity during wakefulness as well as their underlying biological processes. Rather recently, the availability of artificial light has substantially changed the light environment, especially during evening and night hours. This may increase the risk of developing circadian rhythm sleep–wake disorders (CRSWD), which are often caused by a misalignment of endogenous circadian rhythms and external light–dark cycles. While the exact relationship between the availability of artificial light and CRSWD remains to be established, nocturnal light has been shown to alter circadian rhythms and sleep in humans. On the other hand, light can also be used as an effective and noninvasive therapeutic option with little to no side effects, to improve sleep, mood and general well-being. This article reviews our current state of knowledge regarding the effects of light on circadian rhythms, sleep, and mood.","container-title":"Somnologie","DOI":"10.1007/s11818-019-00215-x","ISSN":"1439-054X","issue":"3","journalAbbreviation":"Somnologie","language":"en","page":"147-156","source":"Springer Link","title":"Effects of light on human circadian rhythms, sleep and mood","volume":"23","author":[{"family":"Blume","given":"Christine"},{"family":"Garbazza","given":"Corrado"},{"family":"Spitschan","given":"Manuel"}],"issued":{"date-parts":[["2019",9,1]]}}}],"schema":"https://github.com/citation-style-language/schema/raw/master/csl-citation.json"} </w:instrText>
      </w:r>
      <w:r w:rsidR="459614F9" w:rsidRPr="7049312C">
        <w:rPr>
          <w:rFonts w:eastAsia="Arial" w:cs="Arial"/>
        </w:rPr>
        <w:fldChar w:fldCharType="separate"/>
      </w:r>
      <w:r w:rsidR="008F491C" w:rsidRPr="7049312C">
        <w:rPr>
          <w:rFonts w:cs="Arial"/>
        </w:rPr>
        <w:t>(Blume et al., 2019)</w:t>
      </w:r>
      <w:r w:rsidR="459614F9" w:rsidRPr="7049312C">
        <w:rPr>
          <w:rFonts w:eastAsia="Arial" w:cs="Arial"/>
        </w:rPr>
        <w:fldChar w:fldCharType="end"/>
      </w:r>
      <w:r w:rsidR="6EE999A7" w:rsidRPr="7049312C">
        <w:rPr>
          <w:rFonts w:eastAsia="Arial" w:cs="Arial"/>
        </w:rPr>
        <w:t xml:space="preserve">. </w:t>
      </w:r>
      <w:r w:rsidR="004A3F1A">
        <w:rPr>
          <w:rFonts w:eastAsia="Arial" w:cs="Arial"/>
        </w:rPr>
        <w:t xml:space="preserve">The contribution of melanopsin-containing ipRGCs to steady-state pupil size and melatonin suppression can be appreciated by looking at the spectral sensitivity of these responses, which is consistent with that of melanopsin (with peak at approximately 480 nm) </w:t>
      </w:r>
      <w:r w:rsidR="004A3F1A">
        <w:rPr>
          <w:rFonts w:eastAsia="Arial" w:cs="Arial"/>
        </w:rPr>
        <w:fldChar w:fldCharType="begin"/>
      </w:r>
      <w:r w:rsidR="0092047F">
        <w:rPr>
          <w:rFonts w:eastAsia="Arial" w:cs="Arial"/>
        </w:rPr>
        <w:instrText xml:space="preserve"> ADDIN ZOTERO_ITEM CSL_CITATION {"citationID":"PG0QiSB2","properties":{"formattedCitation":"(Spitschan, 2019)","plainCitation":"(Spitschan, 2019)","noteIndex":0},"citationItems":[{"id":9809,"uris":["http://zotero.org/users/11330488/items/5PKDLCNZ"],"itemData":{"id":9809,"type":"article-journal","abstract":"Melanopsin is a short-wavelength-sensitive photopigment that was discovered only around 20 years ago. It is expressed in the cell bodies and processes of a subset of retinal ganglion cells in the retina (the intrinsically photosensitive retinal ganglion cells; ipRGCs), thereby allowing them to signal light even in the absence of cone and rod input. Many of the fundamental properties of melanopsin signalling in humans for both visual (e.g. detection, discrimination, brightness estimation) and non-visual function (e.g. melatonin suppression, circadian phase shifting) remain to be elucidated. Here, we give an overview of what we know about melanopsin contributions in visual function and non-visual function.","container-title":"Current Opinion in Behavioral Sciences","DOI":"10.1016/j.cobeha.2019.06.004","ISSN":"2352-1546","journalAbbreviation":"Curr Opin Behav Sci","note":"PMID: 31396546\nPMCID: PMC6687502","page":"67-72","source":"PubMed Central","title":"Melanopsin contributions to non-visual and visual function","volume":"30","author":[{"family":"Spitschan","given":"Manuel"}],"issued":{"date-parts":[["2019",12]]}}}],"schema":"https://github.com/citation-style-language/schema/raw/master/csl-citation.json"} </w:instrText>
      </w:r>
      <w:r w:rsidR="004A3F1A">
        <w:rPr>
          <w:rFonts w:eastAsia="Arial" w:cs="Arial"/>
        </w:rPr>
        <w:fldChar w:fldCharType="separate"/>
      </w:r>
      <w:r w:rsidR="004A3F1A" w:rsidRPr="004A3F1A">
        <w:rPr>
          <w:rFonts w:cs="Arial"/>
        </w:rPr>
        <w:t>(Spitschan, 2019)</w:t>
      </w:r>
      <w:r w:rsidR="004A3F1A">
        <w:rPr>
          <w:rFonts w:eastAsia="Arial" w:cs="Arial"/>
        </w:rPr>
        <w:fldChar w:fldCharType="end"/>
      </w:r>
      <w:r w:rsidR="004A3F1A">
        <w:rPr>
          <w:rFonts w:eastAsia="Arial" w:cs="Arial"/>
        </w:rPr>
        <w:t>.</w:t>
      </w:r>
    </w:p>
    <w:p w14:paraId="0CE2500E" w14:textId="7ADBF75A" w:rsidR="5859A943" w:rsidRPr="0009497B" w:rsidRDefault="00CE1EB5" w:rsidP="00807818">
      <w:pPr>
        <w:rPr>
          <w:rFonts w:eastAsia="Arial" w:cs="Arial"/>
        </w:rPr>
      </w:pPr>
      <w:r>
        <w:rPr>
          <w:rFonts w:eastAsia="Arial" w:cs="Arial"/>
        </w:rPr>
        <w:t xml:space="preserve">There are significant individual variations in the effect of light </w:t>
      </w:r>
      <w:r w:rsidR="00B57645">
        <w:rPr>
          <w:rFonts w:eastAsia="Arial" w:cs="Arial"/>
        </w:rPr>
        <w:t xml:space="preserve">exposure </w:t>
      </w:r>
      <w:r>
        <w:rPr>
          <w:rFonts w:eastAsia="Arial" w:cs="Arial"/>
        </w:rPr>
        <w:t xml:space="preserve">on people. For example, </w:t>
      </w:r>
      <w:r w:rsidR="1D5814EF" w:rsidRPr="7049312C">
        <w:rPr>
          <w:rFonts w:eastAsia="Arial" w:cs="Arial"/>
        </w:rPr>
        <w:t>Phillips and colleagues (</w:t>
      </w:r>
      <w:r w:rsidR="459614F9" w:rsidRPr="7049312C">
        <w:rPr>
          <w:rFonts w:eastAsia="Arial" w:cs="Arial"/>
        </w:rPr>
        <w:fldChar w:fldCharType="begin"/>
      </w:r>
      <w:r w:rsidR="0092047F">
        <w:rPr>
          <w:rFonts w:eastAsia="Arial" w:cs="Arial"/>
        </w:rPr>
        <w:instrText xml:space="preserve"> ADDIN ZOTERO_ITEM CSL_CITATION {"citationID":"TYN5t1Oe","properties":{"formattedCitation":"(Phillips et al., 2019)","plainCitation":"(Phillips et al., 2019)","dontUpdate":true,"noteIndex":0},"citationItems":[{"id":54,"uris":["http://zotero.org/users/11330488/items/HK4DQR7E"],"itemData":{"id":54,"type":"article-journal","abstract":"Significance\n            Electric lighting has fundamentally altered how the human circadian clock synchronizes to the day/night cycle. Exposure to light after dusk is pervasive in the modern world. We examined group-level sensitivity of the circadian system to evening light and the degree to which sensitivity varies between individuals. We found that, on average, humans are highly sensitive to evening light. Specifically, 50% suppression of melatonin occurred at &lt;30 lux, which is comparable to or lower than typical indoor lighting used at night, as well as light produced by electronic devices. Significantly, there was a &gt;50-fold difference in sensitivity to evening light across individuals. Interindividual differences in light sensitivity may explain differential vulnerability to circadian disruption and subsequent impact on human health.\n          , \n            \n              Before the invention of electric lighting, humans were primarily exposed to intense (&gt;300 lux) or dim (&lt;30 lux) environmental light—stimuli at extreme ends of the circadian system’s dose–response curve to light. Today, humans spend hours per day exposed to intermediate light intensities (30–300 lux), particularly in the evening. Interindividual differences in sensitivity to evening light in this intensity range could therefore represent a source of vulnerability to circadian disruption by modern lighting. We characterized individual-level dose–response curves to light-induced melatonin suppression using a within-subjects protocol. Fifty-five participants (aged 18–30) were exposed to a dim control (&lt;1 lux) and a range of experimental light levels (10–2,000 lux for 5 h) in the evening. Melatonin suppression was determined for each light level, and the effective dose for 50% suppression (ED\n              50\n              ) was computed at individual and group levels. The group-level fitted ED\n              50\n              was 24.60 lux, indicating that the circadian system is highly sensitive to evening light at typical indoor levels. Light intensities of 10, 30, and 50 lux resulted in later apparent melatonin onsets by 22, 77, and 109 min, respectively. Individual-level ED\n              50\n              values ranged by over an order of magnitude (6 lux in the most sensitive individual, 350 lux in the least sensitive individual), with a 26% coefficient of variation. These findings demonstrate that the same evening-light environment is registered by the circadian system very differently between individuals. This interindividual variability may be an important factor for determining the circadian clock’s role in human health and disease.","container-title":"Proceedings of the National Academy of Sciences","DOI":"10.1073/pnas.1901824116","ISSN":"0027-8424, 1091-6490","issue":"24","journalAbbreviation":"Proc. Natl. Acad. Sci. U.S.A.","language":"en","page":"12019-12024","source":"DOI.org (Crossref)","title":"High sensitivity and interindividual variability in the response of the human circadian system to evening light","volume":"116","author":[{"family":"Phillips","given":"Andrew J. K."},{"family":"Vidafar","given":"Parisa"},{"family":"Burns","given":"Angus C."},{"family":"McGlashan","given":"Elise M."},{"family":"Anderson","given":"Clare"},{"family":"Rajaratnam","given":"Shantha M. W."},{"family":"Lockley","given":"Steven W."},{"family":"Cain","given":"Sean W."}],"issued":{"date-parts":[["2019",6,11]]}}}],"schema":"https://github.com/citation-style-language/schema/raw/master/csl-citation.json"} </w:instrText>
      </w:r>
      <w:r w:rsidR="459614F9" w:rsidRPr="7049312C">
        <w:rPr>
          <w:rFonts w:eastAsia="Arial" w:cs="Arial"/>
        </w:rPr>
        <w:fldChar w:fldCharType="separate"/>
      </w:r>
      <w:r w:rsidR="008F491C" w:rsidRPr="7049312C">
        <w:rPr>
          <w:rFonts w:cs="Arial"/>
        </w:rPr>
        <w:t>2019)</w:t>
      </w:r>
      <w:r w:rsidR="459614F9" w:rsidRPr="7049312C">
        <w:rPr>
          <w:rFonts w:eastAsia="Arial" w:cs="Arial"/>
        </w:rPr>
        <w:fldChar w:fldCharType="end"/>
      </w:r>
      <w:r w:rsidR="305A22FD" w:rsidRPr="7049312C">
        <w:rPr>
          <w:rFonts w:eastAsia="Arial" w:cs="Arial"/>
        </w:rPr>
        <w:t xml:space="preserve"> </w:t>
      </w:r>
      <w:r w:rsidR="5D936209" w:rsidRPr="7049312C">
        <w:rPr>
          <w:rFonts w:eastAsia="Arial" w:cs="Arial"/>
        </w:rPr>
        <w:t xml:space="preserve">demonstrated </w:t>
      </w:r>
      <w:r w:rsidR="35AF80C2" w:rsidRPr="7049312C">
        <w:rPr>
          <w:rFonts w:eastAsia="Arial" w:cs="Arial"/>
        </w:rPr>
        <w:t>s</w:t>
      </w:r>
      <w:r>
        <w:rPr>
          <w:rFonts w:eastAsia="Arial" w:cs="Arial"/>
        </w:rPr>
        <w:t>ubstantial</w:t>
      </w:r>
      <w:r w:rsidR="35AF80C2" w:rsidRPr="7049312C">
        <w:rPr>
          <w:rFonts w:eastAsia="Arial" w:cs="Arial"/>
        </w:rPr>
        <w:t xml:space="preserve"> differences in melatonin suppression </w:t>
      </w:r>
      <w:r w:rsidR="6D52CA9C" w:rsidRPr="7049312C">
        <w:rPr>
          <w:rFonts w:eastAsia="Arial" w:cs="Arial"/>
        </w:rPr>
        <w:t xml:space="preserve">to evening </w:t>
      </w:r>
      <w:r w:rsidR="07729419" w:rsidRPr="7049312C">
        <w:rPr>
          <w:rFonts w:eastAsia="Arial" w:cs="Arial"/>
        </w:rPr>
        <w:t>light exposure</w:t>
      </w:r>
      <w:r>
        <w:rPr>
          <w:rFonts w:eastAsia="Arial" w:cs="Arial"/>
        </w:rPr>
        <w:t xml:space="preserve"> of almost </w:t>
      </w:r>
      <w:r w:rsidR="00B552B8">
        <w:rPr>
          <w:rFonts w:eastAsia="Arial" w:cs="Arial"/>
        </w:rPr>
        <w:t xml:space="preserve">a </w:t>
      </w:r>
      <w:r>
        <w:rPr>
          <w:rFonts w:eastAsia="Arial" w:cs="Arial"/>
        </w:rPr>
        <w:t>factor of 40: S</w:t>
      </w:r>
      <w:r w:rsidR="41883964" w:rsidRPr="7049312C">
        <w:rPr>
          <w:rFonts w:eastAsia="Arial" w:cs="Arial"/>
        </w:rPr>
        <w:t xml:space="preserve">ome individuals </w:t>
      </w:r>
      <w:r w:rsidR="5ABBFF8A" w:rsidRPr="7049312C">
        <w:rPr>
          <w:rFonts w:eastAsia="Arial" w:cs="Arial"/>
        </w:rPr>
        <w:t>showed 50% melatonin suppression</w:t>
      </w:r>
      <w:r w:rsidR="009DF334" w:rsidRPr="7049312C">
        <w:rPr>
          <w:rFonts w:eastAsia="Arial" w:cs="Arial"/>
        </w:rPr>
        <w:t xml:space="preserve"> </w:t>
      </w:r>
      <w:r w:rsidR="7A81CB34" w:rsidRPr="7049312C">
        <w:rPr>
          <w:rFonts w:eastAsia="Arial" w:cs="Arial"/>
        </w:rPr>
        <w:t xml:space="preserve">near </w:t>
      </w:r>
      <w:r w:rsidR="009DF334" w:rsidRPr="7049312C">
        <w:rPr>
          <w:rFonts w:eastAsia="Arial" w:cs="Arial"/>
        </w:rPr>
        <w:t>10 lux</w:t>
      </w:r>
      <w:r>
        <w:rPr>
          <w:rFonts w:eastAsia="Arial" w:cs="Arial"/>
        </w:rPr>
        <w:t xml:space="preserve"> </w:t>
      </w:r>
      <w:r w:rsidR="18F49064" w:rsidRPr="7049312C">
        <w:rPr>
          <w:rFonts w:eastAsia="Arial" w:cs="Arial"/>
        </w:rPr>
        <w:t xml:space="preserve">while </w:t>
      </w:r>
      <w:r w:rsidR="009DF334" w:rsidRPr="7049312C">
        <w:rPr>
          <w:rFonts w:eastAsia="Arial" w:cs="Arial"/>
        </w:rPr>
        <w:t>other</w:t>
      </w:r>
      <w:r w:rsidR="475FB2F8" w:rsidRPr="7049312C">
        <w:rPr>
          <w:rFonts w:eastAsia="Arial" w:cs="Arial"/>
        </w:rPr>
        <w:t>s</w:t>
      </w:r>
      <w:r w:rsidR="04936F06" w:rsidRPr="7049312C">
        <w:rPr>
          <w:rFonts w:eastAsia="Arial" w:cs="Arial"/>
        </w:rPr>
        <w:t xml:space="preserve"> required </w:t>
      </w:r>
      <w:r w:rsidR="1D314CF7" w:rsidRPr="7049312C">
        <w:rPr>
          <w:rFonts w:eastAsia="Arial" w:cs="Arial"/>
        </w:rPr>
        <w:t xml:space="preserve">400 lux to have the same response. </w:t>
      </w:r>
      <w:r w:rsidR="794A81EB" w:rsidRPr="7049312C">
        <w:rPr>
          <w:rFonts w:eastAsia="Arial" w:cs="Arial"/>
        </w:rPr>
        <w:t xml:space="preserve">These inter-individual differences may </w:t>
      </w:r>
      <w:r w:rsidR="0204FFB4" w:rsidRPr="7049312C">
        <w:rPr>
          <w:rFonts w:eastAsia="Arial" w:cs="Arial"/>
        </w:rPr>
        <w:t>be due to state</w:t>
      </w:r>
      <w:r w:rsidR="794A81EB" w:rsidRPr="7049312C">
        <w:rPr>
          <w:rFonts w:eastAsia="Arial" w:cs="Arial"/>
        </w:rPr>
        <w:t xml:space="preserve"> </w:t>
      </w:r>
      <w:r w:rsidR="72C3B456" w:rsidRPr="7049312C">
        <w:rPr>
          <w:rFonts w:eastAsia="Arial" w:cs="Arial"/>
        </w:rPr>
        <w:t xml:space="preserve">factors such as </w:t>
      </w:r>
      <w:r>
        <w:rPr>
          <w:rFonts w:eastAsia="Arial" w:cs="Arial"/>
        </w:rPr>
        <w:t xml:space="preserve">preceding light exposure, sometimes called photic </w:t>
      </w:r>
      <w:r w:rsidR="72C3B456" w:rsidRPr="7049312C">
        <w:rPr>
          <w:rFonts w:eastAsia="Arial" w:cs="Arial"/>
        </w:rPr>
        <w:t>history</w:t>
      </w:r>
      <w:r>
        <w:rPr>
          <w:rFonts w:eastAsia="Arial" w:cs="Arial"/>
        </w:rPr>
        <w:t>,</w:t>
      </w:r>
      <w:r w:rsidR="77204CEA" w:rsidRPr="7049312C">
        <w:rPr>
          <w:rFonts w:eastAsia="Arial" w:cs="Arial"/>
        </w:rPr>
        <w:t xml:space="preserve"> and</w:t>
      </w:r>
      <w:r w:rsidR="72C3B456" w:rsidRPr="7049312C">
        <w:rPr>
          <w:rFonts w:eastAsia="Arial" w:cs="Arial"/>
        </w:rPr>
        <w:t xml:space="preserve"> seasonal </w:t>
      </w:r>
      <w:r>
        <w:rPr>
          <w:rFonts w:eastAsia="Arial" w:cs="Arial"/>
        </w:rPr>
        <w:t>differences in physiology, behaviour or environmental exposures. Individual</w:t>
      </w:r>
      <w:r w:rsidR="6AD99C8F" w:rsidRPr="7049312C">
        <w:rPr>
          <w:rFonts w:eastAsia="Arial" w:cs="Arial"/>
        </w:rPr>
        <w:t xml:space="preserve"> traits such as age, sex, chronotype, lens anatomy, pupil size, and genetic variability </w:t>
      </w:r>
      <w:r>
        <w:rPr>
          <w:rFonts w:eastAsia="Arial" w:cs="Arial"/>
        </w:rPr>
        <w:t>may</w:t>
      </w:r>
      <w:r w:rsidRPr="7049312C">
        <w:rPr>
          <w:rFonts w:eastAsia="Arial" w:cs="Arial"/>
        </w:rPr>
        <w:t xml:space="preserve"> </w:t>
      </w:r>
      <w:r w:rsidR="3595AD5F" w:rsidRPr="7049312C">
        <w:rPr>
          <w:rFonts w:eastAsia="Arial" w:cs="Arial"/>
        </w:rPr>
        <w:t xml:space="preserve">also play a role </w:t>
      </w:r>
      <w:r w:rsidR="459614F9" w:rsidRPr="7049312C">
        <w:rPr>
          <w:rFonts w:eastAsia="Arial" w:cs="Arial"/>
        </w:rPr>
        <w:fldChar w:fldCharType="begin"/>
      </w:r>
      <w:r w:rsidR="0092047F">
        <w:rPr>
          <w:rFonts w:eastAsia="Arial" w:cs="Arial"/>
        </w:rPr>
        <w:instrText xml:space="preserve"> ADDIN ZOTERO_ITEM CSL_CITATION {"citationID":"w7FzP6vl","properties":{"formattedCitation":"(Chellappa, 2021; Spitschan &amp; Santhi, 2022)","plainCitation":"(Chellappa, 2021; Spitschan &amp; Santhi, 2022)","noteIndex":0},"citationItems":[{"id":273,"uris":["http://zotero.org/users/11330488/items/3Y6JFIQ5"],"itemData":{"id":273,"type":"article-journal","abstract":"Artificial lighting is omnipresent in contemporary society with disruptive consequences for human sleep and circadian rhythms because of overexposure to light, particularly in the evening/night hours. Recent evidence shows large individual variations in circadian photosensitivity, such as melatonin suppression, due to artificial light exposure. Despite the emerging body of research indicating that the effects of light on sleep and circadian rhythms vary dramatically across individuals, recommendations for appropriate light exposure in real-life settings rarely consider such individual effects. This review addresses recently identified links among individual traits, for example, age, sex, chronotype, genetic haplotypes, and the effects of evening/night light on sleep and circadian hallmarks, based on human laboratory and field studies. Target biological mechanisms for individual differences in light sensitivity include differences occurring within the retina and downstream, such as the central circadian clock. This review also highlights that there are wide gaps of uncertainty, despite the growing awareness that individual differences shape the effects of evening/night light on sleep and circadian physiology. These include (1) why do certain individual traits differentially affect the influence of light on sleep and circadian rhythms; (2) what is the translational value of individual differences in light sensitivity in populations typically exposed to light at night, such as night shift workers; and (3) what is the magnitude of individual differences in light sensitivity in population-based studies? Collectively, the current findings provide strong support for considering individual differences when defining optimal lighting specifications, thus allowing for personalized lighting solutions that promote quality of life and health.","container-title":"Sleep","DOI":"10.1093/sleep/zsaa214","ISSN":"0161-8105","issue":"2","journalAbbreviation":"Sleep","page":"zsaa214","source":"Silverchair","title":"Individual differences in light sensitivity affect sleep and circadian rhythms","volume":"44","author":[{"family":"Chellappa","given":"Sarah L"}],"issued":{"date-parts":[["2021",2,1]]}}},{"id":8376,"uris":["http://zotero.org/users/11330488/items/FCB83KKC"],"itemData":{"id":8376,"type":"article-journal","container-title":"eBioMedicine","DOI":"10.1016/j.ebiom.2021.103640","ISSN":"2352-3964","journalAbbreviation":"eBioMedicine","language":"English","note":"publisher: Elsevier\nPMID: 35027334","source":"www.thelancet.com","title":"Individual differences and diversity in human physiological responses to light","URL":"https://www.thelancet.com/journals/ebiom/article/PIIS2352-3964(21)00433-3/fulltext","volume":"75","author":[{"family":"Spitschan","given":"Manuel"},{"family":"Santhi","given":"Nayantara"}],"accessed":{"date-parts":[["2024",11,9]]},"issued":{"date-parts":[["2022",1,1]]}}}],"schema":"https://github.com/citation-style-language/schema/raw/master/csl-citation.json"} </w:instrText>
      </w:r>
      <w:r w:rsidR="459614F9" w:rsidRPr="7049312C">
        <w:rPr>
          <w:rFonts w:eastAsia="Arial" w:cs="Arial"/>
        </w:rPr>
        <w:fldChar w:fldCharType="separate"/>
      </w:r>
      <w:r w:rsidR="008F491C" w:rsidRPr="7049312C">
        <w:rPr>
          <w:rFonts w:cs="Arial"/>
        </w:rPr>
        <w:t>(Chellappa, 2021; Spitschan &amp; Santhi, 2022)</w:t>
      </w:r>
      <w:r w:rsidR="459614F9" w:rsidRPr="7049312C">
        <w:rPr>
          <w:rFonts w:eastAsia="Arial" w:cs="Arial"/>
        </w:rPr>
        <w:fldChar w:fldCharType="end"/>
      </w:r>
      <w:r w:rsidR="008F491C" w:rsidRPr="7049312C">
        <w:rPr>
          <w:rFonts w:eastAsia="Arial" w:cs="Arial"/>
        </w:rPr>
        <w:t xml:space="preserve">. </w:t>
      </w:r>
      <w:r w:rsidR="33A4C7B4" w:rsidRPr="7049312C">
        <w:rPr>
          <w:rFonts w:eastAsia="Arial" w:cs="Arial"/>
        </w:rPr>
        <w:t>Among these individual traits,</w:t>
      </w:r>
      <w:r w:rsidR="09C82D7E" w:rsidRPr="7049312C">
        <w:rPr>
          <w:rFonts w:eastAsia="Arial" w:cs="Arial"/>
        </w:rPr>
        <w:t xml:space="preserve"> sex has been</w:t>
      </w:r>
      <w:r w:rsidR="08888F7A" w:rsidRPr="7049312C">
        <w:rPr>
          <w:rFonts w:eastAsia="Arial" w:cs="Arial"/>
        </w:rPr>
        <w:t xml:space="preserve"> analysed</w:t>
      </w:r>
      <w:r w:rsidR="2D8FE245" w:rsidRPr="7049312C">
        <w:rPr>
          <w:rFonts w:eastAsia="Arial" w:cs="Arial"/>
        </w:rPr>
        <w:t xml:space="preserve"> by a small number of studies as </w:t>
      </w:r>
      <w:r w:rsidR="004F439F">
        <w:rPr>
          <w:rFonts w:eastAsia="Arial" w:cs="Arial"/>
        </w:rPr>
        <w:t xml:space="preserve">a </w:t>
      </w:r>
      <w:r w:rsidR="2D8FE245" w:rsidRPr="7049312C">
        <w:rPr>
          <w:rFonts w:eastAsia="Arial" w:cs="Arial"/>
        </w:rPr>
        <w:t xml:space="preserve">potential </w:t>
      </w:r>
      <w:r w:rsidR="4E7D1604" w:rsidRPr="7049312C">
        <w:rPr>
          <w:rFonts w:eastAsia="Arial" w:cs="Arial"/>
        </w:rPr>
        <w:t>factor explaining differences in</w:t>
      </w:r>
      <w:r w:rsidR="45B30837" w:rsidRPr="7049312C">
        <w:rPr>
          <w:rFonts w:eastAsia="Arial" w:cs="Arial"/>
        </w:rPr>
        <w:t xml:space="preserve"> non-visual effects </w:t>
      </w:r>
      <w:r w:rsidR="11CAF3BC" w:rsidRPr="7049312C">
        <w:rPr>
          <w:rFonts w:eastAsia="Arial" w:cs="Arial"/>
        </w:rPr>
        <w:t xml:space="preserve">response </w:t>
      </w:r>
      <w:r w:rsidR="40BFE587" w:rsidRPr="7049312C">
        <w:rPr>
          <w:rFonts w:eastAsia="Arial" w:cs="Arial"/>
        </w:rPr>
        <w:t xml:space="preserve">to light, with </w:t>
      </w:r>
      <w:r w:rsidR="588B9090" w:rsidRPr="7049312C">
        <w:rPr>
          <w:rFonts w:eastAsia="Arial" w:cs="Arial"/>
        </w:rPr>
        <w:t>most</w:t>
      </w:r>
      <w:r w:rsidR="40BFE587" w:rsidRPr="7049312C">
        <w:rPr>
          <w:rFonts w:eastAsia="Arial" w:cs="Arial"/>
        </w:rPr>
        <w:t xml:space="preserve"> studies focusing on melatonin suppression </w:t>
      </w:r>
      <w:r w:rsidR="00217A3E">
        <w:rPr>
          <w:rFonts w:eastAsia="Arial" w:cs="Arial"/>
        </w:rPr>
        <w:t xml:space="preserve">outcomes </w:t>
      </w:r>
      <w:r w:rsidR="6E7D5185" w:rsidRPr="7049312C">
        <w:rPr>
          <w:rFonts w:eastAsia="Arial" w:cs="Arial"/>
        </w:rPr>
        <w:t>(</w:t>
      </w:r>
      <w:r w:rsidR="51E5C370" w:rsidRPr="7049312C">
        <w:rPr>
          <w:rFonts w:eastAsia="Arial" w:cs="Arial"/>
        </w:rPr>
        <w:t xml:space="preserve">for </w:t>
      </w:r>
      <w:r w:rsidR="47E97D70" w:rsidRPr="7049312C">
        <w:rPr>
          <w:rFonts w:eastAsia="Arial" w:cs="Arial"/>
        </w:rPr>
        <w:t xml:space="preserve">an overview </w:t>
      </w:r>
      <w:r w:rsidR="51E5C370" w:rsidRPr="7049312C">
        <w:rPr>
          <w:rFonts w:eastAsia="Arial" w:cs="Arial"/>
        </w:rPr>
        <w:t xml:space="preserve">of these studies and their methodologies, see </w:t>
      </w:r>
      <w:r w:rsidR="459614F9" w:rsidRPr="7049312C">
        <w:rPr>
          <w:rFonts w:eastAsia="Arial" w:cs="Arial"/>
        </w:rPr>
        <w:fldChar w:fldCharType="begin"/>
      </w:r>
      <w:r w:rsidR="0092047F">
        <w:rPr>
          <w:rFonts w:eastAsia="Arial" w:cs="Arial"/>
        </w:rPr>
        <w:instrText xml:space="preserve"> ADDIN ZOTERO_ITEM CSL_CITATION {"citationID":"gduqiUfg","properties":{"formattedCitation":"(Guidolin &amp; Spitschan, n.d.)","plainCitation":"(Guidolin &amp; Spitschan, n.d.)","dontUpdate":true,"noteIndex":0},"citationItems":[{"id":8817,"uris":["http://zotero.org/users/11330488/items/E7QJNSLE"],"itemData":{"id":8817,"type":"webpage","abstract":"[Scope]\nThis is a comparison of published research studies (n=12) investigating sex and hormone-related differences in non-visual effects of light. Specifically, research studies investigating the following classes of non-visual effects of light were included: \n1. Neuroendocrine (melatonin suppression) \n2. Circadian (phase shift) \n3. Pupillary (pupillary light reflex) \n4. Cognitive (vigilant attention and alertness). \n\n[Identification of articles]\nArticles were identified through systematic searches on Google Scholar, PubMed and Web of Science. The search words included: “sex differences in non-visual effects”, “menstrual influences in non-visual effects”, and “hormone-related differences in non-visual effects”.  \n\n[Data extraction scheme]\nThe comparison is based on properties inspired by the ENLIGHT Checklist for reporting light characteristics in studies investigating non-visual effects of light (see Spitschan et al., 2023 in Data sources). Where possible, properties matching the ENLIGHT Checklist categories were used and additional properties were added to capture key information and facilitate comparisons. Overall, the following data extraction scheme was used: \n1. Comparison descriptors (n=8), i.e. core properties enabling a meaningful comparison between studies (research question, non-visual effect investigated, original study where data was collected, prospective/retrospective analysis, outcome measures: assessment, outcome measures: derived metrics, data processing/analysis notes, results) \n2. Participant-level characteristics (n=6; plc01: sample size and age, plc02: ocular health and functioning, plc03: pupil size and/or dilation, plc04: reproductive health, plc05: menstrual phase coding, plc06: distinction between sex and gender) \n3. Context-level characteristics (n=2; clc01: season of data collection and clc02: geographical location) \n4. Study-level characteristics (n=6; slc01: general study design, slc02: timeline of the experiment (total), slc03: pre-laboratory sleep-wake behaviour, slc04: start point of in-laboratory protocol, slc05: in-laboratory experimental protocol, slc06: additional visual graphic) \n5. Light-exposure level characteristics (n=9; lec01: light exposure conditions, lec02: light source type, lec03: light source location, lec04: manufacturer of light source, lec05: light level characteristics, lec06: viewing distance to stimulus, lec07: instructions for gaze during exposure, lec08: measurement details for illuminance, lec09: manufacturer of measuring instrument).\n\n[Notes on included studies]\nAmong the 12 studies included, the two studies from Parry et al. (1997) represent the same paper. However, since the paper comprises two different research studies, each related to a different non-visual effect of light, this single paper was entered as two separate contributions to facilitate the readability of the comparison.","language":"en","title":"Sex-related and hormone-related differences in non-visual responses to light exposure - Comparison - ORKG","URL":"https://orkg.org/comparison/R733094","author":[{"family":"Guidolin","given":"Carolina"},{"family":"Spitschan","given":"Manuel"}],"accessed":{"date-parts":[["2025",2,14]]},"issued":{"date-parts":[["2024"]]}}}],"schema":"https://github.com/citation-style-language/schema/raw/master/csl-citation.json"} </w:instrText>
      </w:r>
      <w:r w:rsidR="459614F9" w:rsidRPr="7049312C">
        <w:rPr>
          <w:rFonts w:eastAsia="Arial" w:cs="Arial"/>
        </w:rPr>
        <w:fldChar w:fldCharType="separate"/>
      </w:r>
      <w:r w:rsidR="00F130F3" w:rsidRPr="7049312C">
        <w:rPr>
          <w:rFonts w:cs="Arial"/>
        </w:rPr>
        <w:t>Guidolin &amp; Spitschan, 2024)</w:t>
      </w:r>
      <w:r w:rsidR="459614F9" w:rsidRPr="7049312C">
        <w:rPr>
          <w:rFonts w:eastAsia="Arial" w:cs="Arial"/>
        </w:rPr>
        <w:fldChar w:fldCharType="end"/>
      </w:r>
      <w:r w:rsidR="6E7D5185" w:rsidRPr="7049312C">
        <w:rPr>
          <w:rFonts w:eastAsia="Arial" w:cs="Arial"/>
        </w:rPr>
        <w:t xml:space="preserve">. </w:t>
      </w:r>
      <w:r w:rsidR="4AFEBB7B" w:rsidRPr="7049312C">
        <w:rPr>
          <w:rFonts w:eastAsia="Arial" w:cs="Arial"/>
        </w:rPr>
        <w:t xml:space="preserve">Although conflicting results emerged from these studies, </w:t>
      </w:r>
      <w:r w:rsidR="00217A3E">
        <w:rPr>
          <w:rFonts w:eastAsia="Arial" w:cs="Arial"/>
        </w:rPr>
        <w:t xml:space="preserve">the </w:t>
      </w:r>
      <w:r w:rsidR="4AFEBB7B" w:rsidRPr="7049312C">
        <w:rPr>
          <w:rFonts w:eastAsia="Arial" w:cs="Arial"/>
        </w:rPr>
        <w:t>two</w:t>
      </w:r>
      <w:r w:rsidR="00217A3E">
        <w:rPr>
          <w:rFonts w:eastAsia="Arial" w:cs="Arial"/>
        </w:rPr>
        <w:t xml:space="preserve"> most</w:t>
      </w:r>
      <w:r w:rsidR="4AFEBB7B" w:rsidRPr="7049312C">
        <w:rPr>
          <w:rFonts w:eastAsia="Arial" w:cs="Arial"/>
        </w:rPr>
        <w:t xml:space="preserve"> recent</w:t>
      </w:r>
      <w:r w:rsidR="1321D168" w:rsidRPr="7049312C">
        <w:rPr>
          <w:rFonts w:eastAsia="Arial" w:cs="Arial"/>
        </w:rPr>
        <w:t xml:space="preserve"> </w:t>
      </w:r>
      <w:r w:rsidR="00217A3E">
        <w:rPr>
          <w:rFonts w:eastAsia="Arial" w:cs="Arial"/>
        </w:rPr>
        <w:t xml:space="preserve">and </w:t>
      </w:r>
      <w:r>
        <w:rPr>
          <w:rFonts w:eastAsia="Arial" w:cs="Arial"/>
        </w:rPr>
        <w:t>well-</w:t>
      </w:r>
      <w:r w:rsidR="00217A3E">
        <w:rPr>
          <w:rFonts w:eastAsia="Arial" w:cs="Arial"/>
        </w:rPr>
        <w:t xml:space="preserve">powered </w:t>
      </w:r>
      <w:r w:rsidR="1321D168" w:rsidRPr="7049312C">
        <w:rPr>
          <w:rFonts w:eastAsia="Arial" w:cs="Arial"/>
        </w:rPr>
        <w:t>studies report</w:t>
      </w:r>
      <w:r w:rsidR="13EB59E9" w:rsidRPr="7049312C">
        <w:rPr>
          <w:rFonts w:eastAsia="Arial" w:cs="Arial"/>
        </w:rPr>
        <w:t>ed</w:t>
      </w:r>
      <w:r w:rsidR="1321D168" w:rsidRPr="7049312C">
        <w:rPr>
          <w:rFonts w:eastAsia="Arial" w:cs="Arial"/>
        </w:rPr>
        <w:t xml:space="preserve"> sex differences in melatonin suppression by light, with women exhibiting higher suppression at bright light intensities </w:t>
      </w:r>
      <w:r w:rsidR="00B552B8">
        <w:rPr>
          <w:rFonts w:eastAsia="Arial" w:cs="Arial"/>
        </w:rPr>
        <w:fldChar w:fldCharType="begin"/>
      </w:r>
      <w:r w:rsidR="0092047F">
        <w:rPr>
          <w:rFonts w:eastAsia="Arial" w:cs="Arial"/>
        </w:rPr>
        <w:instrText xml:space="preserve"> ADDIN ZOTERO_ITEM CSL_CITATION {"citationID":"UKVBjch5","properties":{"formattedCitation":"(Vidafar et al., 2024)","plainCitation":"(Vidafar et al., 2024)","noteIndex":0},"citationItems":[{"id":206,"uris":["http://zotero.org/users/11330488/items/FCUXY4B2"],"itemData":{"id":206,"type":"article-journal","abstract":"Women typically sleep and wake earlier than men and have been shown to have earlier circadian timing relative to the light/dark cycle that synchronizes the clock. A potential mechanism for earlier timing in women is an altered response of the circadian system to evening light. We characterized individual-level dose–response curves for light-induced melatonin suppression using a within-subjects protocol. Fifty-six participants (29 women, 27 men; aged 18–30 years) were exposed to a range of light illuminances (10, 30, 50, 100, 200, 400, and 2000 lux) using melatonin suppression relative to a dim control (&lt;1 lux) as a marker of light sensitivity. Women were free from hormonal contraception. To examine the potential influence of sex hormones, estradiol and progesterone was examined in women and testosterone was examined in a subset of men. Menstrual phase was monitored using self-reports and estradiol and progesterone levels. Women exhibited significantly greater melatonin suppression than men under the 400-lux and 2000-lux conditions, but not under lower light conditions (10–200 lux). Light sensitivity did not differ by menstrual phase, nor was it associated with levels of estradiol, progesterone, or testosterone, suggesting the sex differences in light sensitivity were not acutely driven by circulating levels of sex hormones. These results suggest that sex differences in circadian timing are not due to differences in the response to dim/moderate light exposures typically experienced in the evening. The finding of increased bright light sensitivity in women suggests that sex differences in circadian timing could plausibly instead be driven by a greater sensitivity to phase-advancing effects of bright morning light.","container-title":"Journal of Pineal Research","DOI":"10.1111/jpi.12936","ISSN":"1600-079X","issue":"2","language":"en","license":"© 2024 The Authors. Journal of Pineal Research published by John Wiley &amp; Sons Ltd.","note":"_eprint: https://onlinelibrary.wiley.com/doi/pdf/10.1111/jpi.12936","page":"e12936","source":"Wiley Online Library","title":"Greater sensitivity of the circadian system of women to bright light, but not dim-to-moderate light","volume":"76","author":[{"family":"Vidafar","given":"Parisa"},{"family":"McGlashan","given":"Elise M."},{"family":"Burns","given":"Angus C."},{"family":"Anderson","given":"Clare"},{"family":"Shechter","given":"Ari"},{"family":"Lockley","given":"Steven W."},{"family":"Phillips","given":"Andrew J. K."},{"family":"Cain","given":"Sean W."}],"issued":{"date-parts":[["2024"]]}}}],"schema":"https://github.com/citation-style-language/schema/raw/master/csl-citation.json"} </w:instrText>
      </w:r>
      <w:r w:rsidR="00B552B8">
        <w:rPr>
          <w:rFonts w:eastAsia="Arial" w:cs="Arial"/>
        </w:rPr>
        <w:fldChar w:fldCharType="separate"/>
      </w:r>
      <w:r w:rsidR="00B552B8" w:rsidRPr="00B552B8">
        <w:rPr>
          <w:rFonts w:cs="Arial"/>
        </w:rPr>
        <w:t>(Vidafar et al., 2024)</w:t>
      </w:r>
      <w:r w:rsidR="00B552B8">
        <w:rPr>
          <w:rFonts w:eastAsia="Arial" w:cs="Arial"/>
        </w:rPr>
        <w:fldChar w:fldCharType="end"/>
      </w:r>
      <w:r w:rsidR="00B552B8">
        <w:rPr>
          <w:rFonts w:eastAsia="Arial" w:cs="Arial"/>
        </w:rPr>
        <w:t xml:space="preserve"> </w:t>
      </w:r>
      <w:r w:rsidR="1321D168" w:rsidRPr="7049312C">
        <w:rPr>
          <w:rFonts w:eastAsia="Arial" w:cs="Arial"/>
        </w:rPr>
        <w:t xml:space="preserve">as well as </w:t>
      </w:r>
      <w:r w:rsidR="1A886743" w:rsidRPr="7049312C">
        <w:rPr>
          <w:rFonts w:eastAsia="Arial" w:cs="Arial"/>
        </w:rPr>
        <w:t xml:space="preserve">more moderate intensity </w:t>
      </w:r>
      <w:r w:rsidR="459614F9" w:rsidRPr="7049312C">
        <w:rPr>
          <w:rFonts w:eastAsia="Arial" w:cs="Arial"/>
        </w:rPr>
        <w:fldChar w:fldCharType="begin"/>
      </w:r>
      <w:r w:rsidR="0092047F">
        <w:rPr>
          <w:rFonts w:eastAsia="Arial" w:cs="Arial"/>
        </w:rPr>
        <w:instrText xml:space="preserve"> ADDIN ZOTERO_ITEM CSL_CITATION {"citationID":"a3IeFun3","properties":{"formattedCitation":"(Fazlali et al., 2024)","plainCitation":"(Fazlali et al., 2024)","noteIndex":0},"citationItems":[{"id":7967,"uris":["http://zotero.org/users/11330488/items/Z6BMGI4A"],"itemData":{"id":7967,"type":"article","abstract":"Light influences human physiology and behaviour by regulating circadian rhythms, melatonin secretion, and alertness. Previous research has reported sex differences in melatonin secretion and circadian rhythms, possibly related to women's greater sensitivity to bright light. Other studies have suggested reduced photosensitivity and earlier circadian phases in summer than in winter in mid-latitude regions. This study explores the effects of sex, seasonality, and their combination on melatonin suppression and subjective sleepiness in response to moderate light exposure, considering prior light history and menstrual phases in females. We conducted a controlled, within-subject experiment with 48 healthy adults (18-35 years, 50% female) across different seasons. The study design included two 9-h laboratory sessions, with at least 5-day washout in between. Participants were exposed to dim and moderate light through a screen for 2 hours after their habitual bedtime. Female participants exhibited greater melatonin suppression (+4.69 %) but a lower alerting response (-6.00%) to moderate light compared to males. Both sexes demonstrated increased sensitivity to the NIF effects of light in winter, with stronger melatonin suppression (+18.05 %) and increased alertness (+7.60 %) compared to summer. While prior light history did not significantly impact melatonin suppression or alertness, it was associated with an earlier dim light melatonin onset (DLMO). Females during their luteal phase had earlier DLMO than those in their follicular phase. Our findings indicate an interaction between sex, seasonality, and light exposure in modulating melatonin suppression, emphasising the need for personalised light exposure recommendations according to individual biological and environmental contexts.","DOI":"10.1101/2024.10.18.619012","language":"en","license":"© 2024, Posted by Cold Spring Harbor Laboratory. This pre-print is available under a Creative Commons License (Attribution-NonCommercial-NoDerivs 4.0 International), CC BY-NC-ND 4.0, as described at http://creativecommons.org/licenses/by-nc-nd/4.0/","note":"page: 2024.10.18.619012\nsection: New Results","publisher":"bioRxiv","source":"bioRxiv","title":"Sex and seasonal variations in melatonin suppression, and alerting response to light","URL":"https://www.biorxiv.org/content/10.1101/2024.10.18.619012v1","author":[{"family":"Fazlali","given":"Fatemeh"},{"family":"Lazar","given":"Rafael Robert"},{"family":"Yahya","given":"Faady"},{"family":"Stefani","given":"Oliver"},{"family":"Spitschan","given":"Manuel"},{"family":"Cajochen","given":"Christian"}],"accessed":{"date-parts":[["2024",10,22]]},"issued":{"date-parts":[["2024",10,21]]}}}],"schema":"https://github.com/citation-style-language/schema/raw/master/csl-citation.json"} </w:instrText>
      </w:r>
      <w:r w:rsidR="459614F9" w:rsidRPr="7049312C">
        <w:rPr>
          <w:rFonts w:eastAsia="Arial" w:cs="Arial"/>
        </w:rPr>
        <w:fldChar w:fldCharType="separate"/>
      </w:r>
      <w:r w:rsidR="00B552B8" w:rsidRPr="00B552B8">
        <w:rPr>
          <w:rFonts w:cs="Arial"/>
        </w:rPr>
        <w:t>(Fazlali et al., 2024)</w:t>
      </w:r>
      <w:r w:rsidR="459614F9" w:rsidRPr="7049312C">
        <w:rPr>
          <w:rFonts w:eastAsia="Arial" w:cs="Arial"/>
        </w:rPr>
        <w:fldChar w:fldCharType="end"/>
      </w:r>
      <w:r w:rsidR="00F130F3" w:rsidRPr="7049312C">
        <w:rPr>
          <w:rFonts w:eastAsia="Arial" w:cs="Arial"/>
        </w:rPr>
        <w:t xml:space="preserve"> </w:t>
      </w:r>
      <w:r w:rsidR="3454B167" w:rsidRPr="7049312C">
        <w:rPr>
          <w:rFonts w:eastAsia="Arial" w:cs="Arial"/>
        </w:rPr>
        <w:t>co</w:t>
      </w:r>
      <w:r w:rsidR="122CA074" w:rsidRPr="7049312C">
        <w:rPr>
          <w:rFonts w:eastAsia="Arial" w:cs="Arial"/>
        </w:rPr>
        <w:t>m</w:t>
      </w:r>
      <w:r w:rsidR="3454B167" w:rsidRPr="7049312C">
        <w:rPr>
          <w:rFonts w:eastAsia="Arial" w:cs="Arial"/>
        </w:rPr>
        <w:t>pared to men</w:t>
      </w:r>
      <w:r w:rsidR="0E2F0CAD" w:rsidRPr="7049312C">
        <w:rPr>
          <w:rFonts w:eastAsia="Arial" w:cs="Arial"/>
        </w:rPr>
        <w:t xml:space="preserve">. </w:t>
      </w:r>
    </w:p>
    <w:p w14:paraId="090F3ABE" w14:textId="41EFA7E6" w:rsidR="00B57711" w:rsidRDefault="04D2F34A" w:rsidP="00807818">
      <w:pPr>
        <w:spacing w:before="120" w:after="120"/>
        <w:rPr>
          <w:rFonts w:eastAsia="Arial" w:cs="Arial"/>
        </w:rPr>
      </w:pPr>
      <w:r w:rsidRPr="7049312C">
        <w:rPr>
          <w:rFonts w:eastAsia="Arial" w:cs="Arial"/>
        </w:rPr>
        <w:t>From a mechanis</w:t>
      </w:r>
      <w:r w:rsidR="00CE1EB5">
        <w:rPr>
          <w:rFonts w:eastAsia="Arial" w:cs="Arial"/>
        </w:rPr>
        <w:t>tic</w:t>
      </w:r>
      <w:r w:rsidRPr="7049312C">
        <w:rPr>
          <w:rFonts w:eastAsia="Arial" w:cs="Arial"/>
        </w:rPr>
        <w:t xml:space="preserve"> perspective, </w:t>
      </w:r>
      <w:r w:rsidR="6B6718C3" w:rsidRPr="7049312C">
        <w:rPr>
          <w:rFonts w:eastAsia="Arial" w:cs="Arial"/>
        </w:rPr>
        <w:t xml:space="preserve">these </w:t>
      </w:r>
      <w:r w:rsidRPr="7049312C">
        <w:rPr>
          <w:rFonts w:eastAsia="Arial" w:cs="Arial"/>
        </w:rPr>
        <w:t>sex differences</w:t>
      </w:r>
      <w:r w:rsidR="3806281F" w:rsidRPr="7049312C">
        <w:rPr>
          <w:rFonts w:eastAsia="Arial" w:cs="Arial"/>
        </w:rPr>
        <w:t xml:space="preserve"> in non-visual effects of light</w:t>
      </w:r>
      <w:r w:rsidRPr="7049312C">
        <w:rPr>
          <w:rFonts w:eastAsia="Arial" w:cs="Arial"/>
        </w:rPr>
        <w:t xml:space="preserve"> </w:t>
      </w:r>
      <w:r w:rsidR="0032004C">
        <w:rPr>
          <w:rFonts w:eastAsia="Arial" w:cs="Arial"/>
        </w:rPr>
        <w:t>could</w:t>
      </w:r>
      <w:r w:rsidR="3E65C234" w:rsidRPr="7049312C">
        <w:rPr>
          <w:rFonts w:eastAsia="Arial" w:cs="Arial"/>
        </w:rPr>
        <w:t xml:space="preserve"> </w:t>
      </w:r>
      <w:r w:rsidRPr="7049312C">
        <w:rPr>
          <w:rFonts w:eastAsia="Arial" w:cs="Arial"/>
        </w:rPr>
        <w:t>result from interactions between gonadal hormones, genetic sex, a</w:t>
      </w:r>
      <w:r w:rsidR="00CE1EB5">
        <w:rPr>
          <w:rFonts w:eastAsia="Arial" w:cs="Arial"/>
        </w:rPr>
        <w:t>nd</w:t>
      </w:r>
      <w:r w:rsidRPr="7049312C">
        <w:rPr>
          <w:rFonts w:eastAsia="Arial" w:cs="Arial"/>
        </w:rPr>
        <w:t xml:space="preserve"> environmental stimuli. </w:t>
      </w:r>
      <w:r w:rsidR="65D01567" w:rsidRPr="7049312C">
        <w:rPr>
          <w:rFonts w:eastAsia="Arial" w:cs="Arial"/>
        </w:rPr>
        <w:t>Animal studies have demonstrated</w:t>
      </w:r>
      <w:r w:rsidR="66B37E3C" w:rsidRPr="7049312C">
        <w:rPr>
          <w:rFonts w:eastAsia="Arial" w:cs="Arial"/>
        </w:rPr>
        <w:t xml:space="preserve"> </w:t>
      </w:r>
      <w:r w:rsidR="4E070E5C" w:rsidRPr="7049312C">
        <w:rPr>
          <w:rFonts w:eastAsia="Arial" w:cs="Arial"/>
        </w:rPr>
        <w:t>tha</w:t>
      </w:r>
      <w:r w:rsidR="66B37E3C" w:rsidRPr="7049312C">
        <w:rPr>
          <w:rFonts w:eastAsia="Arial" w:cs="Arial"/>
        </w:rPr>
        <w:t xml:space="preserve">t </w:t>
      </w:r>
      <w:r w:rsidR="77D6FE53" w:rsidRPr="7049312C">
        <w:rPr>
          <w:rFonts w:eastAsia="Arial" w:cs="Arial"/>
        </w:rPr>
        <w:t xml:space="preserve">gonadal </w:t>
      </w:r>
      <w:r w:rsidR="006D7797">
        <w:rPr>
          <w:rFonts w:eastAsia="Arial" w:cs="Arial"/>
        </w:rPr>
        <w:t xml:space="preserve">hormones influence the response </w:t>
      </w:r>
      <w:r w:rsidR="4DD63DCF" w:rsidRPr="7049312C">
        <w:rPr>
          <w:rFonts w:eastAsia="Arial" w:cs="Arial"/>
        </w:rPr>
        <w:t>of the</w:t>
      </w:r>
      <w:r w:rsidR="77D6FE53" w:rsidRPr="7049312C">
        <w:rPr>
          <w:rFonts w:eastAsia="Arial" w:cs="Arial"/>
        </w:rPr>
        <w:t xml:space="preserve"> circadian system</w:t>
      </w:r>
      <w:r w:rsidR="30FD394B" w:rsidRPr="7049312C">
        <w:rPr>
          <w:rFonts w:eastAsia="Arial" w:cs="Arial"/>
        </w:rPr>
        <w:t xml:space="preserve"> to</w:t>
      </w:r>
      <w:r w:rsidR="77D6FE53" w:rsidRPr="7049312C">
        <w:rPr>
          <w:rFonts w:eastAsia="Arial" w:cs="Arial"/>
        </w:rPr>
        <w:t xml:space="preserve"> photic inputs</w:t>
      </w:r>
      <w:r w:rsidR="00BF2BF9">
        <w:rPr>
          <w:rFonts w:eastAsia="Arial" w:cs="Arial"/>
        </w:rPr>
        <w:t xml:space="preserve"> </w:t>
      </w:r>
      <w:r w:rsidR="00BF2BF9">
        <w:rPr>
          <w:rFonts w:eastAsia="Arial" w:cs="Arial"/>
        </w:rPr>
        <w:fldChar w:fldCharType="begin"/>
      </w:r>
      <w:r w:rsidR="0092047F">
        <w:rPr>
          <w:rFonts w:eastAsia="Arial" w:cs="Arial"/>
        </w:rPr>
        <w:instrText xml:space="preserve"> ADDIN ZOTERO_ITEM CSL_CITATION {"citationID":"0mKk8J0R","properties":{"formattedCitation":"(Joye &amp; Evans, 2022)","plainCitation":"(Joye &amp; Evans, 2022)","noteIndex":0},"citationItems":[{"id":6575,"uris":["http://zotero.org/users/11330488/items/WGRDVVRQ"],"itemData":{"id":6575,"type":"article-journal","abstract":"The circadian system regulates behavior and physiology in many ways important for health. Circadian rhythms are expressed by nearly every cell in the body, and this large system is coordinated by a central clock in the suprachiasmatic nucleus (SCN). Sex differences in daily rhythms are evident in humans and understanding how circadian function is modulated by biological sex is an important goal. This review highlights work examining effects of sex and gonadal hormones on daily rhythms, with a focus on behavior and SCN circuitry in animal models commonly used in pre-clinical studies. Many questions remain in this area of the field, which would benefit from further work investigating this topic.","collection-title":"Special Issue: The mammalian circadian clock by Ethan Buhr / Special Issue : Antibodies in the intracellular domain by William McEwan","container-title":"Seminars in Cell &amp; Developmental Biology","DOI":"10.1016/j.semcdb.2021.04.026","ISSN":"1084-9521","journalAbbreviation":"Seminars in Cell &amp; Developmental Biology","page":"45-55","source":"ScienceDirect","title":"Sex differences in daily timekeeping and circadian clock circuits","volume":"126","author":[{"family":"Joye","given":"Deborah A. M."},{"family":"Evans","given":"Jennifer A."}],"issued":{"date-parts":[["2022",6,1]]}}}],"schema":"https://github.com/citation-style-language/schema/raw/master/csl-citation.json"} </w:instrText>
      </w:r>
      <w:r w:rsidR="00BF2BF9">
        <w:rPr>
          <w:rFonts w:eastAsia="Arial" w:cs="Arial"/>
        </w:rPr>
        <w:fldChar w:fldCharType="separate"/>
      </w:r>
      <w:r w:rsidR="00BF2BF9" w:rsidRPr="00BF2BF9">
        <w:rPr>
          <w:rFonts w:cs="Arial"/>
        </w:rPr>
        <w:t>(Joye &amp; Evans, 2022)</w:t>
      </w:r>
      <w:r w:rsidR="00BF2BF9">
        <w:rPr>
          <w:rFonts w:eastAsia="Arial" w:cs="Arial"/>
        </w:rPr>
        <w:fldChar w:fldCharType="end"/>
      </w:r>
      <w:r w:rsidR="00BF2BF9">
        <w:rPr>
          <w:rFonts w:eastAsia="Arial" w:cs="Arial"/>
        </w:rPr>
        <w:t>.</w:t>
      </w:r>
      <w:r w:rsidR="1FE2460A" w:rsidRPr="7049312C">
        <w:rPr>
          <w:rFonts w:eastAsia="Arial" w:cs="Arial"/>
        </w:rPr>
        <w:t xml:space="preserve"> </w:t>
      </w:r>
      <w:r w:rsidR="334E0369" w:rsidRPr="7049312C">
        <w:rPr>
          <w:rFonts w:eastAsia="Arial" w:cs="Arial"/>
        </w:rPr>
        <w:t>For example,</w:t>
      </w:r>
      <w:r w:rsidR="66B37E3C" w:rsidRPr="7049312C">
        <w:rPr>
          <w:rFonts w:eastAsia="Arial" w:cs="Arial"/>
        </w:rPr>
        <w:t xml:space="preserve"> in female mice, recovery from simulated eastward jetlag is faster on the day of the proestrus compared to the day of the </w:t>
      </w:r>
      <w:r w:rsidR="0F123064" w:rsidRPr="7049312C">
        <w:rPr>
          <w:rFonts w:eastAsia="Arial" w:cs="Arial"/>
        </w:rPr>
        <w:t>metestrus</w:t>
      </w:r>
      <w:r w:rsidR="004F439F">
        <w:rPr>
          <w:rFonts w:eastAsia="Arial" w:cs="Arial"/>
        </w:rPr>
        <w:t>,</w:t>
      </w:r>
      <w:r w:rsidR="0F123064" w:rsidRPr="7049312C">
        <w:rPr>
          <w:rFonts w:eastAsia="Arial" w:cs="Arial"/>
        </w:rPr>
        <w:t xml:space="preserve"> and</w:t>
      </w:r>
      <w:r w:rsidR="66B37E3C" w:rsidRPr="7049312C">
        <w:rPr>
          <w:rFonts w:eastAsia="Arial" w:cs="Arial"/>
        </w:rPr>
        <w:t xml:space="preserve"> compared to males. This response is </w:t>
      </w:r>
      <w:r w:rsidR="006A108C">
        <w:rPr>
          <w:rFonts w:eastAsia="Arial" w:cs="Arial"/>
        </w:rPr>
        <w:t xml:space="preserve">also </w:t>
      </w:r>
      <w:r w:rsidR="66B37E3C" w:rsidRPr="7049312C">
        <w:rPr>
          <w:rFonts w:eastAsia="Arial" w:cs="Arial"/>
        </w:rPr>
        <w:t xml:space="preserve">mimicked by </w:t>
      </w:r>
      <w:r w:rsidR="4A796BBF" w:rsidRPr="7049312C">
        <w:rPr>
          <w:rFonts w:eastAsia="Arial" w:cs="Arial"/>
        </w:rPr>
        <w:t xml:space="preserve">exogenous </w:t>
      </w:r>
      <w:proofErr w:type="spellStart"/>
      <w:r w:rsidR="66B37E3C" w:rsidRPr="7049312C">
        <w:rPr>
          <w:rFonts w:eastAsia="Arial" w:cs="Arial"/>
        </w:rPr>
        <w:t>estradiol</w:t>
      </w:r>
      <w:proofErr w:type="spellEnd"/>
      <w:r w:rsidR="66B37E3C" w:rsidRPr="7049312C">
        <w:rPr>
          <w:rFonts w:eastAsia="Arial" w:cs="Arial"/>
        </w:rPr>
        <w:t xml:space="preserve"> treatment, thus suggesting that gonadal hormones</w:t>
      </w:r>
      <w:r w:rsidR="00DD5B44">
        <w:rPr>
          <w:rFonts w:eastAsia="Arial" w:cs="Arial"/>
        </w:rPr>
        <w:t>, and not</w:t>
      </w:r>
      <w:r w:rsidR="00A808FA">
        <w:rPr>
          <w:rFonts w:eastAsia="Arial" w:cs="Arial"/>
        </w:rPr>
        <w:t xml:space="preserve"> just biological sex,</w:t>
      </w:r>
      <w:r w:rsidR="66B37E3C" w:rsidRPr="7049312C">
        <w:rPr>
          <w:rFonts w:eastAsia="Arial" w:cs="Arial"/>
        </w:rPr>
        <w:t xml:space="preserve"> influence photic processing along the non-visual circadian pathway </w:t>
      </w:r>
      <w:r w:rsidRPr="7049312C">
        <w:rPr>
          <w:rFonts w:eastAsia="Arial" w:cs="Arial"/>
        </w:rPr>
        <w:fldChar w:fldCharType="begin"/>
      </w:r>
      <w:r w:rsidR="0092047F">
        <w:rPr>
          <w:rFonts w:eastAsia="Arial" w:cs="Arial"/>
        </w:rPr>
        <w:instrText xml:space="preserve"> ADDIN ZOTERO_ITEM CSL_CITATION {"citationID":"lZWe8bSy","properties":{"formattedCitation":"(Joye &amp; Evans, 2022)","plainCitation":"(Joye &amp; Evans, 2022)","noteIndex":0},"citationItems":[{"id":6575,"uris":["http://zotero.org/users/11330488/items/WGRDVVRQ"],"itemData":{"id":6575,"type":"article-journal","abstract":"The circadian system regulates behavior and physiology in many ways important for health. Circadian rhythms are expressed by nearly every cell in the body, and this large system is coordinated by a central clock in the suprachiasmatic nucleus (SCN). Sex differences in daily rhythms are evident in humans and understanding how circadian function is modulated by biological sex is an important goal. This review highlights work examining effects of sex and gonadal hormones on daily rhythms, with a focus on behavior and SCN circuitry in animal models commonly used in pre-clinical studies. Many questions remain in this area of the field, which would benefit from further work investigating this topic.","collection-title":"Special Issue: The mammalian circadian clock by Ethan Buhr / Special Issue : Antibodies in the intracellular domain by William McEwan","container-title":"Seminars in Cell &amp; Developmental Biology","DOI":"10.1016/j.semcdb.2021.04.026","ISSN":"1084-9521","journalAbbreviation":"Seminars in Cell &amp; Developmental Biology","page":"45-55","source":"ScienceDirect","title":"Sex differences in daily timekeeping and circadian clock circuits","volume":"126","author":[{"family":"Joye","given":"Deborah A. M."},{"family":"Evans","given":"Jennifer A."}],"issued":{"date-parts":[["2022",6,1]]}}}],"schema":"https://github.com/citation-style-language/schema/raw/master/csl-citation.json"} </w:instrText>
      </w:r>
      <w:r w:rsidRPr="7049312C">
        <w:rPr>
          <w:rFonts w:eastAsia="Arial" w:cs="Arial"/>
        </w:rPr>
        <w:fldChar w:fldCharType="separate"/>
      </w:r>
      <w:r w:rsidR="00F130F3" w:rsidRPr="7049312C">
        <w:rPr>
          <w:rFonts w:cs="Arial"/>
        </w:rPr>
        <w:t>(Joye &amp; Evans, 2022)</w:t>
      </w:r>
      <w:r w:rsidRPr="7049312C">
        <w:rPr>
          <w:rFonts w:eastAsia="Arial" w:cs="Arial"/>
        </w:rPr>
        <w:fldChar w:fldCharType="end"/>
      </w:r>
      <w:r w:rsidR="00F130F3" w:rsidRPr="7049312C">
        <w:rPr>
          <w:rFonts w:eastAsia="Arial" w:cs="Arial"/>
        </w:rPr>
        <w:t xml:space="preserve">. </w:t>
      </w:r>
      <w:r w:rsidR="000C3573">
        <w:rPr>
          <w:rFonts w:eastAsia="Arial" w:cs="Arial"/>
        </w:rPr>
        <w:t>The site of action of g</w:t>
      </w:r>
      <w:r w:rsidR="00BF2BF9">
        <w:rPr>
          <w:rFonts w:eastAsia="Arial" w:cs="Arial"/>
        </w:rPr>
        <w:t xml:space="preserve">onadal hormones </w:t>
      </w:r>
      <w:r w:rsidR="000C3573">
        <w:rPr>
          <w:rFonts w:eastAsia="Arial" w:cs="Arial"/>
        </w:rPr>
        <w:t>might be on</w:t>
      </w:r>
      <w:r w:rsidR="00BF2BF9">
        <w:rPr>
          <w:rFonts w:eastAsia="Arial" w:cs="Arial"/>
        </w:rPr>
        <w:t xml:space="preserve"> the circadian pacemaker itself, the suprachiasmatic nucleus (SCN), a</w:t>
      </w:r>
      <w:r w:rsidR="00CE1EB5">
        <w:rPr>
          <w:rFonts w:eastAsia="Arial" w:cs="Arial"/>
        </w:rPr>
        <w:t>nd</w:t>
      </w:r>
      <w:r w:rsidR="00BF2BF9">
        <w:rPr>
          <w:rFonts w:eastAsia="Arial" w:cs="Arial"/>
        </w:rPr>
        <w:t xml:space="preserve"> brain areas that project to the SCN. For example,</w:t>
      </w:r>
      <w:r w:rsidR="004F439F">
        <w:rPr>
          <w:rFonts w:eastAsia="Arial" w:cs="Arial"/>
        </w:rPr>
        <w:t xml:space="preserve"> in </w:t>
      </w:r>
      <w:r w:rsidR="004F439F">
        <w:rPr>
          <w:rFonts w:eastAsia="Arial" w:cs="Arial"/>
        </w:rPr>
        <w:lastRenderedPageBreak/>
        <w:t>mice,</w:t>
      </w:r>
      <w:r w:rsidR="00BF2BF9">
        <w:rPr>
          <w:rFonts w:eastAsia="Arial" w:cs="Arial"/>
        </w:rPr>
        <w:t xml:space="preserve"> androgen receptors are densely localised in the SCN core itself, </w:t>
      </w:r>
      <w:r w:rsidR="004F439F">
        <w:rPr>
          <w:rFonts w:eastAsia="Arial" w:cs="Arial"/>
        </w:rPr>
        <w:t>while</w:t>
      </w:r>
      <w:r w:rsidR="00BF2BF9">
        <w:rPr>
          <w:rFonts w:eastAsia="Arial" w:cs="Arial"/>
        </w:rPr>
        <w:t xml:space="preserve"> </w:t>
      </w:r>
      <w:proofErr w:type="spellStart"/>
      <w:r w:rsidR="00BF2BF9">
        <w:rPr>
          <w:rFonts w:eastAsia="Arial" w:cs="Arial"/>
        </w:rPr>
        <w:t>estrogen</w:t>
      </w:r>
      <w:proofErr w:type="spellEnd"/>
      <w:r w:rsidR="00BF2BF9">
        <w:rPr>
          <w:rFonts w:eastAsia="Arial" w:cs="Arial"/>
        </w:rPr>
        <w:t xml:space="preserve"> receptors are sparsely distributed in the SCN, but are </w:t>
      </w:r>
      <w:r w:rsidR="004F439F">
        <w:rPr>
          <w:rFonts w:eastAsia="Arial" w:cs="Arial"/>
        </w:rPr>
        <w:t>heavily</w:t>
      </w:r>
      <w:r w:rsidR="00BF2BF9">
        <w:rPr>
          <w:rFonts w:eastAsia="Arial" w:cs="Arial"/>
        </w:rPr>
        <w:t xml:space="preserve"> expressed in </w:t>
      </w:r>
      <w:r w:rsidR="004F439F">
        <w:rPr>
          <w:rFonts w:eastAsia="Arial" w:cs="Arial"/>
        </w:rPr>
        <w:t>areas that are direct (</w:t>
      </w:r>
      <w:r w:rsidR="00BF2BF9">
        <w:rPr>
          <w:rFonts w:eastAsia="Arial" w:cs="Arial"/>
        </w:rPr>
        <w:t>retina</w:t>
      </w:r>
      <w:r w:rsidR="004F439F">
        <w:rPr>
          <w:rFonts w:eastAsia="Arial" w:cs="Arial"/>
        </w:rPr>
        <w:t xml:space="preserve"> and</w:t>
      </w:r>
      <w:r w:rsidR="00BF2BF9">
        <w:rPr>
          <w:rFonts w:eastAsia="Arial" w:cs="Arial"/>
        </w:rPr>
        <w:t xml:space="preserve"> intergeniculate leaflet</w:t>
      </w:r>
      <w:r w:rsidR="004F439F">
        <w:rPr>
          <w:rFonts w:eastAsia="Arial" w:cs="Arial"/>
        </w:rPr>
        <w:t>)</w:t>
      </w:r>
      <w:r w:rsidR="00BF2BF9">
        <w:rPr>
          <w:rFonts w:eastAsia="Arial" w:cs="Arial"/>
        </w:rPr>
        <w:t xml:space="preserve"> and</w:t>
      </w:r>
      <w:r w:rsidR="004F439F">
        <w:rPr>
          <w:rFonts w:eastAsia="Arial" w:cs="Arial"/>
        </w:rPr>
        <w:t xml:space="preserve"> indirect</w:t>
      </w:r>
      <w:r w:rsidR="00BF2BF9">
        <w:rPr>
          <w:rFonts w:eastAsia="Arial" w:cs="Arial"/>
        </w:rPr>
        <w:t xml:space="preserve"> </w:t>
      </w:r>
      <w:r w:rsidR="004F439F">
        <w:rPr>
          <w:rFonts w:eastAsia="Arial" w:cs="Arial"/>
        </w:rPr>
        <w:t>(</w:t>
      </w:r>
      <w:r w:rsidR="00BF2BF9">
        <w:rPr>
          <w:rFonts w:eastAsia="Arial" w:cs="Arial"/>
        </w:rPr>
        <w:t>dorsal raphe</w:t>
      </w:r>
      <w:r w:rsidR="004F439F">
        <w:rPr>
          <w:rFonts w:eastAsia="Arial" w:cs="Arial"/>
        </w:rPr>
        <w:t xml:space="preserve">) </w:t>
      </w:r>
      <w:r w:rsidR="00580425">
        <w:rPr>
          <w:rFonts w:eastAsia="Arial" w:cs="Arial"/>
        </w:rPr>
        <w:t xml:space="preserve">afferents </w:t>
      </w:r>
      <w:r w:rsidR="004F439F">
        <w:rPr>
          <w:rFonts w:eastAsia="Arial" w:cs="Arial"/>
        </w:rPr>
        <w:t xml:space="preserve">to the SCN </w:t>
      </w:r>
      <w:r w:rsidR="00BF2BF9">
        <w:rPr>
          <w:rFonts w:eastAsia="Arial" w:cs="Arial"/>
        </w:rPr>
        <w:fldChar w:fldCharType="begin"/>
      </w:r>
      <w:r w:rsidR="0092047F">
        <w:rPr>
          <w:rFonts w:eastAsia="Arial" w:cs="Arial"/>
        </w:rPr>
        <w:instrText xml:space="preserve"> ADDIN ZOTERO_ITEM CSL_CITATION {"citationID":"dZDS6rXz","properties":{"formattedCitation":"(Mong et al., 2011)","plainCitation":"(Mong et al., 2011)","noteIndex":0},"citationItems":[{"id":6583,"uris":["http://zotero.org/users/11330488/items/6M4TB8S9"],"itemData":{"id":6583,"type":"article-journal","abstract":"While much is known about the mechanisms that underlie sleep and circadian rhythms, the investigation into sex differences and gonadal steroid modulation of sleep and biological rhythms is in its infancy. There is a growing recognition of sex disparities in sleep and rhythm disorders. Understanding how neuroendocrine mediators and sex differences influence sleep and biological rhythms is central to advancing our understanding of sleep-related disorders. While it is known that ovarian steroids affect circadian rhythms in rodents, the role of androgen is less understood. Surprising findings that androgens, acting via androgen receptors in the master “circadian clock” within the suprachiasmatic nucleus, modulate photic effects on activity in males point to novel mechanisms of circadian control. Work in aromatase-deficient mice suggests that some sex differences in photic responsiveness are independent of gonadal hormone effects during development. In parallel, aspects of sex differences in sleep are also reported to be independent of gonadal steroids and may involve sex chromosome complement. This a summary of recent work illustrating how sex differences and gonadal hormones influence sleep and circadian rhythms that was presented at a Mini-Symposium at the 2011 annual meeting of the Society for Neuroscience.","container-title":"Journal of Neuroscience","DOI":"10.1523/JNEUROSCI.4175-11.2011","ISSN":"0270-6474, 1529-2401","issue":"45","journalAbbreviation":"J. Neurosci.","language":"en","license":"Copyright © 2011 the authors 0270-6474/11/3116107-10$15.00/0","note":"publisher: Society for Neuroscience\nsection: Symposium and Mini-Symposium\nPMID: 22072663","page":"16107-16116","source":"www.jneurosci.org","title":"Sleep, Rhythms, and the Endocrine Brain: Influence of Sex and Gonadal Hormones","title-short":"Sleep, Rhythms, and the Endocrine Brain","volume":"31","author":[{"family":"Mong","given":"Jessica A."},{"family":"Baker","given":"Fiona C."},{"family":"Mahoney","given":"Megan M."},{"family":"Paul","given":"Ketema N."},{"family":"Schwartz","given":"Michael D."},{"family":"Semba","given":"Kazue"},{"family":"Silver","given":"Rae"}],"issued":{"date-parts":[["2011",11,9]]}}}],"schema":"https://github.com/citation-style-language/schema/raw/master/csl-citation.json"} </w:instrText>
      </w:r>
      <w:r w:rsidR="00BF2BF9">
        <w:rPr>
          <w:rFonts w:eastAsia="Arial" w:cs="Arial"/>
        </w:rPr>
        <w:fldChar w:fldCharType="separate"/>
      </w:r>
      <w:r w:rsidR="00BF2BF9" w:rsidRPr="00BF2BF9">
        <w:rPr>
          <w:rFonts w:cs="Arial"/>
        </w:rPr>
        <w:t>(Mong et al., 2011)</w:t>
      </w:r>
      <w:r w:rsidR="00BF2BF9">
        <w:rPr>
          <w:rFonts w:eastAsia="Arial" w:cs="Arial"/>
        </w:rPr>
        <w:fldChar w:fldCharType="end"/>
      </w:r>
      <w:r w:rsidR="00BF2BF9">
        <w:rPr>
          <w:rFonts w:eastAsia="Arial" w:cs="Arial"/>
        </w:rPr>
        <w:t xml:space="preserve">. </w:t>
      </w:r>
    </w:p>
    <w:p w14:paraId="72BF9216" w14:textId="5A9EDAD6" w:rsidR="00DC6584" w:rsidRDefault="5D6ECEF7" w:rsidP="00807818">
      <w:pPr>
        <w:spacing w:before="120" w:after="120"/>
        <w:rPr>
          <w:rFonts w:eastAsia="Arial" w:cs="Arial"/>
          <w:color w:val="000000" w:themeColor="text1"/>
        </w:rPr>
      </w:pPr>
      <w:r w:rsidRPr="7049312C">
        <w:rPr>
          <w:rFonts w:eastAsia="Arial" w:cs="Arial"/>
        </w:rPr>
        <w:t>Less i</w:t>
      </w:r>
      <w:r w:rsidR="29C603F3" w:rsidRPr="7049312C">
        <w:rPr>
          <w:rFonts w:eastAsia="Arial" w:cs="Arial"/>
        </w:rPr>
        <w:t>s</w:t>
      </w:r>
      <w:r w:rsidRPr="7049312C">
        <w:rPr>
          <w:rFonts w:eastAsia="Arial" w:cs="Arial"/>
        </w:rPr>
        <w:t xml:space="preserve"> known about the</w:t>
      </w:r>
      <w:r w:rsidR="5D06F4E2" w:rsidRPr="7049312C">
        <w:rPr>
          <w:rFonts w:eastAsia="Arial" w:cs="Arial"/>
        </w:rPr>
        <w:t xml:space="preserve"> effects of gonadal hormones on the non-visual effects of light in humans</w:t>
      </w:r>
      <w:r w:rsidR="75C28480" w:rsidRPr="7049312C">
        <w:rPr>
          <w:rFonts w:eastAsia="Arial" w:cs="Arial"/>
        </w:rPr>
        <w:t>.</w:t>
      </w:r>
      <w:r w:rsidR="006D7797">
        <w:rPr>
          <w:rFonts w:eastAsia="Arial" w:cs="Arial"/>
        </w:rPr>
        <w:t xml:space="preserve"> This is due </w:t>
      </w:r>
      <w:r w:rsidR="006D7797" w:rsidRPr="7049312C">
        <w:rPr>
          <w:rFonts w:eastAsia="Arial" w:cs="Arial"/>
          <w:color w:val="000000" w:themeColor="text1"/>
        </w:rPr>
        <w:t xml:space="preserve">to the large sex data gap in circadian physiology </w:t>
      </w:r>
      <w:r w:rsidR="00DD5B44">
        <w:rPr>
          <w:rFonts w:eastAsia="Arial" w:cs="Arial"/>
          <w:color w:val="000000" w:themeColor="text1"/>
        </w:rPr>
        <w:t xml:space="preserve">and non-visual effects of light </w:t>
      </w:r>
      <w:r w:rsidR="006D7797" w:rsidRPr="7049312C">
        <w:rPr>
          <w:rFonts w:eastAsia="Arial" w:cs="Arial"/>
          <w:color w:val="000000" w:themeColor="text1"/>
        </w:rPr>
        <w:t xml:space="preserve">research </w:t>
      </w:r>
      <w:r w:rsidR="006D7797" w:rsidRPr="7049312C">
        <w:rPr>
          <w:rFonts w:eastAsia="Arial" w:cs="Arial"/>
          <w:color w:val="000000" w:themeColor="text1"/>
        </w:rPr>
        <w:fldChar w:fldCharType="begin"/>
      </w:r>
      <w:r w:rsidR="0092047F">
        <w:rPr>
          <w:rFonts w:eastAsia="Arial" w:cs="Arial"/>
          <w:color w:val="000000" w:themeColor="text1"/>
        </w:rPr>
        <w:instrText xml:space="preserve"> ADDIN ZOTERO_ITEM CSL_CITATION {"citationID":"tSlFlyxa","properties":{"formattedCitation":"(Spitschan et al., 2022)","plainCitation":"(Spitschan et al., 2022)","noteIndex":0},"citationItems":[{"id":7179,"uris":["http://zotero.org/users/11330488/items/CA9ST79Z"],"itemData":{"id":7179,"type":"article-journal","abstract":"Growing evidence shows that sex differences impact many facets of human biology. Here we review and discuss the impact of sex on human circadian and sleep physiology, and we uncover a data gap in the field investigating the non-visual effects of light in humans. A virtual workshop on the biomedical implications of sex differences in sleep and circadian physiology led to the following imperatives for future research: i) design research to be inclusive and accessible; ii) implement recruitment strategies that lead to a sex-balanced sample; iii) use data visualization to grasp the effect of sex; iv) implement statistical analyses that include sex as a factor and/or perform group analyses by sex, where possible; v) make participant-level data open and available to facilitate future meta-analytic efforts.","container-title":"eLife","DOI":"10.7554/eLife.65419","ISSN":"2050-084X","note":"publisher: eLife Sciences Publications, Ltd","page":"e65419","source":"eLife","title":"Sex differences and sex bias in human circadian and sleep physiology research","volume":"11","author":[{"family":"Spitschan","given":"Manuel"},{"family":"Santhi","given":"Nayantara"},{"family":"Ahluwalia","given":"Amrita"},{"family":"Fischer","given":"Dorothee"},{"family":"Hunt","given":"Lilian"},{"family":"Karp","given":"Natasha A"},{"family":"Lévi","given":"Francis"},{"family":"Pineda-Torra","given":"Inés"},{"family":"Vidafar","given":"Parisa"},{"family":"White","given":"Rhiannon"}],"editor":[{"family":"Loissel","given":"Elsa"},{"family":"Rodgers","given":"Peter"}],"issued":{"date-parts":[["2022",2,18]]}}}],"schema":"https://github.com/citation-style-language/schema/raw/master/csl-citation.json"} </w:instrText>
      </w:r>
      <w:r w:rsidR="006D7797" w:rsidRPr="7049312C">
        <w:rPr>
          <w:rFonts w:eastAsia="Arial" w:cs="Arial"/>
          <w:color w:val="000000" w:themeColor="text1"/>
        </w:rPr>
        <w:fldChar w:fldCharType="separate"/>
      </w:r>
      <w:r w:rsidR="006D7797" w:rsidRPr="7049312C">
        <w:rPr>
          <w:rFonts w:cs="Arial"/>
        </w:rPr>
        <w:t>(Spitschan et al., 2022)</w:t>
      </w:r>
      <w:r w:rsidR="006D7797" w:rsidRPr="7049312C">
        <w:rPr>
          <w:rFonts w:eastAsia="Arial" w:cs="Arial"/>
          <w:color w:val="000000" w:themeColor="text1"/>
        </w:rPr>
        <w:fldChar w:fldCharType="end"/>
      </w:r>
      <w:r w:rsidR="00B806FD">
        <w:rPr>
          <w:rFonts w:eastAsia="Arial" w:cs="Arial"/>
          <w:color w:val="000000" w:themeColor="text1"/>
        </w:rPr>
        <w:t>.</w:t>
      </w:r>
      <w:r w:rsidR="006D7797" w:rsidRPr="7049312C">
        <w:rPr>
          <w:rFonts w:eastAsia="Arial" w:cs="Arial"/>
          <w:color w:val="000000" w:themeColor="text1"/>
        </w:rPr>
        <w:t xml:space="preserve"> </w:t>
      </w:r>
      <w:r w:rsidR="2C8AFB55" w:rsidRPr="7049312C">
        <w:rPr>
          <w:rFonts w:eastAsia="Arial" w:cs="Arial"/>
          <w:color w:val="000000" w:themeColor="text1"/>
        </w:rPr>
        <w:t xml:space="preserve">Along </w:t>
      </w:r>
      <w:r w:rsidR="6BB0F26D" w:rsidRPr="7049312C">
        <w:rPr>
          <w:rFonts w:eastAsia="Arial" w:cs="Arial"/>
          <w:color w:val="000000" w:themeColor="text1"/>
        </w:rPr>
        <w:t xml:space="preserve">a </w:t>
      </w:r>
      <w:r w:rsidR="00B806FD">
        <w:rPr>
          <w:rFonts w:eastAsia="Arial" w:cs="Arial"/>
          <w:color w:val="000000" w:themeColor="text1"/>
        </w:rPr>
        <w:t>woman</w:t>
      </w:r>
      <w:r w:rsidR="6BB0F26D" w:rsidRPr="7049312C">
        <w:rPr>
          <w:rFonts w:eastAsia="Arial" w:cs="Arial"/>
          <w:color w:val="000000" w:themeColor="text1"/>
        </w:rPr>
        <w:t>’s lifespan, major hormonal transition periods</w:t>
      </w:r>
      <w:r w:rsidR="302D3FD3" w:rsidRPr="7049312C">
        <w:rPr>
          <w:rFonts w:eastAsia="Arial" w:cs="Arial"/>
          <w:color w:val="000000" w:themeColor="text1"/>
        </w:rPr>
        <w:t xml:space="preserve"> such as </w:t>
      </w:r>
      <w:r w:rsidR="68E0E3B6" w:rsidRPr="7049312C">
        <w:rPr>
          <w:rFonts w:eastAsia="Arial" w:cs="Arial"/>
          <w:color w:val="000000" w:themeColor="text1"/>
        </w:rPr>
        <w:t>puberty, pregnancy, and perimenopause</w:t>
      </w:r>
      <w:r w:rsidR="787FABA7" w:rsidRPr="7049312C">
        <w:rPr>
          <w:rFonts w:eastAsia="Arial" w:cs="Arial"/>
          <w:color w:val="000000" w:themeColor="text1"/>
        </w:rPr>
        <w:t xml:space="preserve">, as well as </w:t>
      </w:r>
      <w:r w:rsidR="00A808FA">
        <w:rPr>
          <w:rFonts w:eastAsia="Arial" w:cs="Arial"/>
          <w:color w:val="000000" w:themeColor="text1"/>
        </w:rPr>
        <w:t>regular</w:t>
      </w:r>
      <w:r w:rsidR="787FABA7" w:rsidRPr="7049312C">
        <w:rPr>
          <w:rFonts w:eastAsia="Arial" w:cs="Arial"/>
          <w:color w:val="000000" w:themeColor="text1"/>
        </w:rPr>
        <w:t xml:space="preserve"> hormonal events such as the menstrual cycle</w:t>
      </w:r>
      <w:r w:rsidR="00B806FD">
        <w:rPr>
          <w:rFonts w:eastAsia="Arial" w:cs="Arial"/>
          <w:color w:val="000000" w:themeColor="text1"/>
        </w:rPr>
        <w:t>,</w:t>
      </w:r>
      <w:r w:rsidR="787FABA7" w:rsidRPr="7049312C">
        <w:rPr>
          <w:rFonts w:eastAsia="Arial" w:cs="Arial"/>
          <w:color w:val="000000" w:themeColor="text1"/>
        </w:rPr>
        <w:t xml:space="preserve"> offer opportunities to study the role of sex</w:t>
      </w:r>
      <w:r w:rsidR="2347C11F" w:rsidRPr="7049312C">
        <w:rPr>
          <w:rFonts w:eastAsia="Arial" w:cs="Arial"/>
          <w:color w:val="000000" w:themeColor="text1"/>
        </w:rPr>
        <w:t xml:space="preserve"> steroids on</w:t>
      </w:r>
      <w:r w:rsidR="3D10E5E7" w:rsidRPr="7049312C">
        <w:rPr>
          <w:rFonts w:eastAsia="Arial" w:cs="Arial"/>
          <w:color w:val="000000" w:themeColor="text1"/>
        </w:rPr>
        <w:t xml:space="preserve"> brain functioning</w:t>
      </w:r>
      <w:r w:rsidR="404045BB" w:rsidRPr="7049312C">
        <w:rPr>
          <w:rFonts w:eastAsia="Arial" w:cs="Arial"/>
          <w:color w:val="000000" w:themeColor="text1"/>
        </w:rPr>
        <w:t xml:space="preserve"> and</w:t>
      </w:r>
      <w:r w:rsidR="3D10E5E7" w:rsidRPr="7049312C">
        <w:rPr>
          <w:rFonts w:eastAsia="Arial" w:cs="Arial"/>
          <w:color w:val="000000" w:themeColor="text1"/>
        </w:rPr>
        <w:t xml:space="preserve"> behaviour</w:t>
      </w:r>
      <w:r w:rsidR="000013CD" w:rsidRPr="7049312C">
        <w:rPr>
          <w:rFonts w:eastAsia="Arial" w:cs="Arial"/>
          <w:color w:val="000000" w:themeColor="text1"/>
        </w:rPr>
        <w:t xml:space="preserve">. </w:t>
      </w:r>
      <w:r w:rsidR="104461EA" w:rsidRPr="7049312C">
        <w:rPr>
          <w:rFonts w:eastAsia="Arial" w:cs="Arial"/>
          <w:color w:val="000000" w:themeColor="text1"/>
        </w:rPr>
        <w:t xml:space="preserve">Similarly, the hormonal profile of individuals using oral contraceptives </w:t>
      </w:r>
      <w:r w:rsidR="760835B5" w:rsidRPr="7049312C">
        <w:rPr>
          <w:rFonts w:eastAsia="Arial" w:cs="Arial"/>
          <w:color w:val="000000" w:themeColor="text1"/>
        </w:rPr>
        <w:t>(the “pill cycle”) also</w:t>
      </w:r>
      <w:r w:rsidR="6ED45972" w:rsidRPr="7049312C">
        <w:rPr>
          <w:rFonts w:eastAsia="Arial" w:cs="Arial"/>
          <w:color w:val="000000" w:themeColor="text1"/>
        </w:rPr>
        <w:t xml:space="preserve"> presents an opportunity to </w:t>
      </w:r>
      <w:r w:rsidR="62D88E4C" w:rsidRPr="7049312C">
        <w:rPr>
          <w:rFonts w:eastAsia="Arial" w:cs="Arial"/>
          <w:color w:val="000000" w:themeColor="text1"/>
        </w:rPr>
        <w:t xml:space="preserve">study the </w:t>
      </w:r>
      <w:r w:rsidR="00A808FA">
        <w:rPr>
          <w:rFonts w:eastAsia="Arial" w:cs="Arial"/>
          <w:color w:val="000000" w:themeColor="text1"/>
        </w:rPr>
        <w:t xml:space="preserve">combined </w:t>
      </w:r>
      <w:r w:rsidR="62D88E4C" w:rsidRPr="7049312C">
        <w:rPr>
          <w:rFonts w:eastAsia="Arial" w:cs="Arial"/>
          <w:color w:val="000000" w:themeColor="text1"/>
        </w:rPr>
        <w:t>effect o</w:t>
      </w:r>
      <w:r w:rsidR="13F0FB26" w:rsidRPr="7049312C">
        <w:rPr>
          <w:rFonts w:eastAsia="Arial" w:cs="Arial"/>
          <w:color w:val="000000" w:themeColor="text1"/>
        </w:rPr>
        <w:t xml:space="preserve">f </w:t>
      </w:r>
      <w:r w:rsidR="62D88E4C" w:rsidRPr="7049312C">
        <w:rPr>
          <w:rFonts w:eastAsia="Arial" w:cs="Arial"/>
          <w:color w:val="000000" w:themeColor="text1"/>
        </w:rPr>
        <w:t>exogenous</w:t>
      </w:r>
      <w:r w:rsidR="61A58185" w:rsidRPr="7049312C">
        <w:rPr>
          <w:rFonts w:eastAsia="Arial" w:cs="Arial"/>
          <w:color w:val="000000" w:themeColor="text1"/>
        </w:rPr>
        <w:t xml:space="preserve"> sex</w:t>
      </w:r>
      <w:r w:rsidR="62D88E4C" w:rsidRPr="7049312C">
        <w:rPr>
          <w:rFonts w:eastAsia="Arial" w:cs="Arial"/>
          <w:color w:val="000000" w:themeColor="text1"/>
        </w:rPr>
        <w:t xml:space="preserve"> hormones </w:t>
      </w:r>
      <w:r w:rsidR="000C3573">
        <w:rPr>
          <w:rFonts w:eastAsia="Arial" w:cs="Arial"/>
          <w:color w:val="000000" w:themeColor="text1"/>
        </w:rPr>
        <w:t xml:space="preserve">and </w:t>
      </w:r>
      <w:r w:rsidR="00A808FA">
        <w:rPr>
          <w:rFonts w:eastAsia="Arial" w:cs="Arial"/>
          <w:color w:val="000000" w:themeColor="text1"/>
        </w:rPr>
        <w:t>inhibited</w:t>
      </w:r>
      <w:r w:rsidR="000C3573">
        <w:rPr>
          <w:rFonts w:eastAsia="Arial" w:cs="Arial"/>
          <w:color w:val="000000" w:themeColor="text1"/>
        </w:rPr>
        <w:t xml:space="preserve"> endogenous sex hormones on the brain </w:t>
      </w:r>
      <w:r w:rsidR="00B57711">
        <w:rPr>
          <w:rFonts w:eastAsia="Arial" w:cs="Arial"/>
          <w:color w:val="000000" w:themeColor="text1"/>
        </w:rPr>
        <w:t xml:space="preserve">and behaviour </w:t>
      </w:r>
      <w:r w:rsidR="000C3573">
        <w:rPr>
          <w:rFonts w:eastAsia="Arial" w:cs="Arial"/>
          <w:color w:val="000000" w:themeColor="text1"/>
        </w:rPr>
        <w:fldChar w:fldCharType="begin"/>
      </w:r>
      <w:r w:rsidR="0092047F">
        <w:rPr>
          <w:rFonts w:eastAsia="Arial" w:cs="Arial"/>
          <w:color w:val="000000" w:themeColor="text1"/>
        </w:rPr>
        <w:instrText xml:space="preserve"> ADDIN ZOTERO_ITEM CSL_CITATION {"citationID":"krSYc421","properties":{"formattedCitation":"(Hampson, 2023)","plainCitation":"(Hampson, 2023)","noteIndex":0},"citationItems":[{"id":9329,"uris":["http://zotero.org/users/11330488/items/9H4E6L8G"],"itemData":{"id":9329,"type":"article-journal","abstract":"Millions of women around the world use combined oral contraceptives (OCs), yet surprisingly little is known about their central nervous system (CNS) effects. This article provides a short overview of the basic pharmacology of OCs, emphasizing features that may be relevant to understanding their effects in the CNS. Historical and recent findings from studies of cognitive function, mood, and negative affect (depressive changes under OC use) are then reviewed. We also present data from an archival dataset from our own laboratory in which we explore dysphoric changes in women using four generations of contraceptive progestins. Current data in the field are consistent with a modest effect of OC use on CNS variables, but conclusions based on current findings must be made very cautiously because of multiple methodological issues in many published studies to date, and inconsistencies in the findings. Directions for future research over the next 10 years are suggested. (150 words)","container-title":"Frontiers in Neuroendocrinology","DOI":"10.1016/j.yfrne.2022.101040","ISSN":"0091-3022","journalAbbreviation":"Frontiers in Neuroendocrinology","page":"101040","source":"ScienceDirect","title":"Oral contraceptives in the central nervous system: Basic pharmacology, methodological considerations, and current state of the field","title-short":"Oral contraceptives in the central nervous system","volume":"68","author":[{"family":"Hampson","given":"Elizabeth"}],"issued":{"date-parts":[["2023",1,1]]}}}],"schema":"https://github.com/citation-style-language/schema/raw/master/csl-citation.json"} </w:instrText>
      </w:r>
      <w:r w:rsidR="000C3573">
        <w:rPr>
          <w:rFonts w:eastAsia="Arial" w:cs="Arial"/>
          <w:color w:val="000000" w:themeColor="text1"/>
        </w:rPr>
        <w:fldChar w:fldCharType="separate"/>
      </w:r>
      <w:r w:rsidR="000C3573" w:rsidRPr="000C3573">
        <w:rPr>
          <w:rFonts w:cs="Arial"/>
        </w:rPr>
        <w:t>(Hampson, 2023)</w:t>
      </w:r>
      <w:r w:rsidR="000C3573">
        <w:rPr>
          <w:rFonts w:eastAsia="Arial" w:cs="Arial"/>
          <w:color w:val="000000" w:themeColor="text1"/>
        </w:rPr>
        <w:fldChar w:fldCharType="end"/>
      </w:r>
      <w:r w:rsidR="62D88E4C" w:rsidRPr="7049312C">
        <w:rPr>
          <w:rFonts w:eastAsia="Arial" w:cs="Arial"/>
          <w:color w:val="000000" w:themeColor="text1"/>
        </w:rPr>
        <w:t xml:space="preserve">. These </w:t>
      </w:r>
      <w:r w:rsidR="3DEA2A3F" w:rsidRPr="7049312C">
        <w:rPr>
          <w:rFonts w:eastAsia="Arial" w:cs="Arial"/>
          <w:color w:val="000000" w:themeColor="text1"/>
        </w:rPr>
        <w:t xml:space="preserve">investigations are </w:t>
      </w:r>
      <w:r w:rsidR="00CE1EB5">
        <w:rPr>
          <w:rFonts w:eastAsia="Arial" w:cs="Arial"/>
          <w:color w:val="000000" w:themeColor="text1"/>
        </w:rPr>
        <w:t>key</w:t>
      </w:r>
      <w:r w:rsidR="00CE1EB5" w:rsidRPr="7049312C">
        <w:rPr>
          <w:rFonts w:eastAsia="Arial" w:cs="Arial"/>
          <w:color w:val="000000" w:themeColor="text1"/>
        </w:rPr>
        <w:t xml:space="preserve"> </w:t>
      </w:r>
      <w:r w:rsidR="3DEA2A3F" w:rsidRPr="7049312C">
        <w:rPr>
          <w:rFonts w:eastAsia="Arial" w:cs="Arial"/>
          <w:color w:val="000000" w:themeColor="text1"/>
        </w:rPr>
        <w:t>to develop</w:t>
      </w:r>
      <w:r w:rsidR="001C59CF">
        <w:rPr>
          <w:rFonts w:eastAsia="Arial" w:cs="Arial"/>
          <w:color w:val="000000" w:themeColor="text1"/>
        </w:rPr>
        <w:t>ing</w:t>
      </w:r>
      <w:r w:rsidR="3DEA2A3F" w:rsidRPr="7049312C">
        <w:rPr>
          <w:rFonts w:eastAsia="Arial" w:cs="Arial"/>
          <w:color w:val="000000" w:themeColor="text1"/>
        </w:rPr>
        <w:t xml:space="preserve"> mechanistic models of how </w:t>
      </w:r>
      <w:r w:rsidR="00B57711">
        <w:rPr>
          <w:rFonts w:eastAsia="Arial" w:cs="Arial"/>
          <w:color w:val="000000" w:themeColor="text1"/>
        </w:rPr>
        <w:t xml:space="preserve">sex steroid </w:t>
      </w:r>
      <w:r w:rsidR="3DEA2A3F" w:rsidRPr="7049312C">
        <w:rPr>
          <w:rFonts w:eastAsia="Arial" w:cs="Arial"/>
          <w:color w:val="000000" w:themeColor="text1"/>
        </w:rPr>
        <w:t xml:space="preserve">hormones impact </w:t>
      </w:r>
      <w:r w:rsidR="0B3D7D0D" w:rsidRPr="7049312C">
        <w:rPr>
          <w:rFonts w:eastAsia="Arial" w:cs="Arial"/>
          <w:color w:val="000000" w:themeColor="text1"/>
        </w:rPr>
        <w:t xml:space="preserve">health and disease trajectories, and </w:t>
      </w:r>
      <w:r w:rsidR="00CE1EB5">
        <w:rPr>
          <w:rFonts w:eastAsia="Arial" w:cs="Arial"/>
          <w:color w:val="000000" w:themeColor="text1"/>
        </w:rPr>
        <w:t>therefore</w:t>
      </w:r>
      <w:r w:rsidR="00CE1EB5" w:rsidRPr="7049312C">
        <w:rPr>
          <w:rFonts w:eastAsia="Arial" w:cs="Arial"/>
          <w:color w:val="000000" w:themeColor="text1"/>
        </w:rPr>
        <w:t xml:space="preserve"> </w:t>
      </w:r>
      <w:r w:rsidR="0B3D7D0D" w:rsidRPr="7049312C">
        <w:rPr>
          <w:rFonts w:eastAsia="Arial" w:cs="Arial"/>
          <w:color w:val="000000" w:themeColor="text1"/>
        </w:rPr>
        <w:t xml:space="preserve">essential for successful precision medicine interventions for both males and females </w:t>
      </w:r>
      <w:r w:rsidRPr="7049312C">
        <w:rPr>
          <w:rFonts w:eastAsia="Arial" w:cs="Arial"/>
          <w:color w:val="000000" w:themeColor="text1"/>
        </w:rPr>
        <w:fldChar w:fldCharType="begin"/>
      </w:r>
      <w:r w:rsidR="00F969BA">
        <w:rPr>
          <w:rFonts w:eastAsia="Arial" w:cs="Arial"/>
          <w:color w:val="000000" w:themeColor="text1"/>
        </w:rPr>
        <w:instrText xml:space="preserve"> ADDIN ZOTERO_ITEM CSL_CITATION {"citationID":"Ann3KIuS","properties":{"formattedCitation":"(Barth et al., 2023)","plainCitation":"(Barth et al., 2023)","noteIndex":0},"citationItems":[{"id":7619,"uris":["http://zotero.org/users/11330488/items/QTD6HLZS"],"itemData":{"id":7619,"type":"article-journal","container-title":"The Lancet Diabetes &amp; Endocrinology","DOI":"10.1016/S2213-8587(23)00224-3","ISSN":"2213-8587, 2213-8595","issue":"12","journalAbbreviation":"The Lancet Diabetes &amp; Endocrinology","language":"English","note":"publisher: Elsevier\nPMID: 37865102","page":"926-941","source":"www.thelancet.com","title":"Sex steroids and the female brain across the lifespan: insights into risk of depression and Alzheimer's disease","title-short":"Sex steroids and the female brain across the lifespan","volume":"11","author":[{"family":"Barth","given":"Claudia"},{"family":"Crestol","given":"Arielle"},{"family":"Lange","given":"Ann-Marie G.","dropping-particle":"de"},{"family":"Galea","given":"Liisa A. M."}],"issued":{"date-parts":[["2023",12,1]]}}}],"schema":"https://github.com/citation-style-language/schema/raw/master/csl-citation.json"} </w:instrText>
      </w:r>
      <w:r w:rsidRPr="7049312C">
        <w:rPr>
          <w:rFonts w:eastAsia="Arial" w:cs="Arial"/>
          <w:color w:val="000000" w:themeColor="text1"/>
        </w:rPr>
        <w:fldChar w:fldCharType="separate"/>
      </w:r>
      <w:r w:rsidR="00F969BA" w:rsidRPr="00F969BA">
        <w:rPr>
          <w:rFonts w:cs="Arial"/>
        </w:rPr>
        <w:t>(Barth et al., 2023)</w:t>
      </w:r>
      <w:r w:rsidRPr="7049312C">
        <w:rPr>
          <w:rFonts w:eastAsia="Arial" w:cs="Arial"/>
          <w:color w:val="000000" w:themeColor="text1"/>
        </w:rPr>
        <w:fldChar w:fldCharType="end"/>
      </w:r>
      <w:r w:rsidR="00F130F3" w:rsidRPr="7049312C">
        <w:rPr>
          <w:rFonts w:eastAsia="Arial" w:cs="Arial"/>
          <w:color w:val="000000" w:themeColor="text1"/>
        </w:rPr>
        <w:t xml:space="preserve">. </w:t>
      </w:r>
    </w:p>
    <w:p w14:paraId="76EFF491" w14:textId="0DF66EA2" w:rsidR="00DC6584" w:rsidRDefault="62A0425E" w:rsidP="00DC6584">
      <w:pPr>
        <w:spacing w:before="120" w:after="120"/>
        <w:rPr>
          <w:rFonts w:eastAsia="Arial" w:cs="Arial"/>
          <w:color w:val="000000" w:themeColor="text1"/>
        </w:rPr>
      </w:pPr>
      <w:r w:rsidRPr="62A0425E">
        <w:rPr>
          <w:rFonts w:eastAsia="Arial" w:cs="Arial"/>
          <w:color w:val="000000" w:themeColor="text1"/>
        </w:rPr>
        <w:t xml:space="preserve">Although sex differences in circadian physiology and non-visual effects of light have been reported </w:t>
      </w:r>
      <w:r w:rsidR="00530170" w:rsidRPr="62A0425E">
        <w:rPr>
          <w:rFonts w:eastAsia="Arial" w:cs="Arial"/>
          <w:color w:val="000000" w:themeColor="text1"/>
        </w:rPr>
        <w:fldChar w:fldCharType="begin"/>
      </w:r>
      <w:r w:rsidR="0092047F">
        <w:rPr>
          <w:rFonts w:eastAsia="Arial" w:cs="Arial"/>
          <w:color w:val="000000" w:themeColor="text1"/>
        </w:rPr>
        <w:instrText xml:space="preserve"> ADDIN ZOTERO_ITEM CSL_CITATION {"citationID":"EcG5T0ni","properties":{"formattedCitation":"(Guidolin &amp; Spitschan, 2024; Spitschan et al., 2022)","plainCitation":"(Guidolin &amp; Spitschan, 2024; Spitschan et al., 2022)","dontUpdate":true,"noteIndex":0},"citationItems":[{"id":8817,"uris":["http://zotero.org/users/11330488/items/E7QJNSLE"],"itemData":{"id":8817,"type":"webpage","abstract":"[Scope]\nThis is a comparison of published research studies (n=12) investigating sex and hormone-related differences in non-visual effects of light. Specifically, research studies investigating the following classes of non-visual effects of light were included: \n1. Neuroendocrine (melatonin suppression) \n2. Circadian (phase shift) \n3. Pupillary (pupillary light reflex) \n4. Cognitive (vigilant attention and alertness). \n\n[Identification of articles]\nArticles were identified through systematic searches on Google Scholar, PubMed and Web of Science. The search words included: “sex differences in non-visual effects”, “menstrual influences in non-visual effects”, and “hormone-related differences in non-visual effects”.  \n\n[Data extraction scheme]\nThe comparison is based on properties inspired by the ENLIGHT Checklist for reporting light characteristics in studies investigating non-visual effects of light (see Spitschan et al., 2023 in Data sources). Where possible, properties matching the ENLIGHT Checklist categories were used and additional properties were added to capture key information and facilitate comparisons. Overall, the following data extraction scheme was used: \n1. Comparison descriptors (n=8), i.e. core properties enabling a meaningful comparison between studies (research question, non-visual effect investigated, original study where data was collected, prospective/retrospective analysis, outcome measures: assessment, outcome measures: derived metrics, data processing/analysis notes, results) \n2. Participant-level characteristics (n=6; plc01: sample size and age, plc02: ocular health and functioning, plc03: pupil size and/or dilation, plc04: reproductive health, plc05: menstrual phase coding, plc06: distinction between sex and gender) \n3. Context-level characteristics (n=2; clc01: season of data collection and clc02: geographical location) \n4. Study-level characteristics (n=6; slc01: general study design, slc02: timeline of the experiment (total), slc03: pre-laboratory sleep-wake behaviour, slc04: start point of in-laboratory protocol, slc05: in-laboratory experimental protocol, slc06: additional visual graphic) \n5. Light-exposure level characteristics (n=9; lec01: light exposure conditions, lec02: light source type, lec03: light source location, lec04: manufacturer of light source, lec05: light level characteristics, lec06: viewing distance to stimulus, lec07: instructions for gaze during exposure, lec08: measurement details for illuminance, lec09: manufacturer of measuring instrument).\n\n[Notes on included studies]\nAmong the 12 studies included, the two studies from Parry et al. (1997) represent the same paper. However, since the paper comprises two different research studies, each related to a different non-visual effect of light, this single paper was entered as two separate contributions to facilitate the readability of the comparison.","language":"en","title":"Sex-related and hormone-related differences in non-visual responses to light exposure - Comparison - ORKG","URL":"https://orkg.org/comparison/R733094","author":[{"family":"Guidolin","given":"Carolina"},{"family":"Spitschan","given":"Manuel"}],"accessed":{"date-parts":[["2025",2,14]]},"issued":{"date-parts":[["2024"]]}}},{"id":7179,"uris":["http://zotero.org/users/11330488/items/CA9ST79Z"],"itemData":{"id":7179,"type":"article-journal","abstract":"Growing evidence shows that sex differences impact many facets of human biology. Here we review and discuss the impact of sex on human circadian and sleep physiology, and we uncover a data gap in the field investigating the non-visual effects of light in humans. A virtual workshop on the biomedical implications of sex differences in sleep and circadian physiology led to the following imperatives for future research: i) design research to be inclusive and accessible; ii) implement recruitment strategies that lead to a sex-balanced sample; iii) use data visualization to grasp the effect of sex; iv) implement statistical analyses that include sex as a factor and/or perform group analyses by sex, where possible; v) make participant-level data open and available to facilitate future meta-analytic efforts.","container-title":"eLife","DOI":"10.7554/eLife.65419","ISSN":"2050-084X","note":"publisher: eLife Sciences Publications, Ltd","page":"e65419","source":"eLife","title":"Sex differences and sex bias in human circadian and sleep physiology research","volume":"11","author":[{"family":"Spitschan","given":"Manuel"},{"family":"Santhi","given":"Nayantara"},{"family":"Ahluwalia","given":"Amrita"},{"family":"Fischer","given":"Dorothee"},{"family":"Hunt","given":"Lilian"},{"family":"Karp","given":"Natasha A"},{"family":"Lévi","given":"Francis"},{"family":"Pineda-Torra","given":"Inés"},{"family":"Vidafar","given":"Parisa"},{"family":"White","given":"Rhiannon"}],"editor":[{"family":"Loissel","given":"Elsa"},{"family":"Rodgers","given":"Peter"}],"issued":{"date-parts":[["2022",2,18]]}}}],"schema":"https://github.com/citation-style-language/schema/raw/master/csl-citation.json"} </w:instrText>
      </w:r>
      <w:r w:rsidR="00530170" w:rsidRPr="62A0425E">
        <w:rPr>
          <w:rFonts w:eastAsia="Arial" w:cs="Arial"/>
          <w:color w:val="000000" w:themeColor="text1"/>
        </w:rPr>
        <w:fldChar w:fldCharType="separate"/>
      </w:r>
      <w:r w:rsidRPr="62A0425E">
        <w:rPr>
          <w:rFonts w:cs="Arial"/>
        </w:rPr>
        <w:t>(Spitschan et al., 2022)</w:t>
      </w:r>
      <w:r w:rsidR="00530170" w:rsidRPr="62A0425E">
        <w:rPr>
          <w:rFonts w:eastAsia="Arial" w:cs="Arial"/>
          <w:color w:val="000000" w:themeColor="text1"/>
        </w:rPr>
        <w:fldChar w:fldCharType="end"/>
      </w:r>
      <w:r w:rsidRPr="62A0425E">
        <w:rPr>
          <w:rFonts w:eastAsia="Arial" w:cs="Arial"/>
          <w:color w:val="000000" w:themeColor="text1"/>
        </w:rPr>
        <w:t xml:space="preserve">, the role of sex steroid hormones in explaining these differences is unexplored. In our survey of the literature encompassing 11 published articles and one pre-printed article </w:t>
      </w:r>
      <w:r w:rsidR="00530170" w:rsidRPr="62A0425E">
        <w:rPr>
          <w:rFonts w:eastAsia="Arial" w:cs="Arial"/>
          <w:color w:val="000000" w:themeColor="text1"/>
        </w:rPr>
        <w:fldChar w:fldCharType="begin"/>
      </w:r>
      <w:r w:rsidR="0092047F">
        <w:rPr>
          <w:rFonts w:eastAsia="Arial" w:cs="Arial"/>
          <w:color w:val="000000" w:themeColor="text1"/>
        </w:rPr>
        <w:instrText xml:space="preserve"> ADDIN ZOTERO_ITEM CSL_CITATION {"citationID":"15OhoEyj","properties":{"formattedCitation":"(Guidolin &amp; Spitschan, 2024)","plainCitation":"(Guidolin &amp; Spitschan, 2024)","dontUpdate":true,"noteIndex":0},"citationItems":[{"id":8817,"uris":["http://zotero.org/users/11330488/items/E7QJNSLE"],"itemData":{"id":8817,"type":"webpage","abstract":"[Scope]\nThis is a comparison of published research studies (n=12) investigating sex and hormone-related differences in non-visual effects of light. Specifically, research studies investigating the following classes of non-visual effects of light were included: \n1. Neuroendocrine (melatonin suppression) \n2. Circadian (phase shift) \n3. Pupillary (pupillary light reflex) \n4. Cognitive (vigilant attention and alertness). \n\n[Identification of articles]\nArticles were identified through systematic searches on Google Scholar, PubMed and Web of Science. The search words included: “sex differences in non-visual effects”, “menstrual influences in non-visual effects”, and “hormone-related differences in non-visual effects”.  \n\n[Data extraction scheme]\nThe comparison is based on properties inspired by the ENLIGHT Checklist for reporting light characteristics in studies investigating non-visual effects of light (see Spitschan et al., 2023 in Data sources). Where possible, properties matching the ENLIGHT Checklist categories were used and additional properties were added to capture key information and facilitate comparisons. Overall, the following data extraction scheme was used: \n1. Comparison descriptors (n=8), i.e. core properties enabling a meaningful comparison between studies (research question, non-visual effect investigated, original study where data was collected, prospective/retrospective analysis, outcome measures: assessment, outcome measures: derived metrics, data processing/analysis notes, results) \n2. Participant-level characteristics (n=6; plc01: sample size and age, plc02: ocular health and functioning, plc03: pupil size and/or dilation, plc04: reproductive health, plc05: menstrual phase coding, plc06: distinction between sex and gender) \n3. Context-level characteristics (n=2; clc01: season of data collection and clc02: geographical location) \n4. Study-level characteristics (n=6; slc01: general study design, slc02: timeline of the experiment (total), slc03: pre-laboratory sleep-wake behaviour, slc04: start point of in-laboratory protocol, slc05: in-laboratory experimental protocol, slc06: additional visual graphic) \n5. Light-exposure level characteristics (n=9; lec01: light exposure conditions, lec02: light source type, lec03: light source location, lec04: manufacturer of light source, lec05: light level characteristics, lec06: viewing distance to stimulus, lec07: instructions for gaze during exposure, lec08: measurement details for illuminance, lec09: manufacturer of measuring instrument).\n\n[Notes on included studies]\nAmong the 12 studies included, the two studies from Parry et al. (1997) represent the same paper. However, since the paper comprises two different research studies, each related to a different non-visual effect of light, this single paper was entered as two separate contributions to facilitate the readability of the comparison.","language":"en","title":"Sex-related and hormone-related differences in non-visual responses to light exposure - Comparison - ORKG","URL":"https://orkg.org/comparison/R733094","author":[{"family":"Guidolin","given":"Carolina"},{"family":"Spitschan","given":"Manuel"}],"accessed":{"date-parts":[["2025",2,14]]},"issued":{"date-parts":[["2024"]]}}}],"schema":"https://github.com/citation-style-language/schema/raw/master/csl-citation.json"} </w:instrText>
      </w:r>
      <w:r w:rsidR="00530170" w:rsidRPr="62A0425E">
        <w:rPr>
          <w:rFonts w:eastAsia="Arial" w:cs="Arial"/>
          <w:color w:val="000000" w:themeColor="text1"/>
        </w:rPr>
        <w:fldChar w:fldCharType="separate"/>
      </w:r>
      <w:r w:rsidRPr="62A0425E">
        <w:rPr>
          <w:rFonts w:cs="Arial"/>
        </w:rPr>
        <w:t xml:space="preserve">(Guidolin &amp; Spitschan, 2024; </w:t>
      </w:r>
      <w:r w:rsidRPr="62A0425E">
        <w:rPr>
          <w:rFonts w:cs="Arial"/>
          <w:i/>
          <w:iCs/>
        </w:rPr>
        <w:t>Supplementary materials</w:t>
      </w:r>
      <w:r w:rsidRPr="62A0425E">
        <w:rPr>
          <w:rFonts w:cs="Arial"/>
        </w:rPr>
        <w:t>)</w:t>
      </w:r>
      <w:r w:rsidR="00530170" w:rsidRPr="62A0425E">
        <w:rPr>
          <w:rFonts w:eastAsia="Arial" w:cs="Arial"/>
          <w:color w:val="000000" w:themeColor="text1"/>
        </w:rPr>
        <w:fldChar w:fldCharType="end"/>
      </w:r>
      <w:r w:rsidRPr="62A0425E">
        <w:rPr>
          <w:rFonts w:eastAsia="Arial" w:cs="Arial"/>
          <w:color w:val="000000" w:themeColor="text1"/>
        </w:rPr>
        <w:t>, we found that in many studies (n=5)</w:t>
      </w:r>
      <w:r w:rsidR="007715FF">
        <w:rPr>
          <w:rFonts w:eastAsia="Arial" w:cs="Arial"/>
          <w:color w:val="000000" w:themeColor="text1"/>
        </w:rPr>
        <w:t>,</w:t>
      </w:r>
      <w:r w:rsidRPr="62A0425E">
        <w:rPr>
          <w:rFonts w:eastAsia="Arial" w:cs="Arial"/>
          <w:color w:val="000000" w:themeColor="text1"/>
        </w:rPr>
        <w:t xml:space="preserve"> participants’ reproductive status was undocumented, and the menstrual or pill cycle phases were not accounted for. Furthermore, for participants using oral contraceptives, a lack of details on the specific pill formulation hinders investigations into the influence of exogenous hormones on non-visual effects of light of interest. To our knowledge, only very few studies have examined the effect of menstrual cycle phase on melatonin suppression. </w:t>
      </w:r>
      <w:r w:rsidRPr="62A0425E">
        <w:rPr>
          <w:rFonts w:eastAsia="Arial" w:cs="Arial"/>
        </w:rPr>
        <w:t xml:space="preserve">An earlier within-subjects study by Nathan and colleagues </w:t>
      </w:r>
      <w:r w:rsidR="00530170" w:rsidRPr="62A0425E">
        <w:rPr>
          <w:rFonts w:eastAsia="Arial" w:cs="Arial"/>
        </w:rPr>
        <w:fldChar w:fldCharType="begin"/>
      </w:r>
      <w:r w:rsidR="0092047F">
        <w:rPr>
          <w:rFonts w:eastAsia="Arial" w:cs="Arial"/>
        </w:rPr>
        <w:instrText xml:space="preserve"> ADDIN ZOTERO_ITEM CSL_CITATION {"citationID":"l3yqiTqV","properties":{"formattedCitation":"(J. Nathan et al., 1999)","plainCitation":"(J. Nathan et al., 1999)","dontUpdate":true,"noteIndex":0},"citationItems":[{"id":6586,"uris":["http://zotero.org/users/11330488/items/M3TG4ACK"],"itemData":{"id":6586,"type":"article-journal","abstract":"Patients with bipolar disorder have been shown to have a supersensitive melatonin suppression to dim white light (200 and 500 lux) compared to normal healthy subjects. Previous studies suggest menstrual cycle dependant changes in the melatonin rhythm, but it is not known if the melatonin sensitivity to light changes during the menstrual cycle. The present study investigated the melatonin suppression to dim white light (200 lux) in different stages of the menstrual cycle. No significant differences in the percent suppression of melatonin were found across the stages of the menstrual cycle (p=.97). Our findings suggest that the menstrual cycle hormonal changes do not affect the melatonin sensitivity to dim light in healthy controls.","container-title":"Psychoneuroendocrinology","DOI":"10.1016/S0306-4530(98)00075-4","ISSN":"0306-4530","issue":"2","journalAbbreviation":"Psychoneuroendocrinology","page":"193-200","source":"ScienceDirect","title":"Effect of the menstrual cycle stage on the melatonin suppression by dim white light","volume":"24","author":[{"family":"J. Nathan","given":"Pradeep"},{"family":"R. Norman","given":"Trevor"},{"family":"D. Burrows","given":"Graham"}],"issued":{"date-parts":[["1999",2,1]]}}}],"schema":"https://github.com/citation-style-language/schema/raw/master/csl-citation.json"} </w:instrText>
      </w:r>
      <w:r w:rsidR="00530170" w:rsidRPr="62A0425E">
        <w:rPr>
          <w:rFonts w:eastAsia="Arial" w:cs="Arial"/>
        </w:rPr>
        <w:fldChar w:fldCharType="separate"/>
      </w:r>
      <w:r w:rsidRPr="62A0425E">
        <w:rPr>
          <w:rFonts w:cs="Arial"/>
        </w:rPr>
        <w:t>(1999)</w:t>
      </w:r>
      <w:r w:rsidR="00530170" w:rsidRPr="62A0425E">
        <w:rPr>
          <w:rFonts w:eastAsia="Arial" w:cs="Arial"/>
        </w:rPr>
        <w:fldChar w:fldCharType="end"/>
      </w:r>
      <w:r w:rsidRPr="62A0425E">
        <w:rPr>
          <w:rFonts w:eastAsia="Arial" w:cs="Arial"/>
        </w:rPr>
        <w:t xml:space="preserve"> examined melatonin suppression across three menstrual cycle phases confirmed by menstrual onset and blood progesterone levels (follicular, luteal, and menstrual phases). While they found no significant effect, their small sample size (N=6) limited the study’s power to detect an effect. Furthermore, despite including three menstrual phases, their phase classification approach was suboptimal, as no ovulation testing was performed, which is key to characterise hormonal fluctuations across the menstrual cycle </w:t>
      </w:r>
      <w:r w:rsidR="00530170" w:rsidRPr="62A0425E">
        <w:rPr>
          <w:rFonts w:eastAsia="Arial" w:cs="Arial"/>
        </w:rPr>
        <w:fldChar w:fldCharType="begin"/>
      </w:r>
      <w:r w:rsidR="00DA4730">
        <w:rPr>
          <w:rFonts w:eastAsia="Arial" w:cs="Arial"/>
        </w:rPr>
        <w:instrText xml:space="preserve"> ADDIN ZOTERO_ITEM CSL_CITATION {"citationID":"LI8THd9H","properties":{"formattedCitation":"(Schmalenberger et al., 2021a)","plainCitation":"(Schmalenberger et al., 2021a)","dontUpdate":true,"noteIndex":0},"citationItems":[{"id":209,"uris":["http://zotero.org/users/11330488/items/Z332NN8H"],"itemData":{"id":209,"type":"article-journal","abstract":"Despite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and sampling strategy, managing demand characteristics, identifying a sample of naturally-cycling individuals, and measuring menstrual bleeding dates, ovarian hormones, and ovulation. We proceed with suggestions for (4) data preparation and coding of cycle day and phases, as well as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replicable.","container-title":"Psychoneuroendocrinology","DOI":"10.1016/j.psyneuen.2020.104895","ISSN":"0306-4530","journalAbbreviation":"Psychoneuroendocrinology","page":"104895","source":"ScienceDirect","title":"How to study the menstrual cycle: Practical tools and recommendations","title-short":"How to study the menstrual cycle","volume":"123","author":[{"family":"Schmalenberger","given":"Katja M."},{"family":"Tauseef","given":"Hafsah A."},{"family":"Barone","given":"Jordan C."},{"family":"Owens","given":"Sarah A."},{"family":"Lieberman","given":"Lynne"},{"family":"Jarczok","given":"Marc N."},{"family":"Girdler","given":"Susan S."},{"family":"Kiesner","given":"Jeff"},{"family":"Ditzen","given":"Beate"},{"family":"Eisenlohr-Moul","given":"Tory A."}],"issued":{"date-parts":[["2021",1,1]]}}}],"schema":"https://github.com/citation-style-language/schema/raw/master/csl-citation.json"} </w:instrText>
      </w:r>
      <w:r w:rsidR="00530170" w:rsidRPr="62A0425E">
        <w:rPr>
          <w:rFonts w:eastAsia="Arial" w:cs="Arial"/>
        </w:rPr>
        <w:fldChar w:fldCharType="separate"/>
      </w:r>
      <w:r w:rsidR="00DA4730" w:rsidRPr="00DA4730">
        <w:rPr>
          <w:rFonts w:cs="Arial"/>
        </w:rPr>
        <w:t>(Schmalenberger et al., 2021)</w:t>
      </w:r>
      <w:r w:rsidR="00530170" w:rsidRPr="62A0425E">
        <w:rPr>
          <w:rFonts w:eastAsia="Arial" w:cs="Arial"/>
        </w:rPr>
        <w:fldChar w:fldCharType="end"/>
      </w:r>
      <w:r w:rsidRPr="62A0425E">
        <w:rPr>
          <w:rFonts w:eastAsia="Arial" w:cs="Arial"/>
        </w:rPr>
        <w:t xml:space="preserve">. More recently, </w:t>
      </w:r>
      <w:proofErr w:type="spellStart"/>
      <w:r w:rsidRPr="62A0425E">
        <w:rPr>
          <w:rFonts w:eastAsia="Arial" w:cs="Arial"/>
          <w:color w:val="000000" w:themeColor="text1"/>
        </w:rPr>
        <w:t>Vidafar</w:t>
      </w:r>
      <w:proofErr w:type="spellEnd"/>
      <w:r w:rsidRPr="62A0425E">
        <w:rPr>
          <w:rFonts w:eastAsia="Arial" w:cs="Arial"/>
          <w:color w:val="000000" w:themeColor="text1"/>
        </w:rPr>
        <w:t xml:space="preserve"> and colleagues </w:t>
      </w:r>
      <w:r w:rsidR="00530170" w:rsidRPr="62A0425E">
        <w:rPr>
          <w:rFonts w:eastAsia="Arial" w:cs="Arial"/>
          <w:color w:val="000000" w:themeColor="text1"/>
        </w:rPr>
        <w:fldChar w:fldCharType="begin"/>
      </w:r>
      <w:r w:rsidR="0092047F">
        <w:rPr>
          <w:rFonts w:eastAsia="Arial" w:cs="Arial"/>
          <w:color w:val="000000" w:themeColor="text1"/>
        </w:rPr>
        <w:instrText xml:space="preserve"> ADDIN ZOTERO_ITEM CSL_CITATION {"citationID":"KKp64p7b","properties":{"formattedCitation":"(Vidafar et al., 2024)","plainCitation":"(Vidafar et al., 2024)","dontUpdate":true,"noteIndex":0},"citationItems":[{"id":206,"uris":["http://zotero.org/users/11330488/items/FCUXY4B2"],"itemData":{"id":206,"type":"article-journal","abstract":"Women typically sleep and wake earlier than men and have been shown to have earlier circadian timing relative to the light/dark cycle that synchronizes the clock. A potential mechanism for earlier timing in women is an altered response of the circadian system to evening light. We characterized individual-level dose–response curves for light-induced melatonin suppression using a within-subjects protocol. Fifty-six participants (29 women, 27 men; aged 18–30 years) were exposed to a range of light illuminances (10, 30, 50, 100, 200, 400, and 2000 lux) using melatonin suppression relative to a dim control (&lt;1 lux) as a marker of light sensitivity. Women were free from hormonal contraception. To examine the potential influence of sex hormones, estradiol and progesterone was examined in women and testosterone was examined in a subset of men. Menstrual phase was monitored using self-reports and estradiol and progesterone levels. Women exhibited significantly greater melatonin suppression than men under the 400-lux and 2000-lux conditions, but not under lower light conditions (10–200 lux). Light sensitivity did not differ by menstrual phase, nor was it associated with levels of estradiol, progesterone, or testosterone, suggesting the sex differences in light sensitivity were not acutely driven by circulating levels of sex hormones. These results suggest that sex differences in circadian timing are not due to differences in the response to dim/moderate light exposures typically experienced in the evening. The finding of increased bright light sensitivity in women suggests that sex differences in circadian timing could plausibly instead be driven by a greater sensitivity to phase-advancing effects of bright morning light.","container-title":"Journal of Pineal Research","DOI":"10.1111/jpi.12936","ISSN":"1600-079X","issue":"2","language":"en","license":"© 2024 The Authors. Journal of Pineal Research published by John Wiley &amp; Sons Ltd.","note":"_eprint: https://onlinelibrary.wiley.com/doi/pdf/10.1111/jpi.12936","page":"e12936","source":"Wiley Online Library","title":"Greater sensitivity of the circadian system of women to bright light, but not dim-to-moderate light","volume":"76","author":[{"family":"Vidafar","given":"Parisa"},{"family":"McGlashan","given":"Elise M."},{"family":"Burns","given":"Angus C."},{"family":"Anderson","given":"Clare"},{"family":"Shechter","given":"Ari"},{"family":"Lockley","given":"Steven W."},{"family":"Phillips","given":"Andrew J. K."},{"family":"Cain","given":"Sean W."}],"issued":{"date-parts":[["2024"]]}}}],"schema":"https://github.com/citation-style-language/schema/raw/master/csl-citation.json"} </w:instrText>
      </w:r>
      <w:r w:rsidR="00530170" w:rsidRPr="62A0425E">
        <w:rPr>
          <w:rFonts w:eastAsia="Arial" w:cs="Arial"/>
          <w:color w:val="000000" w:themeColor="text1"/>
        </w:rPr>
        <w:fldChar w:fldCharType="separate"/>
      </w:r>
      <w:r w:rsidRPr="62A0425E">
        <w:rPr>
          <w:rFonts w:cs="Arial"/>
        </w:rPr>
        <w:t>(2024)</w:t>
      </w:r>
      <w:r w:rsidR="00530170" w:rsidRPr="62A0425E">
        <w:rPr>
          <w:rFonts w:eastAsia="Arial" w:cs="Arial"/>
          <w:color w:val="000000" w:themeColor="text1"/>
        </w:rPr>
        <w:fldChar w:fldCharType="end"/>
      </w:r>
      <w:r w:rsidRPr="62A0425E">
        <w:rPr>
          <w:rFonts w:eastAsia="Arial" w:cs="Arial"/>
          <w:color w:val="000000" w:themeColor="text1"/>
        </w:rPr>
        <w:t xml:space="preserve"> could not detect differences </w:t>
      </w:r>
      <w:r w:rsidRPr="62A0425E">
        <w:rPr>
          <w:rFonts w:eastAsia="Arial" w:cs="Arial"/>
        </w:rPr>
        <w:t xml:space="preserve">in melatonin suppression between the follicular and luteal phase across various illuminance levels (10 lux, 30 lux, 50 lux, 100 lux, 200 lux, 400 lux and 2000 lux at eye level). The number of participants in each phase differed for each light level (follicular phase </w:t>
      </w:r>
      <w:proofErr w:type="spellStart"/>
      <w:r w:rsidRPr="62A0425E">
        <w:rPr>
          <w:rFonts w:eastAsia="Arial" w:cs="Arial"/>
        </w:rPr>
        <w:t>n</w:t>
      </w:r>
      <w:r w:rsidRPr="62A0425E">
        <w:rPr>
          <w:rFonts w:eastAsia="Arial" w:cs="Arial"/>
          <w:vertAlign w:val="subscript"/>
        </w:rPr>
        <w:t>min</w:t>
      </w:r>
      <w:proofErr w:type="spellEnd"/>
      <w:r w:rsidRPr="62A0425E">
        <w:rPr>
          <w:rFonts w:eastAsia="Arial" w:cs="Arial"/>
          <w:color w:val="000000" w:themeColor="text1"/>
        </w:rPr>
        <w:t xml:space="preserve">=4, </w:t>
      </w:r>
      <w:proofErr w:type="spellStart"/>
      <w:r w:rsidRPr="62A0425E">
        <w:rPr>
          <w:rFonts w:eastAsia="Arial" w:cs="Arial"/>
          <w:color w:val="000000" w:themeColor="text1"/>
        </w:rPr>
        <w:t>n</w:t>
      </w:r>
      <w:r w:rsidRPr="62A0425E">
        <w:rPr>
          <w:rFonts w:eastAsia="Arial" w:cs="Arial"/>
          <w:color w:val="000000" w:themeColor="text1"/>
          <w:vertAlign w:val="subscript"/>
        </w:rPr>
        <w:t>max</w:t>
      </w:r>
      <w:proofErr w:type="spellEnd"/>
      <w:r w:rsidRPr="62A0425E">
        <w:rPr>
          <w:rFonts w:eastAsia="Arial" w:cs="Arial"/>
          <w:color w:val="000000" w:themeColor="text1"/>
        </w:rPr>
        <w:t xml:space="preserve">=16; luteal phase </w:t>
      </w:r>
      <w:proofErr w:type="spellStart"/>
      <w:r w:rsidRPr="62A0425E">
        <w:rPr>
          <w:rFonts w:eastAsia="Arial" w:cs="Arial"/>
          <w:color w:val="000000" w:themeColor="text1"/>
        </w:rPr>
        <w:t>n</w:t>
      </w:r>
      <w:r w:rsidRPr="62A0425E">
        <w:rPr>
          <w:rFonts w:eastAsia="Arial" w:cs="Arial"/>
          <w:color w:val="000000" w:themeColor="text1"/>
          <w:vertAlign w:val="subscript"/>
        </w:rPr>
        <w:t>min</w:t>
      </w:r>
      <w:proofErr w:type="spellEnd"/>
      <w:r w:rsidRPr="62A0425E">
        <w:rPr>
          <w:rFonts w:eastAsia="Arial" w:cs="Arial"/>
          <w:color w:val="000000" w:themeColor="text1"/>
        </w:rPr>
        <w:t xml:space="preserve">=6, </w:t>
      </w:r>
      <w:proofErr w:type="spellStart"/>
      <w:r w:rsidRPr="62A0425E">
        <w:rPr>
          <w:rFonts w:eastAsia="Arial" w:cs="Arial"/>
          <w:color w:val="000000" w:themeColor="text1"/>
        </w:rPr>
        <w:t>n</w:t>
      </w:r>
      <w:r w:rsidRPr="62A0425E">
        <w:rPr>
          <w:rFonts w:eastAsia="Arial" w:cs="Arial"/>
          <w:color w:val="000000" w:themeColor="text1"/>
          <w:vertAlign w:val="subscript"/>
        </w:rPr>
        <w:t>max</w:t>
      </w:r>
      <w:proofErr w:type="spellEnd"/>
      <w:r w:rsidRPr="62A0425E">
        <w:rPr>
          <w:rFonts w:eastAsia="Arial" w:cs="Arial"/>
          <w:color w:val="000000" w:themeColor="text1"/>
        </w:rPr>
        <w:t xml:space="preserve">=18). </w:t>
      </w:r>
      <w:r w:rsidRPr="62A0425E">
        <w:rPr>
          <w:rFonts w:eastAsia="Arial" w:cs="Arial"/>
        </w:rPr>
        <w:t xml:space="preserve">The authors also reported no effects of salivary </w:t>
      </w:r>
      <w:proofErr w:type="spellStart"/>
      <w:r w:rsidRPr="62A0425E">
        <w:rPr>
          <w:rFonts w:eastAsia="Arial" w:cs="Arial"/>
        </w:rPr>
        <w:t>estradiol</w:t>
      </w:r>
      <w:proofErr w:type="spellEnd"/>
      <w:r w:rsidRPr="62A0425E">
        <w:rPr>
          <w:rFonts w:eastAsia="Arial" w:cs="Arial"/>
        </w:rPr>
        <w:t xml:space="preserve"> or progesterone on melatonin suppression in </w:t>
      </w:r>
      <w:r w:rsidRPr="62A0425E">
        <w:rPr>
          <w:rFonts w:eastAsia="Arial" w:cs="Arial"/>
        </w:rPr>
        <w:lastRenderedPageBreak/>
        <w:t>females, nor of testosterone in males</w:t>
      </w:r>
      <w:r w:rsidRPr="62A0425E">
        <w:rPr>
          <w:rFonts w:eastAsia="Arial" w:cs="Arial"/>
          <w:color w:val="000000" w:themeColor="text1"/>
        </w:rPr>
        <w:t xml:space="preserve">. Similarly, </w:t>
      </w:r>
      <w:proofErr w:type="spellStart"/>
      <w:r w:rsidRPr="62A0425E">
        <w:rPr>
          <w:rFonts w:eastAsia="Arial" w:cs="Arial"/>
          <w:color w:val="000000" w:themeColor="text1"/>
        </w:rPr>
        <w:t>Fazlali</w:t>
      </w:r>
      <w:proofErr w:type="spellEnd"/>
      <w:r w:rsidRPr="62A0425E">
        <w:rPr>
          <w:rFonts w:eastAsia="Arial" w:cs="Arial"/>
          <w:color w:val="000000" w:themeColor="text1"/>
        </w:rPr>
        <w:t xml:space="preserve"> and colleagues </w:t>
      </w:r>
      <w:r w:rsidR="00530170" w:rsidRPr="62A0425E">
        <w:rPr>
          <w:rFonts w:eastAsia="Arial" w:cs="Arial"/>
          <w:color w:val="000000" w:themeColor="text1"/>
        </w:rPr>
        <w:fldChar w:fldCharType="begin"/>
      </w:r>
      <w:r w:rsidR="0092047F">
        <w:rPr>
          <w:rFonts w:eastAsia="Arial" w:cs="Arial"/>
          <w:color w:val="000000" w:themeColor="text1"/>
        </w:rPr>
        <w:instrText xml:space="preserve"> ADDIN ZOTERO_ITEM CSL_CITATION {"citationID":"6a40O5oE","properties":{"formattedCitation":"(Fazlali et al., 2024)","plainCitation":"(Fazlali et al., 2024)","dontUpdate":true,"noteIndex":0},"citationItems":[{"id":7967,"uris":["http://zotero.org/users/11330488/items/Z6BMGI4A"],"itemData":{"id":7967,"type":"article","abstract":"Light influences human physiology and behaviour by regulating circadian rhythms, melatonin secretion, and alertness. Previous research has reported sex differences in melatonin secretion and circadian rhythms, possibly related to women's greater sensitivity to bright light. Other studies have suggested reduced photosensitivity and earlier circadian phases in summer than in winter in mid-latitude regions. This study explores the effects of sex, seasonality, and their combination on melatonin suppression and subjective sleepiness in response to moderate light exposure, considering prior light history and menstrual phases in females. We conducted a controlled, within-subject experiment with 48 healthy adults (18-35 years, 50% female) across different seasons. The study design included two 9-h laboratory sessions, with at least 5-day washout in between. Participants were exposed to dim and moderate light through a screen for 2 hours after their habitual bedtime. Female participants exhibited greater melatonin suppression (+4.69 %) but a lower alerting response (-6.00%) to moderate light compared to males. Both sexes demonstrated increased sensitivity to the NIF effects of light in winter, with stronger melatonin suppression (+18.05 %) and increased alertness (+7.60 %) compared to summer. While prior light history did not significantly impact melatonin suppression or alertness, it was associated with an earlier dim light melatonin onset (DLMO). Females during their luteal phase had earlier DLMO than those in their follicular phase. Our findings indicate an interaction between sex, seasonality, and light exposure in modulating melatonin suppression, emphasising the need for personalised light exposure recommendations according to individual biological and environmental contexts.","DOI":"10.1101/2024.10.18.619012","language":"en","license":"© 2024, Posted by Cold Spring Harbor Laboratory. This pre-print is available under a Creative Commons License (Attribution-NonCommercial-NoDerivs 4.0 International), CC BY-NC-ND 4.0, as described at http://creativecommons.org/licenses/by-nc-nd/4.0/","note":"page: 2024.10.18.619012\nsection: New Results","publisher":"bioRxiv","source":"bioRxiv","title":"Sex and seasonal variations in melatonin suppression, and alerting response to light","URL":"https://www.biorxiv.org/content/10.1101/2024.10.18.619012v1","author":[{"family":"Fazlali","given":"Fatemeh"},{"family":"Lazar","given":"Rafael Robert"},{"family":"Yahya","given":"Faady"},{"family":"Stefani","given":"Oliver"},{"family":"Spitschan","given":"Manuel"},{"family":"Cajochen","given":"Christian"}],"accessed":{"date-parts":[["2024",10,22]]},"issued":{"date-parts":[["2024",10,21]]}}}],"schema":"https://github.com/citation-style-language/schema/raw/master/csl-citation.json"} </w:instrText>
      </w:r>
      <w:r w:rsidR="00530170" w:rsidRPr="62A0425E">
        <w:rPr>
          <w:rFonts w:eastAsia="Arial" w:cs="Arial"/>
          <w:color w:val="000000" w:themeColor="text1"/>
        </w:rPr>
        <w:fldChar w:fldCharType="separate"/>
      </w:r>
      <w:r w:rsidRPr="62A0425E">
        <w:rPr>
          <w:rFonts w:cs="Arial"/>
        </w:rPr>
        <w:t>(2024)</w:t>
      </w:r>
      <w:r w:rsidR="00530170" w:rsidRPr="62A0425E">
        <w:rPr>
          <w:rFonts w:eastAsia="Arial" w:cs="Arial"/>
          <w:color w:val="000000" w:themeColor="text1"/>
        </w:rPr>
        <w:fldChar w:fldCharType="end"/>
      </w:r>
      <w:r w:rsidRPr="62A0425E">
        <w:rPr>
          <w:rFonts w:eastAsia="Arial" w:cs="Arial"/>
          <w:color w:val="000000" w:themeColor="text1"/>
        </w:rPr>
        <w:t xml:space="preserve"> observed no phase-related differences (follicular, n=11, versus luteal, n=13) in melatonin suppression under moderate light intensities (~150 lux </w:t>
      </w:r>
      <w:proofErr w:type="spellStart"/>
      <w:r w:rsidRPr="62A0425E">
        <w:rPr>
          <w:rFonts w:eastAsia="Arial" w:cs="Arial"/>
          <w:color w:val="000000" w:themeColor="text1"/>
        </w:rPr>
        <w:t>melanopic</w:t>
      </w:r>
      <w:proofErr w:type="spellEnd"/>
      <w:r w:rsidRPr="62A0425E">
        <w:rPr>
          <w:rFonts w:eastAsia="Arial" w:cs="Arial"/>
          <w:color w:val="000000" w:themeColor="text1"/>
        </w:rPr>
        <w:t xml:space="preserve"> EDI </w:t>
      </w:r>
      <w:r w:rsidRPr="62A0425E">
        <w:rPr>
          <w:rFonts w:eastAsia="Arial" w:cs="Arial"/>
        </w:rPr>
        <w:t>at eye level</w:t>
      </w:r>
      <w:r w:rsidRPr="62A0425E">
        <w:rPr>
          <w:rFonts w:eastAsia="Arial" w:cs="Arial"/>
          <w:color w:val="000000" w:themeColor="text1"/>
        </w:rPr>
        <w:t>). Crucially, both studies were exploratory analyses of previously collected data, where the primary research question was unrelated to sex or menstrual cycle influences on melatonin suppression.</w:t>
      </w:r>
    </w:p>
    <w:p w14:paraId="2884C7F1" w14:textId="730CABD4" w:rsidR="7B653949" w:rsidRPr="004B51B7" w:rsidRDefault="5CE66923" w:rsidP="00DC6584">
      <w:pPr>
        <w:spacing w:before="120" w:after="120"/>
        <w:rPr>
          <w:rFonts w:eastAsia="Arial" w:cs="Arial"/>
          <w:color w:val="000000" w:themeColor="text1"/>
        </w:rPr>
      </w:pPr>
      <w:r w:rsidRPr="5CE66923">
        <w:rPr>
          <w:rFonts w:eastAsia="Arial" w:cs="Arial"/>
        </w:rPr>
        <w:t>Specific methodological considerations must be incorporated starting in the study design phase to study how endogenous hormones across the menstrual cycle affect a physiological outcome of interest. It is recommended to treat the menstrual cycle as a within-person process, requiring a repeated-measures design covering at least one complete cycle</w:t>
      </w:r>
      <w:r w:rsidRPr="5CE66923">
        <w:rPr>
          <w:rFonts w:eastAsia="Arial" w:cs="Arial"/>
          <w:color w:val="000000" w:themeColor="text1"/>
        </w:rPr>
        <w:t xml:space="preserve"> </w:t>
      </w:r>
      <w:r w:rsidR="001C59CF" w:rsidRPr="5CE66923">
        <w:rPr>
          <w:rFonts w:eastAsia="Arial" w:cs="Arial"/>
          <w:color w:val="000000" w:themeColor="text1"/>
        </w:rPr>
        <w:fldChar w:fldCharType="begin"/>
      </w:r>
      <w:r w:rsidR="00DA4730">
        <w:rPr>
          <w:rFonts w:eastAsia="Arial" w:cs="Arial"/>
          <w:color w:val="000000" w:themeColor="text1"/>
        </w:rPr>
        <w:instrText xml:space="preserve"> ADDIN ZOTERO_ITEM CSL_CITATION {"citationID":"WnxA1Wxw","properties":{"formattedCitation":"(Schmalenberger et al., 2021a)","plainCitation":"(Schmalenberger et al., 2021a)","dontUpdate":true,"noteIndex":0},"citationItems":[{"id":"pFCzBSob/BCJzJhtF","uris":["http://zotero.org/users/11330488/items/4W4B7LVN"],"itemData":{"id":177,"type":"article-journal","abstract":"Despite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and sampling strategy, managing demand characteristics, identifying a sample of naturally-cycling individuals, and measuring menstrual bleeding dates, ovarian hormones, and ovulation. We proceed with suggestions for (4) data preparation and coding of cycle day and phases, as well as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replicable.","container-title":"Psychoneuroendocrinology","DOI":"10.1016/j.psyneuen.2020.104895","ISSN":"1873-3360","journalAbbreviation":"Psychoneuroendocrinology","language":"eng","note":"PMID: 33113391\nPMCID: PMC8363181","page":"104895","source":"PubMed","title":"How to study the menstrual cycle: Practical tools and recommendations","title-short":"How to study the menstrual cycle","volume":"123","author":[{"family":"Schmalenberger","given":"Katja M."},{"family":"Tauseef","given":"Hafsah A."},{"family":"Barone","given":"Jordan C."},{"family":"Owens","given":"Sarah A."},{"family":"Lieberman","given":"Lynne"},{"family":"Jarczok","given":"Marc N."},{"family":"Girdler","given":"Susan S."},{"family":"Kiesner","given":"Jeff"},{"family":"Ditzen","given":"Beate"},{"family":"Eisenlohr-Moul","given":"Tory A."}],"issued":{"date-parts":[["2021",1]]}}}],"schema":"https://github.com/citation-style-language/schema/raw/master/csl-citation.json"} </w:instrText>
      </w:r>
      <w:r w:rsidR="001C59CF" w:rsidRPr="5CE66923">
        <w:rPr>
          <w:rFonts w:eastAsia="Arial" w:cs="Arial"/>
          <w:color w:val="000000" w:themeColor="text1"/>
        </w:rPr>
        <w:fldChar w:fldCharType="separate"/>
      </w:r>
      <w:r w:rsidRPr="5CE66923">
        <w:rPr>
          <w:rFonts w:cs="Arial"/>
        </w:rPr>
        <w:t>(Schmalenberger et al., 2021)</w:t>
      </w:r>
      <w:r w:rsidR="001C59CF" w:rsidRPr="5CE66923">
        <w:rPr>
          <w:rFonts w:eastAsia="Arial" w:cs="Arial"/>
          <w:color w:val="000000" w:themeColor="text1"/>
        </w:rPr>
        <w:fldChar w:fldCharType="end"/>
      </w:r>
      <w:r w:rsidRPr="5CE66923">
        <w:rPr>
          <w:rFonts w:eastAsia="Arial" w:cs="Arial"/>
          <w:color w:val="000000" w:themeColor="text1"/>
        </w:rPr>
        <w:t xml:space="preserve">. Furthermore, categorising cycle phases into “follicular” and “luteal” is discouraged, as each of these phases encompasses multiple hormonal changes </w:t>
      </w:r>
      <w:r w:rsidR="001C59CF" w:rsidRPr="5CE66923">
        <w:rPr>
          <w:rFonts w:eastAsia="Arial" w:cs="Arial"/>
          <w:color w:val="000000" w:themeColor="text1"/>
        </w:rPr>
        <w:fldChar w:fldCharType="begin"/>
      </w:r>
      <w:r w:rsidR="00DA4730">
        <w:rPr>
          <w:rFonts w:eastAsia="Arial" w:cs="Arial"/>
          <w:color w:val="000000" w:themeColor="text1"/>
        </w:rPr>
        <w:instrText xml:space="preserve"> ADDIN ZOTERO_ITEM CSL_CITATION {"citationID":"J0vmd3ed","properties":{"formattedCitation":"(Schmalenberger et al., 2021a)","plainCitation":"(Schmalenberger et al., 2021a)","dontUpdate":true,"noteIndex":0},"citationItems":[{"id":"pFCzBSob/BCJzJhtF","uris":["http://zotero.org/users/11330488/items/4W4B7LVN"],"itemData":{"id":177,"type":"article-journal","abstract":"Despite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and sampling strategy, managing demand characteristics, identifying a sample of naturally-cycling individuals, and measuring menstrual bleeding dates, ovarian hormones, and ovulation. We proceed with suggestions for (4) data preparation and coding of cycle day and phases, as well as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replicable.","container-title":"Psychoneuroendocrinology","DOI":"10.1016/j.psyneuen.2020.104895","ISSN":"1873-3360","journalAbbreviation":"Psychoneuroendocrinology","language":"eng","note":"PMID: 33113391\nPMCID: PMC8363181","page":"104895","source":"PubMed","title":"How to study the menstrual cycle: Practical tools and recommendations","title-short":"How to study the menstrual cycle","volume":"123","author":[{"family":"Schmalenberger","given":"Katja M."},{"family":"Tauseef","given":"Hafsah A."},{"family":"Barone","given":"Jordan C."},{"family":"Owens","given":"Sarah A."},{"family":"Lieberman","given":"Lynne"},{"family":"Jarczok","given":"Marc N."},{"family":"Girdler","given":"Susan S."},{"family":"Kiesner","given":"Jeff"},{"family":"Ditzen","given":"Beate"},{"family":"Eisenlohr-Moul","given":"Tory A."}],"issued":{"date-parts":[["2021",1]]}}}],"schema":"https://github.com/citation-style-language/schema/raw/master/csl-citation.json"} </w:instrText>
      </w:r>
      <w:r w:rsidR="001C59CF" w:rsidRPr="5CE66923">
        <w:rPr>
          <w:rFonts w:eastAsia="Arial" w:cs="Arial"/>
          <w:color w:val="000000" w:themeColor="text1"/>
        </w:rPr>
        <w:fldChar w:fldCharType="separate"/>
      </w:r>
      <w:r w:rsidRPr="5CE66923">
        <w:rPr>
          <w:rFonts w:cs="Arial"/>
        </w:rPr>
        <w:t>(Schmalenberger et al., 2021)</w:t>
      </w:r>
      <w:r w:rsidR="001C59CF" w:rsidRPr="5CE66923">
        <w:rPr>
          <w:rFonts w:eastAsia="Arial" w:cs="Arial"/>
          <w:color w:val="000000" w:themeColor="text1"/>
        </w:rPr>
        <w:fldChar w:fldCharType="end"/>
      </w:r>
      <w:r w:rsidRPr="5CE66923">
        <w:rPr>
          <w:rFonts w:eastAsia="Arial" w:cs="Arial"/>
          <w:color w:val="000000" w:themeColor="text1"/>
        </w:rPr>
        <w:t xml:space="preserve">, and sex steroid hormone levels should preferably be measured in blood, rather than saliva </w:t>
      </w:r>
      <w:r w:rsidR="001C59CF" w:rsidRPr="5CE66923">
        <w:rPr>
          <w:rFonts w:eastAsia="Arial" w:cs="Arial"/>
          <w:color w:val="000000" w:themeColor="text1"/>
        </w:rPr>
        <w:fldChar w:fldCharType="begin"/>
      </w:r>
      <w:r w:rsidR="00F969BA">
        <w:rPr>
          <w:rFonts w:eastAsia="Arial" w:cs="Arial"/>
          <w:color w:val="000000" w:themeColor="text1"/>
        </w:rPr>
        <w:instrText xml:space="preserve"> ADDIN ZOTERO_ITEM CSL_CITATION {"citationID":"W234YoEC","properties":{"formattedCitation":"(Arslan et al., 2023; Barth et al., 2023)","plainCitation":"(Arslan et al., 2023; Barth et al., 2023)","noteIndex":0},"citationItems":[{"id":9768,"uris":["http://zotero.org/users/11330488/items/EKK65FEW"],"itemData":{"id":9768,"type":"article-journal","abstract":"Salivary steroid immunoassays are widely used in psychoneuroendocrinological studies of menstrual cycle phase, puberty, and menopause. Though manufacturers advertise their assays as suitable, they have not been rigorously validated for these purposes. We collated data from eight menstrual cycle studies across &gt; 1200 female participants and &gt; 9500 time points. Seven studies collected saliva and one collected serum. All assayed estradiol and progesterone and had an independent measure of cycle phase (LH-surge, menstrual onset). In serum, cycle phase measures strongly predicted steroid concentrations. In saliva, cycle phase poorly predicted estradiol values, which showed an upward bias compared to expectations from serum. For salivary progesterone, predictability from cycle phase was mixed, low for enzyme-linked assays and moderate for tandem mass spectrometry. Imputing the population-average serum steroid changes from cycle phase may yield more valid values of hormonal changes for an independent person than directly assessing their hormone levels using salivary immunoassays.","container-title":"Psychoneuroendocrinology","DOI":"10.1016/j.psyneuen.2022.105994","ISSN":"1873-3360","journalAbbreviation":"Psychoneuroendocrinology","language":"eng","note":"PMID: 36527751","page":"105994","source":"PubMed","title":"Not within spitting distance: Salivary immunoassays of estradiol have subpar validity for predicting cycle phase","title-short":"Not within spitting distance","volume":"149","author":[{"family":"Arslan","given":"Ruben C."},{"family":"Blake","given":"Khandis"},{"family":"Botzet","given":"Laura J."},{"family":"Bürkner","given":"Paul-Christian"},{"family":"DeBruine","given":"Lisa"},{"family":"Fiers","given":"Tom"},{"family":"Grebe","given":"Nicholas"},{"family":"Hahn","given":"Amanda"},{"family":"Jones","given":"Ben C."},{"family":"Marcinkowska","given":"Urszula M."},{"family":"Mumford","given":"Sunni L."},{"family":"Penke","given":"Lars"},{"family":"Roney","given":"James R."},{"family":"Schisterman","given":"Enrique F."},{"family":"Stern","given":"Julia"}],"issued":{"date-parts":[["2023",3]]}}},{"id":7619,"uris":["http://zotero.org/users/11330488/items/QTD6HLZS"],"itemData":{"id":7619,"type":"article-journal","container-title":"The Lancet Diabetes &amp; Endocrinology","DOI":"10.1016/S2213-8587(23)00224-3","ISSN":"2213-8587, 2213-8595","issue":"12","journalAbbreviation":"The Lancet Diabetes &amp; Endocrinology","language":"English","note":"publisher: Elsevier\nPMID: 37865102","page":"926-941","source":"www.thelancet.com","title":"Sex steroids and the female brain across the lifespan: insights into risk of depression and Alzheimer's disease","title-short":"Sex steroids and the female brain across the lifespan","volume":"11","author":[{"family":"Barth","given":"Claudia"},{"family":"Crestol","given":"Arielle"},{"family":"Lange","given":"Ann-Marie G.","dropping-particle":"de"},{"family":"Galea","given":"Liisa A. M."}],"issued":{"date-parts":[["2023",12,1]]}}}],"schema":"https://github.com/citation-style-language/schema/raw/master/csl-citation.json"} </w:instrText>
      </w:r>
      <w:r w:rsidR="001C59CF" w:rsidRPr="5CE66923">
        <w:rPr>
          <w:rFonts w:eastAsia="Arial" w:cs="Arial"/>
          <w:color w:val="000000" w:themeColor="text1"/>
        </w:rPr>
        <w:fldChar w:fldCharType="separate"/>
      </w:r>
      <w:r w:rsidR="00F969BA" w:rsidRPr="00F969BA">
        <w:rPr>
          <w:rFonts w:cs="Arial"/>
        </w:rPr>
        <w:t>(Arslan et al., 2023; Barth et al., 2023)</w:t>
      </w:r>
      <w:r w:rsidR="001C59CF" w:rsidRPr="5CE66923">
        <w:rPr>
          <w:rFonts w:eastAsia="Arial" w:cs="Arial"/>
          <w:color w:val="000000" w:themeColor="text1"/>
        </w:rPr>
        <w:fldChar w:fldCharType="end"/>
      </w:r>
      <w:r w:rsidRPr="5CE66923">
        <w:rPr>
          <w:rFonts w:eastAsia="Arial" w:cs="Arial"/>
          <w:color w:val="000000" w:themeColor="text1"/>
        </w:rPr>
        <w:t xml:space="preserve">. Finally, to correctly characterise </w:t>
      </w:r>
      <w:r w:rsidR="0021385B">
        <w:rPr>
          <w:rFonts w:eastAsia="Arial" w:cs="Arial"/>
          <w:color w:val="000000" w:themeColor="text1"/>
        </w:rPr>
        <w:t xml:space="preserve">menstrual </w:t>
      </w:r>
      <w:r w:rsidRPr="5CE66923">
        <w:rPr>
          <w:rFonts w:eastAsia="Arial" w:cs="Arial"/>
          <w:color w:val="000000" w:themeColor="text1"/>
        </w:rPr>
        <w:t xml:space="preserve">cycle phase, it is essential that ovulation is </w:t>
      </w:r>
      <w:r w:rsidR="005E060A">
        <w:rPr>
          <w:rFonts w:eastAsia="Arial" w:cs="Arial"/>
          <w:color w:val="000000" w:themeColor="text1"/>
        </w:rPr>
        <w:t>confirmed, for example</w:t>
      </w:r>
      <w:r w:rsidRPr="5CE66923">
        <w:rPr>
          <w:rFonts w:eastAsia="Arial" w:cs="Arial"/>
          <w:color w:val="000000" w:themeColor="text1"/>
        </w:rPr>
        <w:t xml:space="preserve"> with at-home </w:t>
      </w:r>
      <w:r w:rsidR="0021385B">
        <w:rPr>
          <w:rFonts w:eastAsia="Arial" w:cs="Arial"/>
          <w:color w:val="000000" w:themeColor="text1"/>
        </w:rPr>
        <w:t xml:space="preserve">luteinising hormone (LH) </w:t>
      </w:r>
      <w:r w:rsidRPr="5CE66923">
        <w:rPr>
          <w:rFonts w:eastAsia="Arial" w:cs="Arial"/>
          <w:color w:val="000000" w:themeColor="text1"/>
        </w:rPr>
        <w:t>urinary tests</w:t>
      </w:r>
      <w:r w:rsidR="0021385B">
        <w:rPr>
          <w:rFonts w:eastAsia="Arial" w:cs="Arial"/>
          <w:color w:val="000000" w:themeColor="text1"/>
        </w:rPr>
        <w:t xml:space="preserve"> </w:t>
      </w:r>
      <w:r w:rsidR="0021385B">
        <w:rPr>
          <w:rFonts w:eastAsia="Arial" w:cs="Arial"/>
          <w:color w:val="000000" w:themeColor="text1"/>
        </w:rPr>
        <w:fldChar w:fldCharType="begin"/>
      </w:r>
      <w:r w:rsidR="00DA4730">
        <w:rPr>
          <w:rFonts w:eastAsia="Arial" w:cs="Arial"/>
          <w:color w:val="000000" w:themeColor="text1"/>
        </w:rPr>
        <w:instrText xml:space="preserve"> ADDIN ZOTERO_ITEM CSL_CITATION {"citationID":"1xCeDdm6","properties":{"formattedCitation":"(Schmalenberger et al., 2021a)","plainCitation":"(Schmalenberger et al., 2021a)","dontUpdate":true,"noteIndex":0},"citationItems":[{"id":"pFCzBSob/BCJzJhtF","uris":["http://zotero.org/users/11330488/items/4W4B7LVN"],"itemData":{"id":177,"type":"article-journal","abstract":"Despite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and sampling strategy, managing demand characteristics, identifying a sample of naturally-cycling individuals, and measuring menstrual bleeding dates, ovarian hormones, and ovulation. We proceed with suggestions for (4) data preparation and coding of cycle day and phases, as well as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replicable.","container-title":"Psychoneuroendocrinology","DOI":"10.1016/j.psyneuen.2020.104895","ISSN":"1873-3360","journalAbbreviation":"Psychoneuroendocrinology","language":"eng","note":"PMID: 33113391\nPMCID: PMC8363181","page":"104895","source":"PubMed","title":"How to study the menstrual cycle: Practical tools and recommendations","title-short":"How to study the menstrual cycle","volume":"123","author":[{"family":"Schmalenberger","given":"Katja M."},{"family":"Tauseef","given":"Hafsah A."},{"family":"Barone","given":"Jordan C."},{"family":"Owens","given":"Sarah A."},{"family":"Lieberman","given":"Lynne"},{"family":"Jarczok","given":"Marc N."},{"family":"Girdler","given":"Susan S."},{"family":"Kiesner","given":"Jeff"},{"family":"Ditzen","given":"Beate"},{"family":"Eisenlohr-Moul","given":"Tory A."}],"issued":{"date-parts":[["2021",1]]}}}],"schema":"https://github.com/citation-style-language/schema/raw/master/csl-citation.json"} </w:instrText>
      </w:r>
      <w:r w:rsidR="0021385B">
        <w:rPr>
          <w:rFonts w:eastAsia="Arial" w:cs="Arial"/>
          <w:color w:val="000000" w:themeColor="text1"/>
        </w:rPr>
        <w:fldChar w:fldCharType="separate"/>
      </w:r>
      <w:r w:rsidR="0021385B" w:rsidRPr="0021385B">
        <w:rPr>
          <w:rFonts w:cs="Arial"/>
        </w:rPr>
        <w:t>(Schmalenberger et al., 2021)</w:t>
      </w:r>
      <w:r w:rsidR="0021385B">
        <w:rPr>
          <w:rFonts w:eastAsia="Arial" w:cs="Arial"/>
          <w:color w:val="000000" w:themeColor="text1"/>
        </w:rPr>
        <w:fldChar w:fldCharType="end"/>
      </w:r>
      <w:r w:rsidRPr="5CE66923">
        <w:rPr>
          <w:rFonts w:eastAsia="Arial" w:cs="Arial"/>
          <w:color w:val="000000" w:themeColor="text1"/>
        </w:rPr>
        <w:t>.</w:t>
      </w:r>
    </w:p>
    <w:p w14:paraId="4A59BC0D" w14:textId="2487447E" w:rsidR="00870CC4" w:rsidRDefault="00F77E44" w:rsidP="00807818">
      <w:pPr>
        <w:spacing w:before="120" w:after="120"/>
        <w:rPr>
          <w:rFonts w:eastAsia="Arial" w:cs="Arial"/>
          <w:color w:val="000000" w:themeColor="text1"/>
        </w:rPr>
      </w:pPr>
      <w:r>
        <w:rPr>
          <w:rFonts w:eastAsia="Arial" w:cs="Arial"/>
          <w:color w:val="000000" w:themeColor="text1"/>
        </w:rPr>
        <w:t>This work aims</w:t>
      </w:r>
      <w:r w:rsidR="00AF3562">
        <w:rPr>
          <w:rFonts w:eastAsia="Arial" w:cs="Arial"/>
          <w:color w:val="000000" w:themeColor="text1"/>
        </w:rPr>
        <w:t xml:space="preserve"> to assess the influence of endogenous and exogenous sex steroid hormones on the neuroendocrine effects of light exposure </w:t>
      </w:r>
      <w:r w:rsidR="005E060A">
        <w:rPr>
          <w:rFonts w:eastAsia="Arial" w:cs="Arial"/>
          <w:color w:val="000000" w:themeColor="text1"/>
        </w:rPr>
        <w:t xml:space="preserve">in healthy young adults </w:t>
      </w:r>
      <w:r w:rsidR="00E14EF1">
        <w:rPr>
          <w:rFonts w:eastAsia="Arial" w:cs="Arial"/>
          <w:color w:val="000000" w:themeColor="text1"/>
        </w:rPr>
        <w:t>in the evening</w:t>
      </w:r>
      <w:r w:rsidR="00AF3562">
        <w:rPr>
          <w:rFonts w:eastAsia="Arial" w:cs="Arial"/>
          <w:color w:val="000000" w:themeColor="text1"/>
        </w:rPr>
        <w:t xml:space="preserve">, quantified by melatonin suppression by light. To this aim, we employ </w:t>
      </w:r>
      <w:r w:rsidR="005F672C">
        <w:rPr>
          <w:rFonts w:eastAsia="Arial" w:cs="Arial"/>
          <w:color w:val="000000" w:themeColor="text1"/>
        </w:rPr>
        <w:t xml:space="preserve">a </w:t>
      </w:r>
      <w:r w:rsidR="00AF3562">
        <w:rPr>
          <w:rFonts w:eastAsia="Arial" w:cs="Arial"/>
          <w:color w:val="000000" w:themeColor="text1"/>
        </w:rPr>
        <w:t>repeated</w:t>
      </w:r>
      <w:r w:rsidR="009F74D1">
        <w:rPr>
          <w:rFonts w:eastAsia="Arial" w:cs="Arial"/>
          <w:color w:val="000000" w:themeColor="text1"/>
        </w:rPr>
        <w:t>-</w:t>
      </w:r>
      <w:r w:rsidR="00AF3562">
        <w:rPr>
          <w:rFonts w:eastAsia="Arial" w:cs="Arial"/>
          <w:color w:val="000000" w:themeColor="text1"/>
        </w:rPr>
        <w:t>measures within-subject</w:t>
      </w:r>
      <w:r w:rsidR="009F74D1">
        <w:rPr>
          <w:rFonts w:eastAsia="Arial" w:cs="Arial"/>
          <w:color w:val="000000" w:themeColor="text1"/>
        </w:rPr>
        <w:t>s</w:t>
      </w:r>
      <w:r w:rsidR="00AF3562">
        <w:rPr>
          <w:rFonts w:eastAsia="Arial" w:cs="Arial"/>
          <w:color w:val="000000" w:themeColor="text1"/>
        </w:rPr>
        <w:t xml:space="preserve"> design </w:t>
      </w:r>
      <w:r w:rsidR="00E14EF1">
        <w:rPr>
          <w:rFonts w:eastAsia="Arial" w:cs="Arial"/>
          <w:color w:val="000000" w:themeColor="text1"/>
        </w:rPr>
        <w:t>with</w:t>
      </w:r>
      <w:r w:rsidR="00AF3562">
        <w:rPr>
          <w:rFonts w:eastAsia="Arial" w:cs="Arial"/>
          <w:color w:val="000000" w:themeColor="text1"/>
        </w:rPr>
        <w:t xml:space="preserve"> three </w:t>
      </w:r>
      <w:r w:rsidR="00E14EF1">
        <w:rPr>
          <w:rFonts w:eastAsia="Arial" w:cs="Arial"/>
          <w:color w:val="000000" w:themeColor="text1"/>
        </w:rPr>
        <w:t xml:space="preserve">participant </w:t>
      </w:r>
      <w:r w:rsidR="00AF3562">
        <w:rPr>
          <w:rFonts w:eastAsia="Arial" w:cs="Arial"/>
          <w:color w:val="000000" w:themeColor="text1"/>
        </w:rPr>
        <w:t>groups: naturally cycling individuals</w:t>
      </w:r>
      <w:r w:rsidR="001A47BA">
        <w:rPr>
          <w:rFonts w:eastAsia="Arial" w:cs="Arial"/>
          <w:color w:val="000000" w:themeColor="text1"/>
        </w:rPr>
        <w:t xml:space="preserve"> (NC group)</w:t>
      </w:r>
      <w:r w:rsidR="00AF3562">
        <w:rPr>
          <w:rFonts w:eastAsia="Arial" w:cs="Arial"/>
          <w:color w:val="000000" w:themeColor="text1"/>
        </w:rPr>
        <w:t xml:space="preserve">, individuals taking </w:t>
      </w:r>
      <w:r w:rsidR="0021385B">
        <w:rPr>
          <w:rFonts w:eastAsia="Arial" w:cs="Arial"/>
          <w:color w:val="000000" w:themeColor="text1"/>
        </w:rPr>
        <w:t>monophasic c</w:t>
      </w:r>
      <w:r w:rsidR="0021618D">
        <w:rPr>
          <w:rFonts w:eastAsia="Arial" w:cs="Arial"/>
          <w:color w:val="000000" w:themeColor="text1"/>
        </w:rPr>
        <w:t xml:space="preserve">ombined </w:t>
      </w:r>
      <w:r w:rsidR="00AF3562">
        <w:rPr>
          <w:rFonts w:eastAsia="Arial" w:cs="Arial"/>
          <w:color w:val="000000" w:themeColor="text1"/>
        </w:rPr>
        <w:t>oral contraceptives</w:t>
      </w:r>
      <w:r w:rsidR="001A47BA">
        <w:rPr>
          <w:rFonts w:eastAsia="Arial" w:cs="Arial"/>
          <w:color w:val="000000" w:themeColor="text1"/>
        </w:rPr>
        <w:t xml:space="preserve"> (MCOC group)</w:t>
      </w:r>
      <w:r w:rsidR="00AF3562">
        <w:rPr>
          <w:rFonts w:eastAsia="Arial" w:cs="Arial"/>
          <w:color w:val="000000" w:themeColor="text1"/>
        </w:rPr>
        <w:t>, and healthy male</w:t>
      </w:r>
      <w:r w:rsidR="004B51B7">
        <w:rPr>
          <w:rFonts w:eastAsia="Arial" w:cs="Arial"/>
          <w:color w:val="000000" w:themeColor="text1"/>
        </w:rPr>
        <w:t xml:space="preserve"> participants</w:t>
      </w:r>
      <w:r w:rsidR="001A47BA">
        <w:rPr>
          <w:rFonts w:eastAsia="Arial" w:cs="Arial"/>
          <w:color w:val="000000" w:themeColor="text1"/>
        </w:rPr>
        <w:t xml:space="preserve"> (HM group)</w:t>
      </w:r>
      <w:r w:rsidR="00AF3562">
        <w:rPr>
          <w:rFonts w:eastAsia="Arial" w:cs="Arial"/>
          <w:color w:val="000000" w:themeColor="text1"/>
        </w:rPr>
        <w:t>. To</w:t>
      </w:r>
      <w:r w:rsidR="173F6159" w:rsidRPr="7049312C">
        <w:rPr>
          <w:rFonts w:eastAsia="Arial" w:cs="Arial"/>
          <w:color w:val="000000" w:themeColor="text1"/>
        </w:rPr>
        <w:t xml:space="preserve"> investigate</w:t>
      </w:r>
      <w:r w:rsidR="00AF3562">
        <w:rPr>
          <w:rFonts w:eastAsia="Arial" w:cs="Arial"/>
          <w:color w:val="000000" w:themeColor="text1"/>
        </w:rPr>
        <w:t xml:space="preserve"> the influence of both endogenous and exogenous sex hormones on melatonin suppression, we conduct dense sampling across </w:t>
      </w:r>
      <w:r w:rsidR="00781627">
        <w:rPr>
          <w:rFonts w:eastAsia="Arial" w:cs="Arial"/>
          <w:color w:val="000000" w:themeColor="text1"/>
        </w:rPr>
        <w:t xml:space="preserve">the </w:t>
      </w:r>
      <w:r w:rsidR="6F33A728" w:rsidRPr="7049312C">
        <w:rPr>
          <w:rFonts w:eastAsia="Arial" w:cs="Arial"/>
          <w:color w:val="000000" w:themeColor="text1"/>
        </w:rPr>
        <w:t xml:space="preserve">menstrual </w:t>
      </w:r>
      <w:r w:rsidR="00781627">
        <w:rPr>
          <w:rFonts w:eastAsia="Arial" w:cs="Arial"/>
          <w:color w:val="000000" w:themeColor="text1"/>
        </w:rPr>
        <w:t xml:space="preserve">cycle in the NC group </w:t>
      </w:r>
      <w:r w:rsidR="00AF3562">
        <w:rPr>
          <w:rFonts w:eastAsia="Arial" w:cs="Arial"/>
          <w:color w:val="000000" w:themeColor="text1"/>
        </w:rPr>
        <w:t xml:space="preserve">and pill </w:t>
      </w:r>
      <w:r w:rsidR="00580425">
        <w:rPr>
          <w:rFonts w:eastAsia="Arial" w:cs="Arial"/>
          <w:color w:val="000000" w:themeColor="text1"/>
        </w:rPr>
        <w:t>cycle</w:t>
      </w:r>
      <w:r w:rsidR="00781627">
        <w:rPr>
          <w:rFonts w:eastAsia="Arial" w:cs="Arial"/>
          <w:color w:val="000000" w:themeColor="text1"/>
        </w:rPr>
        <w:t xml:space="preserve"> in the MCOC group</w:t>
      </w:r>
      <w:r w:rsidR="00711E09">
        <w:rPr>
          <w:rFonts w:eastAsia="Arial" w:cs="Arial"/>
          <w:color w:val="000000" w:themeColor="text1"/>
        </w:rPr>
        <w:t>.</w:t>
      </w:r>
      <w:r w:rsidR="5DCBAA9C" w:rsidRPr="7049312C">
        <w:rPr>
          <w:rFonts w:eastAsia="Arial" w:cs="Arial"/>
          <w:color w:val="000000" w:themeColor="text1"/>
        </w:rPr>
        <w:t xml:space="preserve"> </w:t>
      </w:r>
      <w:r w:rsidR="2164B551" w:rsidRPr="7049312C">
        <w:rPr>
          <w:rFonts w:eastAsia="Arial" w:cs="Arial"/>
          <w:color w:val="000000" w:themeColor="text1"/>
        </w:rPr>
        <w:t xml:space="preserve">Finally, </w:t>
      </w:r>
      <w:r w:rsidR="004B51B7">
        <w:rPr>
          <w:rFonts w:eastAsia="Arial" w:cs="Arial"/>
          <w:color w:val="000000" w:themeColor="text1"/>
        </w:rPr>
        <w:t>to</w:t>
      </w:r>
      <w:r w:rsidR="79F71F20" w:rsidRPr="7049312C">
        <w:rPr>
          <w:rFonts w:eastAsia="Arial" w:cs="Arial"/>
          <w:color w:val="000000" w:themeColor="text1"/>
        </w:rPr>
        <w:t xml:space="preserve"> </w:t>
      </w:r>
      <w:r w:rsidR="7FC318D0" w:rsidRPr="7049312C">
        <w:rPr>
          <w:rFonts w:eastAsia="Arial" w:cs="Arial"/>
          <w:color w:val="000000" w:themeColor="text1"/>
        </w:rPr>
        <w:t xml:space="preserve">investigate the site of action of endogenous and exogenous steroid hormones along the non-visual pathway, we </w:t>
      </w:r>
      <w:r w:rsidR="700D5C3E" w:rsidRPr="7049312C">
        <w:rPr>
          <w:rFonts w:eastAsia="Arial" w:cs="Arial"/>
          <w:color w:val="000000" w:themeColor="text1"/>
        </w:rPr>
        <w:t>assess</w:t>
      </w:r>
      <w:r w:rsidR="1E6EB0F4" w:rsidRPr="7049312C">
        <w:rPr>
          <w:rFonts w:eastAsia="Arial" w:cs="Arial"/>
          <w:color w:val="000000" w:themeColor="text1"/>
        </w:rPr>
        <w:t xml:space="preserve"> whether </w:t>
      </w:r>
      <w:r w:rsidR="49D916EB" w:rsidRPr="7049312C">
        <w:rPr>
          <w:rFonts w:eastAsia="Arial" w:cs="Arial"/>
          <w:color w:val="000000" w:themeColor="text1"/>
        </w:rPr>
        <w:t xml:space="preserve">these </w:t>
      </w:r>
      <w:r w:rsidR="1E6EB0F4" w:rsidRPr="7049312C">
        <w:rPr>
          <w:rFonts w:eastAsia="Arial" w:cs="Arial"/>
          <w:color w:val="000000" w:themeColor="text1"/>
        </w:rPr>
        <w:t xml:space="preserve">hormones </w:t>
      </w:r>
      <w:r w:rsidR="649FF963" w:rsidRPr="7049312C">
        <w:rPr>
          <w:rFonts w:eastAsia="Arial" w:cs="Arial"/>
          <w:color w:val="000000" w:themeColor="text1"/>
        </w:rPr>
        <w:t xml:space="preserve">influence </w:t>
      </w:r>
      <w:r w:rsidR="00781627">
        <w:rPr>
          <w:rFonts w:eastAsia="Arial" w:cs="Arial"/>
          <w:color w:val="000000" w:themeColor="text1"/>
        </w:rPr>
        <w:t xml:space="preserve">the </w:t>
      </w:r>
      <w:r w:rsidR="1E6EB0F4" w:rsidRPr="7049312C">
        <w:rPr>
          <w:rFonts w:eastAsia="Arial" w:cs="Arial"/>
          <w:color w:val="000000" w:themeColor="text1"/>
        </w:rPr>
        <w:t xml:space="preserve">non-visual </w:t>
      </w:r>
      <w:r w:rsidR="6E51A5EA" w:rsidRPr="7049312C">
        <w:rPr>
          <w:rFonts w:eastAsia="Arial" w:cs="Arial"/>
          <w:color w:val="000000" w:themeColor="text1"/>
        </w:rPr>
        <w:t>response to</w:t>
      </w:r>
      <w:r w:rsidR="1E6EB0F4" w:rsidRPr="7049312C">
        <w:rPr>
          <w:rFonts w:eastAsia="Arial" w:cs="Arial"/>
          <w:color w:val="000000" w:themeColor="text1"/>
        </w:rPr>
        <w:t xml:space="preserve"> light at the </w:t>
      </w:r>
      <w:r w:rsidR="0075488A">
        <w:rPr>
          <w:rFonts w:eastAsia="Arial" w:cs="Arial"/>
          <w:color w:val="000000" w:themeColor="text1"/>
        </w:rPr>
        <w:t>retinal</w:t>
      </w:r>
      <w:r w:rsidR="1E6EB0F4" w:rsidRPr="7049312C">
        <w:rPr>
          <w:rFonts w:eastAsia="Arial" w:cs="Arial"/>
          <w:color w:val="000000" w:themeColor="text1"/>
        </w:rPr>
        <w:t xml:space="preserve"> level</w:t>
      </w:r>
      <w:r w:rsidR="0075488A">
        <w:rPr>
          <w:rFonts w:eastAsia="Arial" w:cs="Arial"/>
          <w:color w:val="000000" w:themeColor="text1"/>
        </w:rPr>
        <w:t xml:space="preserve"> (melanopsin sensitivity)</w:t>
      </w:r>
      <w:r w:rsidR="0021618D">
        <w:rPr>
          <w:rFonts w:eastAsia="Arial" w:cs="Arial"/>
          <w:color w:val="000000" w:themeColor="text1"/>
        </w:rPr>
        <w:t>,</w:t>
      </w:r>
      <w:r w:rsidR="1E6EB0F4" w:rsidRPr="7049312C">
        <w:rPr>
          <w:rFonts w:eastAsia="Arial" w:cs="Arial"/>
          <w:color w:val="000000" w:themeColor="text1"/>
        </w:rPr>
        <w:t xml:space="preserve"> quantified by measuring </w:t>
      </w:r>
      <w:r w:rsidR="0075488A">
        <w:rPr>
          <w:rFonts w:eastAsia="Arial" w:cs="Arial"/>
          <w:color w:val="000000" w:themeColor="text1"/>
        </w:rPr>
        <w:t>melanopsin-mediated pupil response</w:t>
      </w:r>
      <w:r w:rsidR="1E6EB0F4" w:rsidRPr="7049312C">
        <w:rPr>
          <w:rFonts w:eastAsia="Arial" w:cs="Arial"/>
          <w:color w:val="000000" w:themeColor="text1"/>
        </w:rPr>
        <w:t xml:space="preserve">. </w:t>
      </w:r>
    </w:p>
    <w:p w14:paraId="2E21D49D" w14:textId="7754F69A" w:rsidR="0075488A" w:rsidRDefault="001A47BA" w:rsidP="00807818">
      <w:pPr>
        <w:spacing w:before="120" w:after="120"/>
        <w:rPr>
          <w:rFonts w:eastAsia="Arial" w:cs="Arial"/>
        </w:rPr>
      </w:pPr>
      <w:r w:rsidRPr="26EC6AF4">
        <w:rPr>
          <w:rFonts w:eastAsia="Arial" w:cs="Arial"/>
          <w:i/>
          <w:iCs/>
          <w:color w:val="000000" w:themeColor="text1"/>
        </w:rPr>
        <w:t xml:space="preserve">Confirmatory </w:t>
      </w:r>
      <w:r w:rsidR="0075488A" w:rsidRPr="26EC6AF4">
        <w:rPr>
          <w:rFonts w:eastAsia="Arial" w:cs="Arial"/>
          <w:i/>
          <w:iCs/>
          <w:color w:val="000000" w:themeColor="text1"/>
        </w:rPr>
        <w:t>H</w:t>
      </w:r>
      <w:r w:rsidRPr="26EC6AF4">
        <w:rPr>
          <w:rFonts w:eastAsia="Arial" w:cs="Arial"/>
          <w:i/>
          <w:iCs/>
          <w:color w:val="000000" w:themeColor="text1"/>
        </w:rPr>
        <w:t>ypothesis 1.</w:t>
      </w:r>
      <w:r w:rsidRPr="26EC6AF4">
        <w:rPr>
          <w:rFonts w:eastAsia="Arial" w:cs="Arial"/>
          <w:color w:val="000000" w:themeColor="text1"/>
        </w:rPr>
        <w:t xml:space="preserve"> Based on previous literature, w</w:t>
      </w:r>
      <w:r w:rsidRPr="26EC6AF4">
        <w:rPr>
          <w:rFonts w:eastAsia="Arial" w:cs="Arial"/>
        </w:rPr>
        <w:t>e hypothesise an effect of sex on melatonin suppression, with female</w:t>
      </w:r>
      <w:r w:rsidR="0075488A" w:rsidRPr="26EC6AF4">
        <w:rPr>
          <w:rFonts w:eastAsia="Arial" w:cs="Arial"/>
        </w:rPr>
        <w:t xml:space="preserve"> participants</w:t>
      </w:r>
      <w:r w:rsidRPr="26EC6AF4">
        <w:rPr>
          <w:rFonts w:eastAsia="Arial" w:cs="Arial"/>
        </w:rPr>
        <w:t xml:space="preserve"> exhibiting greater melatonin suppression by light compared to male</w:t>
      </w:r>
      <w:r w:rsidR="0075488A" w:rsidRPr="26EC6AF4">
        <w:rPr>
          <w:rFonts w:eastAsia="Arial" w:cs="Arial"/>
        </w:rPr>
        <w:t xml:space="preserve"> participants</w:t>
      </w:r>
      <w:r w:rsidR="00870CC4" w:rsidRPr="26EC6AF4">
        <w:rPr>
          <w:rFonts w:eastAsia="Arial" w:cs="Arial"/>
        </w:rPr>
        <w:t xml:space="preserve"> (</w:t>
      </w:r>
      <w:r w:rsidR="00870CC4" w:rsidRPr="26EC6AF4">
        <w:rPr>
          <w:rFonts w:eastAsia="Arial" w:cs="Arial"/>
          <w:b/>
          <w:bCs/>
        </w:rPr>
        <w:t>CH1</w:t>
      </w:r>
      <w:r w:rsidR="0075488A" w:rsidRPr="26EC6AF4">
        <w:rPr>
          <w:rFonts w:eastAsia="Arial" w:cs="Arial"/>
          <w:b/>
          <w:bCs/>
        </w:rPr>
        <w:t>a</w:t>
      </w:r>
      <w:r w:rsidR="00870CC4" w:rsidRPr="26EC6AF4">
        <w:rPr>
          <w:rFonts w:eastAsia="Arial" w:cs="Arial"/>
        </w:rPr>
        <w:t>)</w:t>
      </w:r>
      <w:r w:rsidRPr="26EC6AF4">
        <w:rPr>
          <w:rFonts w:eastAsia="Arial" w:cs="Arial"/>
        </w:rPr>
        <w:t>.</w:t>
      </w:r>
      <w:r w:rsidR="00CD5212" w:rsidRPr="26EC6AF4">
        <w:rPr>
          <w:rFonts w:eastAsia="Arial" w:cs="Arial"/>
        </w:rPr>
        <w:t xml:space="preserve"> </w:t>
      </w:r>
      <w:r w:rsidR="0075488A" w:rsidRPr="26EC6AF4">
        <w:rPr>
          <w:rFonts w:eastAsia="Arial" w:cs="Arial"/>
        </w:rPr>
        <w:t>Furthermore, since activation of melanopsin-containing ipRGCs causes melatonin suppression, we hypothesise an effect of sex on melanopsin sensitivity, whereby female participants exhibit larger melanopsin-mediated pupil response</w:t>
      </w:r>
      <w:r w:rsidR="00452FB7" w:rsidRPr="26EC6AF4">
        <w:rPr>
          <w:rFonts w:eastAsia="Arial" w:cs="Arial"/>
        </w:rPr>
        <w:t>s</w:t>
      </w:r>
      <w:r w:rsidR="0075488A" w:rsidRPr="26EC6AF4">
        <w:rPr>
          <w:rFonts w:eastAsia="Arial" w:cs="Arial"/>
        </w:rPr>
        <w:t xml:space="preserve"> than male participants (</w:t>
      </w:r>
      <w:r w:rsidR="0075488A" w:rsidRPr="26EC6AF4">
        <w:rPr>
          <w:rFonts w:eastAsia="Arial" w:cs="Arial"/>
          <w:b/>
          <w:bCs/>
        </w:rPr>
        <w:t>CH1b</w:t>
      </w:r>
      <w:r w:rsidR="0075488A" w:rsidRPr="26EC6AF4">
        <w:rPr>
          <w:rFonts w:eastAsia="Arial" w:cs="Arial"/>
        </w:rPr>
        <w:t>).</w:t>
      </w:r>
    </w:p>
    <w:p w14:paraId="22A4E4E7" w14:textId="6984FE9C" w:rsidR="00870CC4" w:rsidRPr="00BB7314" w:rsidRDefault="0075488A" w:rsidP="00807818">
      <w:pPr>
        <w:spacing w:before="120" w:after="120"/>
        <w:rPr>
          <w:rFonts w:eastAsia="Arial" w:cs="Arial"/>
        </w:rPr>
      </w:pPr>
      <w:r w:rsidRPr="26EC6AF4">
        <w:rPr>
          <w:rFonts w:eastAsia="Arial" w:cs="Arial"/>
          <w:i/>
          <w:iCs/>
          <w:color w:val="000000" w:themeColor="text1"/>
        </w:rPr>
        <w:t>Confirmatory Hypothesis 2.</w:t>
      </w:r>
      <w:r w:rsidRPr="26EC6AF4">
        <w:rPr>
          <w:rFonts w:eastAsia="Arial" w:cs="Arial"/>
        </w:rPr>
        <w:t xml:space="preserve"> W</w:t>
      </w:r>
      <w:r w:rsidR="00CD5212" w:rsidRPr="26EC6AF4">
        <w:rPr>
          <w:rFonts w:eastAsia="Arial" w:cs="Arial"/>
        </w:rPr>
        <w:t xml:space="preserve">e </w:t>
      </w:r>
      <w:r w:rsidRPr="26EC6AF4">
        <w:rPr>
          <w:rFonts w:eastAsia="Arial" w:cs="Arial"/>
        </w:rPr>
        <w:t xml:space="preserve">hypothesise a group effect on light-induced melatonin suppression, whereby </w:t>
      </w:r>
      <w:r w:rsidR="00CD5212" w:rsidRPr="26EC6AF4">
        <w:rPr>
          <w:rFonts w:eastAsia="Arial" w:cs="Arial"/>
        </w:rPr>
        <w:t xml:space="preserve">melatonin suppression differs </w:t>
      </w:r>
      <w:r w:rsidR="00DB3B13" w:rsidRPr="26EC6AF4">
        <w:rPr>
          <w:rFonts w:eastAsia="Arial" w:cs="Arial"/>
        </w:rPr>
        <w:t>between naturally cycling individuals (NC group), individuals taking oral contraceptives (MCOC group), and healthy male</w:t>
      </w:r>
      <w:r w:rsidR="00B57711" w:rsidRPr="26EC6AF4">
        <w:rPr>
          <w:rFonts w:eastAsia="Arial" w:cs="Arial"/>
        </w:rPr>
        <w:t xml:space="preserve"> participants</w:t>
      </w:r>
      <w:r w:rsidR="00DB3B13" w:rsidRPr="26EC6AF4">
        <w:rPr>
          <w:rFonts w:eastAsia="Arial" w:cs="Arial"/>
        </w:rPr>
        <w:t xml:space="preserve"> </w:t>
      </w:r>
      <w:r w:rsidR="00DB3B13" w:rsidRPr="26EC6AF4">
        <w:rPr>
          <w:rFonts w:eastAsia="Arial" w:cs="Arial"/>
        </w:rPr>
        <w:lastRenderedPageBreak/>
        <w:t>(HM group) (</w:t>
      </w:r>
      <w:r w:rsidR="00DB3B13" w:rsidRPr="26EC6AF4">
        <w:rPr>
          <w:rFonts w:eastAsia="Arial" w:cs="Arial"/>
          <w:b/>
          <w:bCs/>
        </w:rPr>
        <w:t>CH</w:t>
      </w:r>
      <w:r w:rsidRPr="26EC6AF4">
        <w:rPr>
          <w:rFonts w:eastAsia="Arial" w:cs="Arial"/>
          <w:b/>
          <w:bCs/>
        </w:rPr>
        <w:t>2a</w:t>
      </w:r>
      <w:r w:rsidR="00DB3B13" w:rsidRPr="26EC6AF4">
        <w:rPr>
          <w:rFonts w:eastAsia="Arial" w:cs="Arial"/>
        </w:rPr>
        <w:t>).</w:t>
      </w:r>
      <w:r w:rsidRPr="26EC6AF4">
        <w:rPr>
          <w:rFonts w:eastAsia="Arial" w:cs="Arial"/>
        </w:rPr>
        <w:t xml:space="preserve"> Moreover, we hypothesise an effect of group</w:t>
      </w:r>
      <w:r w:rsidR="00DB3B13" w:rsidRPr="26EC6AF4">
        <w:rPr>
          <w:rFonts w:eastAsia="Arial" w:cs="Arial"/>
        </w:rPr>
        <w:t xml:space="preserve"> </w:t>
      </w:r>
      <w:r w:rsidR="00D62063" w:rsidRPr="26EC6AF4">
        <w:rPr>
          <w:rFonts w:eastAsia="Arial" w:cs="Arial"/>
        </w:rPr>
        <w:t xml:space="preserve">(NC/MCOC/HM) </w:t>
      </w:r>
      <w:r w:rsidR="00DB3B13" w:rsidRPr="26EC6AF4">
        <w:rPr>
          <w:rFonts w:eastAsia="Arial" w:cs="Arial"/>
        </w:rPr>
        <w:t xml:space="preserve">on </w:t>
      </w:r>
      <w:r w:rsidRPr="26EC6AF4">
        <w:rPr>
          <w:rFonts w:eastAsia="Arial" w:cs="Arial"/>
        </w:rPr>
        <w:t>melanopsin-mediated pupil response</w:t>
      </w:r>
      <w:r w:rsidR="00452FB7" w:rsidRPr="26EC6AF4">
        <w:rPr>
          <w:rFonts w:eastAsia="Arial" w:cs="Arial"/>
        </w:rPr>
        <w:t>s</w:t>
      </w:r>
      <w:r w:rsidR="00DB3B13" w:rsidRPr="26EC6AF4">
        <w:rPr>
          <w:rFonts w:eastAsia="Arial" w:cs="Arial"/>
        </w:rPr>
        <w:t xml:space="preserve"> (</w:t>
      </w:r>
      <w:r w:rsidR="00DB3B13" w:rsidRPr="26EC6AF4">
        <w:rPr>
          <w:rFonts w:eastAsia="Arial" w:cs="Arial"/>
          <w:b/>
          <w:bCs/>
        </w:rPr>
        <w:t>CH</w:t>
      </w:r>
      <w:r w:rsidRPr="26EC6AF4">
        <w:rPr>
          <w:rFonts w:eastAsia="Arial" w:cs="Arial"/>
          <w:b/>
          <w:bCs/>
        </w:rPr>
        <w:t>2b</w:t>
      </w:r>
      <w:r w:rsidR="00DB3B13" w:rsidRPr="26EC6AF4">
        <w:rPr>
          <w:rFonts w:eastAsia="Arial" w:cs="Arial"/>
        </w:rPr>
        <w:t xml:space="preserve">). </w:t>
      </w:r>
    </w:p>
    <w:p w14:paraId="0EC49016" w14:textId="5C97D820" w:rsidR="00870CC4" w:rsidRDefault="00870CC4" w:rsidP="00807818">
      <w:pPr>
        <w:spacing w:before="120" w:after="120"/>
        <w:rPr>
          <w:rFonts w:eastAsia="Arial" w:cs="Arial"/>
        </w:rPr>
      </w:pPr>
      <w:r w:rsidRPr="00BB7314">
        <w:rPr>
          <w:rFonts w:eastAsia="Arial" w:cs="Arial"/>
          <w:i/>
          <w:iCs/>
        </w:rPr>
        <w:t xml:space="preserve">Confirmatory </w:t>
      </w:r>
      <w:r w:rsidR="00452FB7">
        <w:rPr>
          <w:rFonts w:eastAsia="Arial" w:cs="Arial"/>
          <w:i/>
          <w:iCs/>
        </w:rPr>
        <w:t>H</w:t>
      </w:r>
      <w:r w:rsidRPr="00BB7314">
        <w:rPr>
          <w:rFonts w:eastAsia="Arial" w:cs="Arial"/>
          <w:i/>
          <w:iCs/>
        </w:rPr>
        <w:t xml:space="preserve">ypothesis </w:t>
      </w:r>
      <w:r w:rsidR="0075488A">
        <w:rPr>
          <w:rFonts w:eastAsia="Arial" w:cs="Arial"/>
          <w:i/>
          <w:iCs/>
        </w:rPr>
        <w:t>3</w:t>
      </w:r>
      <w:r w:rsidRPr="00BB7314">
        <w:rPr>
          <w:rFonts w:eastAsia="Arial" w:cs="Arial"/>
          <w:i/>
          <w:iCs/>
        </w:rPr>
        <w:t>.</w:t>
      </w:r>
      <w:r w:rsidRPr="00870CC4">
        <w:rPr>
          <w:rFonts w:eastAsia="Arial" w:cs="Arial"/>
        </w:rPr>
        <w:t xml:space="preserve"> In naturally cycling individuals</w:t>
      </w:r>
      <w:r>
        <w:rPr>
          <w:rFonts w:eastAsia="Arial" w:cs="Arial"/>
        </w:rPr>
        <w:t xml:space="preserve"> (NC group)</w:t>
      </w:r>
      <w:r w:rsidRPr="00870CC4">
        <w:rPr>
          <w:rFonts w:eastAsia="Arial" w:cs="Arial"/>
        </w:rPr>
        <w:t xml:space="preserve">, we hypothesise an effect of </w:t>
      </w:r>
      <w:r w:rsidR="008E0FDC">
        <w:rPr>
          <w:rFonts w:eastAsia="Arial" w:cs="Arial"/>
        </w:rPr>
        <w:t xml:space="preserve">the </w:t>
      </w:r>
      <w:r w:rsidRPr="00870CC4">
        <w:rPr>
          <w:rFonts w:eastAsia="Arial" w:cs="Arial"/>
        </w:rPr>
        <w:t xml:space="preserve">endogenous sex steroid hormones </w:t>
      </w:r>
      <w:proofErr w:type="spellStart"/>
      <w:r w:rsidRPr="00870CC4">
        <w:rPr>
          <w:rFonts w:eastAsia="Arial" w:cs="Arial"/>
        </w:rPr>
        <w:t>estradiol</w:t>
      </w:r>
      <w:proofErr w:type="spellEnd"/>
      <w:r w:rsidR="008E0FDC">
        <w:rPr>
          <w:rFonts w:eastAsia="Arial" w:cs="Arial"/>
        </w:rPr>
        <w:t xml:space="preserve"> (E2)</w:t>
      </w:r>
      <w:r w:rsidRPr="00870CC4">
        <w:rPr>
          <w:rFonts w:eastAsia="Arial" w:cs="Arial"/>
        </w:rPr>
        <w:t xml:space="preserve"> and progesterone</w:t>
      </w:r>
      <w:r w:rsidR="008E0FDC">
        <w:rPr>
          <w:rFonts w:eastAsia="Arial" w:cs="Arial"/>
        </w:rPr>
        <w:t xml:space="preserve"> (P4</w:t>
      </w:r>
      <w:r w:rsidRPr="00870CC4">
        <w:rPr>
          <w:rFonts w:eastAsia="Arial" w:cs="Arial"/>
        </w:rPr>
        <w:t>) on</w:t>
      </w:r>
      <w:r w:rsidR="0075488A">
        <w:rPr>
          <w:rFonts w:eastAsia="Arial" w:cs="Arial"/>
        </w:rPr>
        <w:t xml:space="preserve"> light-induced</w:t>
      </w:r>
      <w:r w:rsidRPr="00870CC4">
        <w:rPr>
          <w:rFonts w:eastAsia="Arial" w:cs="Arial"/>
        </w:rPr>
        <w:t xml:space="preserve"> melatonin suppression</w:t>
      </w:r>
      <w:r>
        <w:rPr>
          <w:rFonts w:eastAsia="Arial" w:cs="Arial"/>
        </w:rPr>
        <w:t xml:space="preserve"> (</w:t>
      </w:r>
      <w:r w:rsidRPr="00BB7314">
        <w:rPr>
          <w:rFonts w:eastAsia="Arial" w:cs="Arial"/>
          <w:b/>
          <w:bCs/>
        </w:rPr>
        <w:t>CH</w:t>
      </w:r>
      <w:r w:rsidR="00452FB7">
        <w:rPr>
          <w:rFonts w:eastAsia="Arial" w:cs="Arial"/>
          <w:b/>
          <w:bCs/>
        </w:rPr>
        <w:t>3a</w:t>
      </w:r>
      <w:r>
        <w:rPr>
          <w:rFonts w:eastAsia="Arial" w:cs="Arial"/>
        </w:rPr>
        <w:t>)</w:t>
      </w:r>
      <w:r w:rsidRPr="00870CC4">
        <w:rPr>
          <w:rFonts w:eastAsia="Arial" w:cs="Arial"/>
        </w:rPr>
        <w:t>.</w:t>
      </w:r>
      <w:r>
        <w:rPr>
          <w:rFonts w:eastAsia="Arial" w:cs="Arial"/>
        </w:rPr>
        <w:t xml:space="preserve"> We also expect an effect of </w:t>
      </w:r>
      <w:r w:rsidR="008E0FDC">
        <w:rPr>
          <w:rFonts w:eastAsia="Arial" w:cs="Arial"/>
        </w:rPr>
        <w:t xml:space="preserve">E2 and P4 </w:t>
      </w:r>
      <w:r>
        <w:rPr>
          <w:rFonts w:eastAsia="Arial" w:cs="Arial"/>
        </w:rPr>
        <w:t>on melanopsin</w:t>
      </w:r>
      <w:r w:rsidR="00452FB7">
        <w:rPr>
          <w:rFonts w:eastAsia="Arial" w:cs="Arial"/>
        </w:rPr>
        <w:t xml:space="preserve">-mediated pupil responses </w:t>
      </w:r>
      <w:r>
        <w:rPr>
          <w:rFonts w:eastAsia="Arial" w:cs="Arial"/>
        </w:rPr>
        <w:t>(</w:t>
      </w:r>
      <w:r w:rsidRPr="00BB7314">
        <w:rPr>
          <w:rFonts w:eastAsia="Arial" w:cs="Arial"/>
          <w:b/>
          <w:bCs/>
        </w:rPr>
        <w:t>CH</w:t>
      </w:r>
      <w:r w:rsidR="00452FB7">
        <w:rPr>
          <w:rFonts w:eastAsia="Arial" w:cs="Arial"/>
          <w:b/>
          <w:bCs/>
        </w:rPr>
        <w:t>3b</w:t>
      </w:r>
      <w:r>
        <w:rPr>
          <w:rFonts w:eastAsia="Arial" w:cs="Arial"/>
        </w:rPr>
        <w:t>).</w:t>
      </w:r>
    </w:p>
    <w:p w14:paraId="7785056F" w14:textId="46DC80BC" w:rsidR="00870CC4" w:rsidRDefault="00870CC4" w:rsidP="00807818">
      <w:pPr>
        <w:spacing w:before="120" w:after="120"/>
        <w:rPr>
          <w:rFonts w:eastAsia="Arial" w:cs="Arial"/>
        </w:rPr>
      </w:pPr>
      <w:r w:rsidRPr="26EC6AF4">
        <w:rPr>
          <w:rFonts w:eastAsia="Arial" w:cs="Arial"/>
          <w:i/>
          <w:iCs/>
        </w:rPr>
        <w:t xml:space="preserve">Confirmation </w:t>
      </w:r>
      <w:r w:rsidR="00452FB7" w:rsidRPr="26EC6AF4">
        <w:rPr>
          <w:rFonts w:eastAsia="Arial" w:cs="Arial"/>
          <w:i/>
          <w:iCs/>
        </w:rPr>
        <w:t>H</w:t>
      </w:r>
      <w:r w:rsidRPr="26EC6AF4">
        <w:rPr>
          <w:rFonts w:eastAsia="Arial" w:cs="Arial"/>
          <w:i/>
          <w:iCs/>
        </w:rPr>
        <w:t xml:space="preserve">ypothesis </w:t>
      </w:r>
      <w:r w:rsidR="00452FB7" w:rsidRPr="26EC6AF4">
        <w:rPr>
          <w:rFonts w:eastAsia="Arial" w:cs="Arial"/>
          <w:i/>
          <w:iCs/>
        </w:rPr>
        <w:t>4</w:t>
      </w:r>
      <w:r w:rsidRPr="26EC6AF4">
        <w:rPr>
          <w:rFonts w:eastAsia="Arial" w:cs="Arial"/>
        </w:rPr>
        <w:t>. In individuals taking oral contraceptives (MCOC group), we hypothesis</w:t>
      </w:r>
      <w:r w:rsidR="008E0FDC" w:rsidRPr="26EC6AF4">
        <w:rPr>
          <w:rFonts w:eastAsia="Arial" w:cs="Arial"/>
        </w:rPr>
        <w:t>e</w:t>
      </w:r>
      <w:r w:rsidRPr="26EC6AF4">
        <w:rPr>
          <w:rFonts w:eastAsia="Arial" w:cs="Arial"/>
        </w:rPr>
        <w:t xml:space="preserve"> an effect of </w:t>
      </w:r>
      <w:r w:rsidR="008E0FDC" w:rsidRPr="26EC6AF4">
        <w:rPr>
          <w:rFonts w:eastAsia="Arial" w:cs="Arial"/>
        </w:rPr>
        <w:t xml:space="preserve">the </w:t>
      </w:r>
      <w:r w:rsidRPr="26EC6AF4">
        <w:rPr>
          <w:rFonts w:eastAsia="Arial" w:cs="Arial"/>
        </w:rPr>
        <w:t xml:space="preserve">exogenous sex hormones </w:t>
      </w:r>
      <w:proofErr w:type="spellStart"/>
      <w:r w:rsidRPr="26EC6AF4">
        <w:rPr>
          <w:rFonts w:eastAsia="Arial" w:cs="Arial"/>
        </w:rPr>
        <w:t>eth</w:t>
      </w:r>
      <w:r w:rsidR="0029634B">
        <w:rPr>
          <w:rFonts w:eastAsia="Arial" w:cs="Arial"/>
        </w:rPr>
        <w:t>i</w:t>
      </w:r>
      <w:r w:rsidRPr="26EC6AF4">
        <w:rPr>
          <w:rFonts w:eastAsia="Arial" w:cs="Arial"/>
        </w:rPr>
        <w:t>nylestradiol</w:t>
      </w:r>
      <w:proofErr w:type="spellEnd"/>
      <w:r w:rsidRPr="26EC6AF4">
        <w:rPr>
          <w:rFonts w:eastAsia="Arial" w:cs="Arial"/>
        </w:rPr>
        <w:t xml:space="preserve"> </w:t>
      </w:r>
      <w:r w:rsidR="008E0FDC" w:rsidRPr="26EC6AF4">
        <w:rPr>
          <w:rFonts w:eastAsia="Arial" w:cs="Arial"/>
        </w:rPr>
        <w:t xml:space="preserve">(EE) </w:t>
      </w:r>
      <w:r w:rsidRPr="26EC6AF4">
        <w:rPr>
          <w:rFonts w:eastAsia="Arial" w:cs="Arial"/>
        </w:rPr>
        <w:t>and synthetic progestin</w:t>
      </w:r>
      <w:r w:rsidR="008E0FDC" w:rsidRPr="26EC6AF4">
        <w:rPr>
          <w:rFonts w:eastAsia="Arial" w:cs="Arial"/>
        </w:rPr>
        <w:t xml:space="preserve"> (SP)</w:t>
      </w:r>
      <w:r w:rsidRPr="26EC6AF4">
        <w:rPr>
          <w:rFonts w:eastAsia="Arial" w:cs="Arial"/>
        </w:rPr>
        <w:t xml:space="preserve"> on</w:t>
      </w:r>
      <w:r w:rsidR="00A00FB6" w:rsidRPr="26EC6AF4">
        <w:rPr>
          <w:rFonts w:eastAsia="Arial" w:cs="Arial"/>
        </w:rPr>
        <w:t xml:space="preserve"> light-induced</w:t>
      </w:r>
      <w:r w:rsidRPr="26EC6AF4">
        <w:rPr>
          <w:rFonts w:eastAsia="Arial" w:cs="Arial"/>
        </w:rPr>
        <w:t xml:space="preserve"> melatonin suppression</w:t>
      </w:r>
      <w:r w:rsidR="00C2612E" w:rsidRPr="26EC6AF4">
        <w:rPr>
          <w:rFonts w:eastAsia="Arial" w:cs="Arial"/>
        </w:rPr>
        <w:t xml:space="preserve"> (</w:t>
      </w:r>
      <w:r w:rsidR="00C2612E" w:rsidRPr="26EC6AF4">
        <w:rPr>
          <w:rFonts w:eastAsia="Arial" w:cs="Arial"/>
          <w:b/>
          <w:bCs/>
        </w:rPr>
        <w:t>CH</w:t>
      </w:r>
      <w:r w:rsidR="00A00FB6" w:rsidRPr="26EC6AF4">
        <w:rPr>
          <w:rFonts w:eastAsia="Arial" w:cs="Arial"/>
          <w:b/>
          <w:bCs/>
        </w:rPr>
        <w:t>4a</w:t>
      </w:r>
      <w:r w:rsidR="00C2612E" w:rsidRPr="26EC6AF4">
        <w:rPr>
          <w:rFonts w:eastAsia="Arial" w:cs="Arial"/>
        </w:rPr>
        <w:t>)</w:t>
      </w:r>
      <w:r w:rsidRPr="26EC6AF4">
        <w:rPr>
          <w:rFonts w:eastAsia="Arial" w:cs="Arial"/>
        </w:rPr>
        <w:t>. We also expect an effect o</w:t>
      </w:r>
      <w:r w:rsidR="00CD5212" w:rsidRPr="26EC6AF4">
        <w:rPr>
          <w:rFonts w:eastAsia="Arial" w:cs="Arial"/>
        </w:rPr>
        <w:t xml:space="preserve">f </w:t>
      </w:r>
      <w:r w:rsidR="008E0FDC" w:rsidRPr="26EC6AF4">
        <w:rPr>
          <w:rFonts w:eastAsia="Arial" w:cs="Arial"/>
        </w:rPr>
        <w:t xml:space="preserve">EE and SP </w:t>
      </w:r>
      <w:r w:rsidR="00CD5212" w:rsidRPr="26EC6AF4">
        <w:rPr>
          <w:rFonts w:eastAsia="Arial" w:cs="Arial"/>
        </w:rPr>
        <w:t>on melanopsin</w:t>
      </w:r>
      <w:r w:rsidR="00A00FB6" w:rsidRPr="26EC6AF4">
        <w:rPr>
          <w:rFonts w:eastAsia="Arial" w:cs="Arial"/>
        </w:rPr>
        <w:t>-mediated pupil responses</w:t>
      </w:r>
      <w:r w:rsidR="00CD5212" w:rsidRPr="26EC6AF4">
        <w:rPr>
          <w:rFonts w:eastAsia="Arial" w:cs="Arial"/>
        </w:rPr>
        <w:t xml:space="preserve"> (</w:t>
      </w:r>
      <w:r w:rsidR="00CD5212" w:rsidRPr="26EC6AF4">
        <w:rPr>
          <w:rFonts w:eastAsia="Arial" w:cs="Arial"/>
          <w:b/>
          <w:bCs/>
        </w:rPr>
        <w:t>CH</w:t>
      </w:r>
      <w:r w:rsidR="00A00FB6" w:rsidRPr="26EC6AF4">
        <w:rPr>
          <w:rFonts w:eastAsia="Arial" w:cs="Arial"/>
          <w:b/>
          <w:bCs/>
        </w:rPr>
        <w:t>4b</w:t>
      </w:r>
      <w:r w:rsidR="00CD5212" w:rsidRPr="26EC6AF4">
        <w:rPr>
          <w:rFonts w:eastAsia="Arial" w:cs="Arial"/>
        </w:rPr>
        <w:t xml:space="preserve">). </w:t>
      </w:r>
    </w:p>
    <w:p w14:paraId="61C9CEEA" w14:textId="5BA3B036" w:rsidR="00181394" w:rsidRPr="00636A12" w:rsidRDefault="00181394" w:rsidP="00636A12">
      <w:pPr>
        <w:pStyle w:val="Heading2"/>
      </w:pPr>
      <w:r w:rsidRPr="00636A12">
        <w:t>A note on terminology</w:t>
      </w:r>
    </w:p>
    <w:p w14:paraId="4188F7E4" w14:textId="62AA74A5" w:rsidR="6D9E9717" w:rsidRPr="008F491C" w:rsidRDefault="00440646" w:rsidP="00CC766F">
      <w:pPr>
        <w:rPr>
          <w:rFonts w:eastAsia="Arial"/>
        </w:rPr>
      </w:pPr>
      <w:r>
        <w:rPr>
          <w:rFonts w:eastAsia="Arial"/>
        </w:rPr>
        <w:t xml:space="preserve">In this </w:t>
      </w:r>
      <w:r w:rsidR="00781627">
        <w:rPr>
          <w:rFonts w:eastAsia="Arial"/>
        </w:rPr>
        <w:t>R</w:t>
      </w:r>
      <w:r>
        <w:rPr>
          <w:rFonts w:eastAsia="Arial"/>
        </w:rPr>
        <w:t xml:space="preserve">egistered </w:t>
      </w:r>
      <w:r w:rsidR="00781627">
        <w:rPr>
          <w:rFonts w:eastAsia="Arial"/>
        </w:rPr>
        <w:t>R</w:t>
      </w:r>
      <w:r>
        <w:rPr>
          <w:rFonts w:eastAsia="Arial"/>
        </w:rPr>
        <w:t xml:space="preserve">eport, we refer to sex differences as differences between </w:t>
      </w:r>
      <w:r w:rsidR="00F649BF">
        <w:rPr>
          <w:rFonts w:eastAsia="Arial"/>
        </w:rPr>
        <w:t>female participants (having reproductive organs consistent with the female biological sex) and male participants (having reproductive organs consistent with the male biological sex). The ter</w:t>
      </w:r>
      <w:r>
        <w:rPr>
          <w:rFonts w:eastAsia="Arial"/>
        </w:rPr>
        <w:t>m “sex differences” is not interchangeable with</w:t>
      </w:r>
      <w:r w:rsidR="00481D73">
        <w:rPr>
          <w:rFonts w:eastAsia="Arial"/>
        </w:rPr>
        <w:t xml:space="preserve"> “</w:t>
      </w:r>
      <w:r>
        <w:rPr>
          <w:rFonts w:eastAsia="Arial"/>
        </w:rPr>
        <w:t>gender differences</w:t>
      </w:r>
      <w:r w:rsidR="00481D73">
        <w:rPr>
          <w:rFonts w:eastAsia="Arial"/>
        </w:rPr>
        <w:t>”</w:t>
      </w:r>
      <w:r w:rsidR="00B57711">
        <w:rPr>
          <w:rFonts w:eastAsia="Arial"/>
        </w:rPr>
        <w:t>. S</w:t>
      </w:r>
      <w:r>
        <w:rPr>
          <w:rFonts w:eastAsia="Arial"/>
        </w:rPr>
        <w:t xml:space="preserve">ex is determined by reproductive organs, genes, and hormones, while gender refers to socially and culturally </w:t>
      </w:r>
      <w:r w:rsidR="00781627">
        <w:rPr>
          <w:rFonts w:eastAsia="Arial"/>
        </w:rPr>
        <w:t xml:space="preserve">defined </w:t>
      </w:r>
      <w:r>
        <w:rPr>
          <w:rFonts w:eastAsia="Arial"/>
        </w:rPr>
        <w:t xml:space="preserve">characteristics </w:t>
      </w:r>
      <w:r w:rsidR="00481D73">
        <w:rPr>
          <w:rFonts w:eastAsia="Arial"/>
        </w:rPr>
        <w:fldChar w:fldCharType="begin"/>
      </w:r>
      <w:r w:rsidR="0092047F">
        <w:rPr>
          <w:rFonts w:eastAsia="Arial"/>
        </w:rPr>
        <w:instrText xml:space="preserve"> ADDIN ZOTERO_ITEM CSL_CITATION {"citationID":"3r44rrrQ","properties":{"formattedCitation":"(Tannenbaum et al., 2019; Torgrimson &amp; Minson, 2005)","plainCitation":"(Tannenbaum et al., 2019; Torgrimson &amp; Minson, 2005)","noteIndex":0},"citationItems":[{"id":9810,"uris":["http://zotero.org/users/11330488/items/9VMR3EY8"],"itemData":{"id":9810,"type":"article-journal","abstract":"The goal of sex and gender analysis is to promote rigorous, reproducible and responsible science. Incorporating sex and gender analysis into experimental design has enabled advancements across many disciplines, such as improved treatment of heart disease and insights into the societal impact of algorithmic bias. Here we discuss the potential for sex and gender analysis to foster scientific discovery, improve experimental efficiency and enable social equality. We provide a roadmap for sex and gender analysis across scientific disciplines and call on researchers, funding agencies, peer-reviewed journals and universities to coordinate efforts to implement robust methods of sex and gender analysis.","container-title":"Nature","DOI":"10.1038/s41586-019-1657-6","ISSN":"1476-4687","issue":"7781","language":"en","license":"2019 Springer Nature Limited","note":"publisher: Nature Publishing Group","page":"137-146","source":"www.nature.com","title":"Sex and gender analysis improves science and engineering","volume":"575","author":[{"family":"Tannenbaum","given":"Cara"},{"family":"Ellis","given":"Robert P."},{"family":"Eyssel","given":"Friederike"},{"family":"Zou","given":"James"},{"family":"Schiebinger","given":"Londa"}],"issued":{"date-parts":[["2019",11]]}}},{"id":9625,"uris":["http://zotero.org/users/11330488/items/WRTXSHAA"],"itemData":{"id":9625,"type":"article-journal","container-title":"Journal of Applied Physiology","DOI":"10.1152/japplphysiol.00376.2005","ISSN":"8750-7587","issue":"3","note":"publisher: American Physiological Society","page":"785-787","source":"journals.physiology.org (Atypon)","title":"Sex and gender: what is the difference?","title-short":"Sex and gender","volume":"99","author":[{"family":"Torgrimson","given":"Britta N."},{"family":"Minson","given":"Christopher T."}],"issued":{"date-parts":[["2005",9]]}}}],"schema":"https://github.com/citation-style-language/schema/raw/master/csl-citation.json"} </w:instrText>
      </w:r>
      <w:r w:rsidR="00481D73">
        <w:rPr>
          <w:rFonts w:eastAsia="Arial"/>
        </w:rPr>
        <w:fldChar w:fldCharType="separate"/>
      </w:r>
      <w:r w:rsidR="0056024A" w:rsidRPr="0056024A">
        <w:rPr>
          <w:rFonts w:cs="Arial"/>
        </w:rPr>
        <w:t>(Tannenbaum et al., 2019; Torgrimson &amp; Minson, 2005)</w:t>
      </w:r>
      <w:r w:rsidR="00481D73">
        <w:rPr>
          <w:rFonts w:eastAsia="Arial"/>
        </w:rPr>
        <w:fldChar w:fldCharType="end"/>
      </w:r>
      <w:r w:rsidR="00481D73">
        <w:rPr>
          <w:rFonts w:eastAsia="Arial"/>
        </w:rPr>
        <w:t xml:space="preserve">. </w:t>
      </w:r>
      <w:r w:rsidR="00F77E44">
        <w:rPr>
          <w:rFonts w:eastAsia="Arial"/>
        </w:rPr>
        <w:t>W</w:t>
      </w:r>
      <w:r w:rsidR="00481D73">
        <w:rPr>
          <w:rFonts w:eastAsia="Arial"/>
        </w:rPr>
        <w:t xml:space="preserve">e acknowledge that not every female </w:t>
      </w:r>
      <w:r w:rsidR="00682472">
        <w:rPr>
          <w:rFonts w:eastAsia="Arial"/>
        </w:rPr>
        <w:t xml:space="preserve">participant </w:t>
      </w:r>
      <w:r w:rsidR="00481D73">
        <w:rPr>
          <w:rFonts w:eastAsia="Arial"/>
        </w:rPr>
        <w:t>in our study might identify as a woman, and not every male</w:t>
      </w:r>
      <w:r w:rsidR="00682472">
        <w:rPr>
          <w:rFonts w:eastAsia="Arial"/>
        </w:rPr>
        <w:t xml:space="preserve"> participant</w:t>
      </w:r>
      <w:r w:rsidR="00481D73">
        <w:rPr>
          <w:rFonts w:eastAsia="Arial"/>
        </w:rPr>
        <w:t xml:space="preserve"> might identify as a man</w:t>
      </w:r>
      <w:r w:rsidR="00695C73">
        <w:rPr>
          <w:rFonts w:eastAsia="Arial"/>
        </w:rPr>
        <w:t>. While in this document we refer to female and male</w:t>
      </w:r>
      <w:r w:rsidR="00682472">
        <w:rPr>
          <w:rFonts w:eastAsia="Arial"/>
        </w:rPr>
        <w:t xml:space="preserve"> participants</w:t>
      </w:r>
      <w:r w:rsidR="00695C73">
        <w:rPr>
          <w:rFonts w:eastAsia="Arial"/>
        </w:rPr>
        <w:t xml:space="preserve">, </w:t>
      </w:r>
      <w:r w:rsidR="0021385B">
        <w:rPr>
          <w:rFonts w:eastAsia="Arial"/>
        </w:rPr>
        <w:t xml:space="preserve">during the study </w:t>
      </w:r>
      <w:r w:rsidR="00695C73">
        <w:rPr>
          <w:rFonts w:eastAsia="Arial"/>
        </w:rPr>
        <w:t>we</w:t>
      </w:r>
      <w:r w:rsidR="00481D73">
        <w:rPr>
          <w:rFonts w:eastAsia="Arial"/>
        </w:rPr>
        <w:t xml:space="preserve"> will refer to participants with </w:t>
      </w:r>
      <w:r w:rsidR="00F649BF">
        <w:rPr>
          <w:rFonts w:eastAsia="Arial"/>
        </w:rPr>
        <w:t>the</w:t>
      </w:r>
      <w:r w:rsidR="007715FF">
        <w:rPr>
          <w:rFonts w:eastAsia="Arial"/>
        </w:rPr>
        <w:t>ir preferred</w:t>
      </w:r>
      <w:r w:rsidR="00F649BF">
        <w:rPr>
          <w:rFonts w:eastAsia="Arial"/>
        </w:rPr>
        <w:t xml:space="preserve"> </w:t>
      </w:r>
      <w:r w:rsidR="00695C73">
        <w:rPr>
          <w:rFonts w:eastAsia="Arial"/>
        </w:rPr>
        <w:t>pronouns indicated at screening</w:t>
      </w:r>
      <w:r w:rsidR="00481D73">
        <w:rPr>
          <w:rFonts w:eastAsia="Arial"/>
        </w:rPr>
        <w:t>.</w:t>
      </w:r>
      <w:r w:rsidR="00243625">
        <w:rPr>
          <w:rFonts w:eastAsia="Arial"/>
        </w:rPr>
        <w:t xml:space="preserve"> A copy of the Sex and Gender Equity in Research (SAGER) Checklist </w:t>
      </w:r>
      <w:r w:rsidR="00DA4730">
        <w:rPr>
          <w:rFonts w:eastAsia="Arial"/>
        </w:rPr>
        <w:fldChar w:fldCharType="begin"/>
      </w:r>
      <w:r w:rsidR="00DA4730">
        <w:rPr>
          <w:rFonts w:eastAsia="Arial"/>
        </w:rPr>
        <w:instrText xml:space="preserve"> ADDIN ZOTERO_ITEM CSL_CITATION {"citationID":"jFSQ6FVq","properties":{"formattedCitation":"(Heidari et al., 2016)","plainCitation":"(Heidari et al., 2016)","noteIndex":0},"citationItems":[{"id":9937,"uris":["http://zotero.org/users/11330488/items/FGFLM3CV"],"itemData":{"id":9937,"type":"article-journal","abstract":"Sex and gender differences are often overlooked in research design, study implementation and scientific reporting, as well as in general science communication. This oversight limits the generalizability of research findings and their applicability to clinical practice, in particular for women but also for men. This article describes the rationale for an international set of guidelines to encourage a more systematic approach to the reporting of sex and gender in research across disciplines.","container-title":"Research Integrity and Peer Review","DOI":"10.1186/s41073-016-0007-6","ISSN":"2058-8615","issue":"1","journalAbbreviation":"Research Integrity and Peer Review","page":"2","source":"BioMed Central","title":"Sex and Gender Equity in Research: rationale for the SAGER guidelines and recommended use","title-short":"Sex and Gender Equity in Research","volume":"1","author":[{"family":"Heidari","given":"Shirin"},{"family":"Babor","given":"Thomas F."},{"family":"De Castro","given":"Paola"},{"family":"Tort","given":"Sera"},{"family":"Curno","given":"Mirjam"}],"issued":{"date-parts":[["2016",5,3]]}}}],"schema":"https://github.com/citation-style-language/schema/raw/master/csl-citation.json"} </w:instrText>
      </w:r>
      <w:r w:rsidR="00DA4730">
        <w:rPr>
          <w:rFonts w:eastAsia="Arial"/>
        </w:rPr>
        <w:fldChar w:fldCharType="separate"/>
      </w:r>
      <w:r w:rsidR="00DA4730" w:rsidRPr="00DA4730">
        <w:rPr>
          <w:rFonts w:cs="Arial"/>
        </w:rPr>
        <w:t>(Heidari et al., 2016)</w:t>
      </w:r>
      <w:r w:rsidR="00DA4730">
        <w:rPr>
          <w:rFonts w:eastAsia="Arial"/>
        </w:rPr>
        <w:fldChar w:fldCharType="end"/>
      </w:r>
      <w:r w:rsidR="00DA4730">
        <w:rPr>
          <w:rFonts w:eastAsia="Arial"/>
        </w:rPr>
        <w:t xml:space="preserve"> </w:t>
      </w:r>
      <w:r w:rsidR="00382737">
        <w:rPr>
          <w:rFonts w:eastAsia="Arial"/>
        </w:rPr>
        <w:t xml:space="preserve">for reporting sex and gender variables in human research </w:t>
      </w:r>
      <w:r w:rsidR="005E060A">
        <w:rPr>
          <w:rFonts w:eastAsia="Arial"/>
        </w:rPr>
        <w:t>is</w:t>
      </w:r>
      <w:r w:rsidR="00243625">
        <w:rPr>
          <w:rFonts w:eastAsia="Arial"/>
        </w:rPr>
        <w:t xml:space="preserve"> included in the </w:t>
      </w:r>
      <w:r w:rsidR="00243625" w:rsidRPr="00243625">
        <w:rPr>
          <w:rFonts w:eastAsia="Arial"/>
          <w:i/>
          <w:iCs/>
        </w:rPr>
        <w:t>Supplementary materials</w:t>
      </w:r>
      <w:r w:rsidR="00243625">
        <w:rPr>
          <w:rFonts w:eastAsia="Arial"/>
        </w:rPr>
        <w:t>.</w:t>
      </w:r>
      <w:r w:rsidR="0009497B">
        <w:rPr>
          <w:rFonts w:eastAsia="Arial"/>
        </w:rPr>
        <w:br w:type="page"/>
      </w:r>
    </w:p>
    <w:p w14:paraId="76B7A022" w14:textId="6B861521" w:rsidR="00FC43F9" w:rsidRPr="008F491C" w:rsidRDefault="00FC43F9" w:rsidP="004E7693">
      <w:pPr>
        <w:pStyle w:val="Heading1"/>
        <w:spacing w:before="120" w:after="120" w:line="240" w:lineRule="auto"/>
        <w:rPr>
          <w:rFonts w:cs="Arial"/>
          <w:i/>
        </w:rPr>
      </w:pPr>
      <w:r w:rsidRPr="008F491C">
        <w:rPr>
          <w:rFonts w:cs="Arial"/>
        </w:rPr>
        <w:lastRenderedPageBreak/>
        <w:t>Methods</w:t>
      </w:r>
    </w:p>
    <w:p w14:paraId="2210A940" w14:textId="308EBE74" w:rsidR="0077661B" w:rsidRPr="008F491C" w:rsidRDefault="007960F0" w:rsidP="007960F0">
      <w:pPr>
        <w:pStyle w:val="Heading2"/>
        <w:rPr>
          <w:rFonts w:eastAsiaTheme="minorEastAsia" w:cs="Arial"/>
        </w:rPr>
      </w:pPr>
      <w:r w:rsidRPr="008F491C">
        <w:rPr>
          <w:rFonts w:eastAsiaTheme="minorEastAsia" w:cs="Arial"/>
        </w:rPr>
        <w:t>Ethics information</w:t>
      </w:r>
    </w:p>
    <w:p w14:paraId="394CA98D" w14:textId="3AA76F6F" w:rsidR="0009497B" w:rsidRDefault="0009497B" w:rsidP="00B57711">
      <w:r>
        <w:t xml:space="preserve">The study protocol will be approved by the Ethics Committee of the Technical University of Munich. </w:t>
      </w:r>
      <w:r w:rsidR="00A57848">
        <w:t>D</w:t>
      </w:r>
      <w:r w:rsidR="00980389">
        <w:t>uring the in-person screening,</w:t>
      </w:r>
      <w:r>
        <w:t xml:space="preserve"> participants will provide written informed consent</w:t>
      </w:r>
      <w:r w:rsidR="00A57848">
        <w:t xml:space="preserve"> before any experimental procedures</w:t>
      </w:r>
      <w:r w:rsidR="00980389">
        <w:t xml:space="preserve">. </w:t>
      </w:r>
      <w:r w:rsidR="63DC4C68">
        <w:t>The study will be performed in line with the principles of the Declaration of Helsinki</w:t>
      </w:r>
      <w:r w:rsidR="2DC2A7E7">
        <w:t xml:space="preserve">. </w:t>
      </w:r>
    </w:p>
    <w:p w14:paraId="11744D6B" w14:textId="623B9401" w:rsidR="00980389" w:rsidRDefault="00980389" w:rsidP="7049312C">
      <w:pPr>
        <w:pStyle w:val="Heading2"/>
        <w:rPr>
          <w:rFonts w:eastAsiaTheme="minorEastAsia" w:cs="Arial"/>
        </w:rPr>
      </w:pPr>
      <w:r w:rsidRPr="7049312C">
        <w:rPr>
          <w:rFonts w:eastAsiaTheme="minorEastAsia" w:cs="Arial"/>
        </w:rPr>
        <w:t>Sampling plan</w:t>
      </w:r>
    </w:p>
    <w:p w14:paraId="22A9E76C" w14:textId="00D3F56E" w:rsidR="002A6D46" w:rsidRDefault="002A6D46" w:rsidP="002A6D46">
      <w:pPr>
        <w:pStyle w:val="Heading3"/>
      </w:pPr>
      <w:r>
        <w:t>Recruitment</w:t>
      </w:r>
      <w:r w:rsidR="003F0FE6">
        <w:t xml:space="preserve"> and screening </w:t>
      </w:r>
    </w:p>
    <w:p w14:paraId="23F58F99" w14:textId="73BADBA8" w:rsidR="00746B55" w:rsidRDefault="5CE66923" w:rsidP="00746B55">
      <w:r>
        <w:t xml:space="preserve">Participants will be recruited using several strategies, including fliers distributed around Tübingen or shared on social media. We will also use university and campus mailing lists and word of mouth to facilitate recruitment. The recruitment materials will redirect participants to an online screening form implemented on </w:t>
      </w:r>
      <w:proofErr w:type="spellStart"/>
      <w:r>
        <w:t>REDCap</w:t>
      </w:r>
      <w:proofErr w:type="spellEnd"/>
      <w:r>
        <w:t xml:space="preserve"> </w:t>
      </w:r>
      <w:r w:rsidR="002A6D46">
        <w:fldChar w:fldCharType="begin"/>
      </w:r>
      <w:r w:rsidR="0092047F">
        <w:instrText xml:space="preserve"> ADDIN ZOTERO_ITEM CSL_CITATION {"citationID":"XVCUbET5","properties":{"formattedCitation":"(Harris et al., 2009, 2019)","plainCitation":"(Harris et al., 2009, 2019)","noteIndex":0},"citationItems":[{"id":289,"uris":["http://zotero.org/users/11330488/items/39WX7AXL"],"itemData":{"id":289,"type":"article-journal","abstract":"Research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institutions.","container-title":"Journal of Biomedical Informatics","DOI":"10.1016/j.jbi.2008.08.010","ISSN":"1532-0464","issue":"2","journalAbbreviation":"Journal of Biomedical Informatics","page":"377-381","source":"ScienceDirect","title":"Research electronic data capture (REDCap)—A metadata-driven methodology and workflow process for providing translational research informatics support","volume":"42","author":[{"family":"Harris","given":"Paul A."},{"family":"Taylor","given":"Robert"},{"family":"Thielke","given":"Robert"},{"family":"Payne","given":"Jonathon"},{"family":"Gonzalez","given":"Nathaniel"},{"family":"Conde","given":"Jose G."}],"issued":{"date-parts":[["2009",4,1]]}}},{"id":9806,"uris":["http://zotero.org/users/11330488/items/KSWG9YRW"],"itemData":{"id":9806,"type":"article-journal","abstract":"The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technologies.","container-title":"Journal of Biomedical Informatics","DOI":"10.1016/j.jbi.2019.103208","ISSN":"1532-0464","journalAbbreviation":"Journal of Biomedical Informatics","page":"103208","source":"ScienceDirect","title":"The REDCap consortium: Building an international community of software platform partners","title-short":"The REDCap consortium","volume":"95","author":[{"family":"Harris","given":"Paul A."},{"family":"Taylor","given":"Robert"},{"family":"Minor","given":"Brenda L."},{"family":"Elliott","given":"Veida"},{"family":"Fernandez","given":"Michelle"},{"family":"O'Neal","given":"Lindsay"},{"family":"McLeod","given":"Laura"},{"family":"Delacqua","given":"Giovanni"},{"family":"Delacqua","given":"Francesco"},{"family":"Kirby","given":"Jacqueline"},{"family":"Duda","given":"Stephany N."}],"issued":{"date-parts":[["2019",7,1]]}}}],"schema":"https://github.com/citation-style-language/schema/raw/master/csl-citation.json"} </w:instrText>
      </w:r>
      <w:r w:rsidR="002A6D46">
        <w:fldChar w:fldCharType="separate"/>
      </w:r>
      <w:r w:rsidRPr="5CE66923">
        <w:rPr>
          <w:rFonts w:cs="Arial"/>
        </w:rPr>
        <w:t>(Harris et al., 2009, 2019)</w:t>
      </w:r>
      <w:r w:rsidR="002A6D46">
        <w:fldChar w:fldCharType="end"/>
      </w:r>
      <w:r>
        <w:t xml:space="preserve">, which contains questionnaires assessing participants' eligibility for the study. Eligible individuals will then be invited to an in-person screening, where further eligibility criteria will be tested (for a detailed list of online and in-person inclusion and exclusion criteria, see Table 2). During the in-person screening, participants will be introduced to the laboratory space, instruments, and protocols, so they can familiarise themselves with the environment of the experimental sessions. Moreover, they will download the </w:t>
      </w:r>
      <w:proofErr w:type="spellStart"/>
      <w:r>
        <w:t>MyCap</w:t>
      </w:r>
      <w:proofErr w:type="spellEnd"/>
      <w:r>
        <w:t xml:space="preserve"> app </w:t>
      </w:r>
      <w:r w:rsidR="002A6D46">
        <w:fldChar w:fldCharType="begin"/>
      </w:r>
      <w:r w:rsidR="0092047F">
        <w:instrText xml:space="preserve"> ADDIN ZOTERO_ITEM CSL_CITATION {"citationID":"yBX4vjUK","properties":{"formattedCitation":"(Harris et al., 2022)","plainCitation":"(Harris et al., 2022)","noteIndex":0},"citationItems":[{"id":287,"uris":["http://zotero.org/users/11330488/items/XQZUZX7C"],"itemData":{"id":287,"type":"article-journal","abstract":"This paper provides a description of the MyCap data collection platform, utilization metrics, and vignettes associated with use from diverse research institutions. MyCap is a participant-facing mobile application for survey data collection and the automated administration of active tasks (activities performed by participants using mobile device sensors under semi-controlled conditions). Launched in 2018, MyCap is a no-code solution for research teams conducting longitudinal studies, integrates tightly with REDCap and is available at no cost to research teams at academic, nonprofit, or government organizations. MyCap has been deployed at multiple research institutions with application usage logged across 135 countries in 2021. Vignettes demonstrate that MyCap empowered research teams to explore and implement novel methods of information collection and use. MyCap’s integration with REDCap provides a comprehensive data collection ecosystem and is best suited for longitudinal studies with frequent requests for information from participants.","container-title":"JAMIA Open","DOI":"10.1093/jamiaopen/ooac047","ISSN":"2574-2531","issue":"2","journalAbbreviation":"JAMIA Open","page":"ooac047","source":"Silverchair","title":"MyCap: a flexible and configurable platform for mobilizing the participant voice","title-short":"MyCap","volume":"5","author":[{"family":"Harris","given":"Paul A"},{"family":"Swafford","given":"Jonathan"},{"family":"Serdoz","given":"Emily S"},{"family":"Eidenmuller","given":"Jessica"},{"family":"Delacqua","given":"Giovanni"},{"family":"Jagtap","given":"Vaishali"},{"family":"Taylor","given":"Robert J"},{"family":"Gelbard","given":"Alexander"},{"family":"Cheng","given":"Alex C"},{"family":"Duda","given":"Stephany N"}],"issued":{"date-parts":[["2022",7,1]]}}}],"schema":"https://github.com/citation-style-language/schema/raw/master/csl-citation.json"} </w:instrText>
      </w:r>
      <w:r w:rsidR="002A6D46">
        <w:fldChar w:fldCharType="separate"/>
      </w:r>
      <w:r w:rsidRPr="5CE66923">
        <w:rPr>
          <w:rFonts w:cs="Arial"/>
        </w:rPr>
        <w:t>(Harris et al., 2022)</w:t>
      </w:r>
      <w:r w:rsidR="002A6D46">
        <w:fldChar w:fldCharType="end"/>
      </w:r>
      <w:r>
        <w:t xml:space="preserve">, which will be used to fill in at-home questionnaires during the study (see </w:t>
      </w:r>
      <w:r w:rsidRPr="5CE66923">
        <w:rPr>
          <w:i/>
          <w:iCs/>
        </w:rPr>
        <w:t>Continuous measurements</w:t>
      </w:r>
      <w:r>
        <w:t>). Participants will be given the opportunity to ask any questions before providing written consent to participate in the study. All participant-facing information, including all questionnaires and study-related information</w:t>
      </w:r>
      <w:r w:rsidR="005E060A">
        <w:t>, will be in English</w:t>
      </w:r>
      <w:r>
        <w:t xml:space="preserve">. Any verbal exchange between the researchers and the participants (in-person or via email) will also take place in English. </w:t>
      </w:r>
    </w:p>
    <w:p w14:paraId="3801DBF5" w14:textId="11667DD2" w:rsidR="00181394" w:rsidRDefault="00181394" w:rsidP="00746B55">
      <w:pPr>
        <w:pStyle w:val="Heading3"/>
      </w:pPr>
      <w:r>
        <w:t>Participant compensation</w:t>
      </w:r>
    </w:p>
    <w:p w14:paraId="31576E15" w14:textId="2D3553D8" w:rsidR="006825BE" w:rsidRDefault="006825BE" w:rsidP="006825BE">
      <w:r>
        <w:t xml:space="preserve">Participants will be remunerated for their time. </w:t>
      </w:r>
      <w:r w:rsidR="005336AA">
        <w:t xml:space="preserve">We consider “time spent participating in the study” as the time spent in the laboratory during experimental sessions, </w:t>
      </w:r>
      <w:r w:rsidR="00B57711">
        <w:t xml:space="preserve">the number of weeks of keeping </w:t>
      </w:r>
      <w:r w:rsidR="00716351">
        <w:t xml:space="preserve">and logging </w:t>
      </w:r>
      <w:r w:rsidR="00B57711">
        <w:t xml:space="preserve">a regular sleep/wake schedule, </w:t>
      </w:r>
      <w:r w:rsidR="006B648E">
        <w:t xml:space="preserve">the time spent logging mood symptoms, </w:t>
      </w:r>
      <w:r w:rsidR="005336AA">
        <w:t xml:space="preserve">the time spent performing at-home </w:t>
      </w:r>
      <w:r w:rsidR="00F35D6F">
        <w:t>luteinising hormone (LH)</w:t>
      </w:r>
      <w:r w:rsidR="00022B03">
        <w:t xml:space="preserve"> </w:t>
      </w:r>
      <w:r w:rsidR="005336AA">
        <w:t>tests</w:t>
      </w:r>
      <w:r w:rsidR="00601D55">
        <w:t xml:space="preserve"> (NC group)</w:t>
      </w:r>
      <w:r w:rsidR="005336AA">
        <w:t xml:space="preserve">, </w:t>
      </w:r>
      <w:r w:rsidR="00022B03">
        <w:t xml:space="preserve">and </w:t>
      </w:r>
      <w:r w:rsidR="00B57711">
        <w:t xml:space="preserve">the time spent </w:t>
      </w:r>
      <w:r w:rsidR="009C46CF">
        <w:t>logging</w:t>
      </w:r>
      <w:r w:rsidR="00601D55">
        <w:t xml:space="preserve"> oral contraceptive intake timing (MCOC group)</w:t>
      </w:r>
      <w:r w:rsidR="00022B03">
        <w:t xml:space="preserve">. This compensation strategy implies that different participants might be remunerated differently based on the participant group they belong to (NC group, MCOC group, </w:t>
      </w:r>
      <w:r w:rsidR="00F35D6F">
        <w:t>or</w:t>
      </w:r>
      <w:r w:rsidR="00022B03">
        <w:t xml:space="preserve"> HM group). For example, the number of weeks of regular sleep/wake schedule might differ between participants</w:t>
      </w:r>
      <w:r w:rsidR="00521A19">
        <w:t xml:space="preserve"> due to</w:t>
      </w:r>
      <w:r w:rsidR="00022B03">
        <w:t xml:space="preserve"> our </w:t>
      </w:r>
      <w:r w:rsidR="00022B03">
        <w:lastRenderedPageBreak/>
        <w:t xml:space="preserve">scheduling strategy (see </w:t>
      </w:r>
      <w:r w:rsidR="00022B03" w:rsidRPr="006B648E">
        <w:rPr>
          <w:i/>
          <w:iCs/>
        </w:rPr>
        <w:t>Participants scheduling</w:t>
      </w:r>
      <w:r w:rsidR="00022B03">
        <w:t xml:space="preserve"> below). Furthermore, </w:t>
      </w:r>
      <w:r w:rsidR="00EB4C3D">
        <w:t xml:space="preserve">to acknowledge the flexibility that NC group participants will </w:t>
      </w:r>
      <w:r w:rsidR="00022B03">
        <w:t xml:space="preserve">adopt </w:t>
      </w:r>
      <w:r w:rsidR="00EB4C3D">
        <w:t>during the study period in terms of scheduling sessions sequentially, rather than establishing</w:t>
      </w:r>
      <w:r w:rsidR="00022B03">
        <w:t xml:space="preserve"> dates of</w:t>
      </w:r>
      <w:r w:rsidR="00EB4C3D">
        <w:t xml:space="preserve"> experimental sessions at screening as for the other two groups, these participants will </w:t>
      </w:r>
      <w:r w:rsidR="00022B03">
        <w:t>receive a bonus remuneration for each scheduled experimental session</w:t>
      </w:r>
      <w:r w:rsidR="00EB4C3D">
        <w:t xml:space="preserve">. </w:t>
      </w:r>
      <w:r w:rsidR="00022B03">
        <w:t>Participants will also receive a bonus if they complete all experimental sessions</w:t>
      </w:r>
      <w:r w:rsidR="005E060A">
        <w:t xml:space="preserve"> and the discharge questionnaire</w:t>
      </w:r>
      <w:r w:rsidR="00022B03">
        <w:t xml:space="preserve"> (n=5). </w:t>
      </w:r>
      <w:r w:rsidR="004F73FD">
        <w:t xml:space="preserve">The compensation strategy for this study is summarised in </w:t>
      </w:r>
      <w:r w:rsidR="007A539F" w:rsidRPr="007A539F">
        <w:rPr>
          <w:i/>
          <w:iCs/>
        </w:rPr>
        <w:t xml:space="preserve">Supplementary materials </w:t>
      </w:r>
      <w:r w:rsidR="007A539F">
        <w:t>(</w:t>
      </w:r>
      <w:r w:rsidR="004F73FD">
        <w:t xml:space="preserve">Table </w:t>
      </w:r>
      <w:r w:rsidR="007A539F">
        <w:t>S</w:t>
      </w:r>
      <w:r w:rsidR="004F73FD">
        <w:t>1</w:t>
      </w:r>
      <w:r w:rsidR="007A539F">
        <w:t>)</w:t>
      </w:r>
      <w:r w:rsidR="004F73FD">
        <w:t xml:space="preserve">. </w:t>
      </w:r>
    </w:p>
    <w:p w14:paraId="1BD503A9" w14:textId="14716C84" w:rsidR="008E50C6" w:rsidRDefault="008E50C6" w:rsidP="008E50C6">
      <w:pPr>
        <w:pStyle w:val="Heading3"/>
      </w:pPr>
      <w:r>
        <w:t>Inclusion and exclusion criteria</w:t>
      </w:r>
    </w:p>
    <w:p w14:paraId="5E5CB421" w14:textId="14C503D1" w:rsidR="007E716E" w:rsidRDefault="007E716E" w:rsidP="007E716E">
      <w:r>
        <w:t>We will recruit healthy participants aged between 23 and 35 years with good English language proficiency.</w:t>
      </w:r>
      <w:r w:rsidR="00B115BA">
        <w:t xml:space="preserve"> The choice of this age group is </w:t>
      </w:r>
      <w:r w:rsidR="01FD8E50">
        <w:t xml:space="preserve">due to </w:t>
      </w:r>
      <w:r w:rsidR="00B115BA">
        <w:t>the need for full ovulatory competence in the naturally cycling group, which is highest from the mid-twenties to mid-thirties of a</w:t>
      </w:r>
      <w:r w:rsidR="003F0FE6">
        <w:t xml:space="preserve"> female’s </w:t>
      </w:r>
      <w:r w:rsidR="00B115BA">
        <w:t xml:space="preserve">lifespan </w:t>
      </w:r>
      <w:r>
        <w:fldChar w:fldCharType="begin"/>
      </w:r>
      <w:r w:rsidR="0092047F">
        <w:instrText xml:space="preserve"> ADDIN ZOTERO_ITEM CSL_CITATION {"citationID":"e3Gt7SLI","properties":{"formattedCitation":"(Hampson, 2020)","plainCitation":"(Hampson, 2020)","noteIndex":0},"citationItems":[{"id":7269,"uris":["http://zotero.org/users/11330488/items/CNT9A99M"],"itemData":{"id":7269,"type":"article-journal","abstract":"There is increasing evidence that reproductive hormones exert regulatory effects in the central nervous system that can influence behavioral, cognitive, perceptual, affective, and motivational processes. These effects occur in adults and post-pubertal individuals, and can be demonstrated in humans as well as laboratory animals. Large changes in 17β-estradiol and progesterone occur over the ovarian cycle (i.e., the menstrual cycle) and afford a way for researchers to explore the central nervous system (CNS) effects of these hormones under natural physiological conditions. Increasingly, oral contraceptives are also being studied, both as another route to understanding the CNS effects of reproductive hormones and also as pharmacological agents in their own right. This mini-review will summarize the basic physiology of the menstrual cycle and essential facts about oral contraceptives to help novice researchers to use both paradigms effectively.","container-title":"Hormones and Behavior","DOI":"10.1016/j.yhbeh.2019.104655","ISSN":"0018-506X","journalAbbreviation":"Hormones and Behavior","page":"104655","source":"ScienceDirect","title":"A brief guide to the menstrual cycle and oral contraceptive use for researchers in behavioral endocrinology","volume":"119","author":[{"family":"Hampson","given":"Elizabeth"}],"issued":{"date-parts":[["2020",3,1]]}}}],"schema":"https://github.com/citation-style-language/schema/raw/master/csl-citation.json"} </w:instrText>
      </w:r>
      <w:r>
        <w:fldChar w:fldCharType="separate"/>
      </w:r>
      <w:r w:rsidR="00B115BA" w:rsidRPr="7049312C">
        <w:rPr>
          <w:rFonts w:cs="Arial"/>
        </w:rPr>
        <w:t>(Hampson, 2020)</w:t>
      </w:r>
      <w:r>
        <w:fldChar w:fldCharType="end"/>
      </w:r>
      <w:r w:rsidR="00B115BA">
        <w:t xml:space="preserve">. </w:t>
      </w:r>
      <w:r>
        <w:t xml:space="preserve">Physical, mental, ocular and retinal health will be assessed during online screening and/or in-person screening (Table </w:t>
      </w:r>
      <w:r w:rsidR="004F73FD">
        <w:t>2</w:t>
      </w:r>
      <w:r>
        <w:t>).</w:t>
      </w:r>
      <w:r w:rsidR="00B115BA">
        <w:t xml:space="preserve"> </w:t>
      </w:r>
    </w:p>
    <w:tbl>
      <w:tblPr>
        <w:tblStyle w:val="TableGrid"/>
        <w:tblW w:w="0" w:type="auto"/>
        <w:tblLook w:val="04A0" w:firstRow="1" w:lastRow="0" w:firstColumn="1" w:lastColumn="0" w:noHBand="0" w:noVBand="1"/>
      </w:tblPr>
      <w:tblGrid>
        <w:gridCol w:w="2258"/>
        <w:gridCol w:w="2152"/>
        <w:gridCol w:w="2278"/>
        <w:gridCol w:w="2328"/>
      </w:tblGrid>
      <w:tr w:rsidR="007E716E" w:rsidRPr="00C60DA4" w14:paraId="5BDA92E9" w14:textId="77777777" w:rsidTr="5CE66923">
        <w:tc>
          <w:tcPr>
            <w:tcW w:w="2258" w:type="dxa"/>
          </w:tcPr>
          <w:p w14:paraId="3EBFE041" w14:textId="77777777" w:rsidR="007E716E" w:rsidRPr="00C60DA4" w:rsidRDefault="007E716E" w:rsidP="0021618D">
            <w:pPr>
              <w:spacing w:before="120" w:after="120"/>
              <w:ind w:firstLine="0"/>
              <w:jc w:val="center"/>
              <w:rPr>
                <w:rFonts w:eastAsiaTheme="majorEastAsia" w:cs="Arial"/>
                <w:b/>
                <w:bCs/>
                <w:iCs/>
              </w:rPr>
            </w:pPr>
            <w:r w:rsidRPr="00C60DA4">
              <w:rPr>
                <w:rFonts w:eastAsiaTheme="majorEastAsia" w:cs="Arial"/>
                <w:b/>
                <w:bCs/>
                <w:iCs/>
              </w:rPr>
              <w:t>Domain</w:t>
            </w:r>
          </w:p>
        </w:tc>
        <w:tc>
          <w:tcPr>
            <w:tcW w:w="2152" w:type="dxa"/>
          </w:tcPr>
          <w:p w14:paraId="620AFE1F" w14:textId="77777777" w:rsidR="007E716E" w:rsidRPr="00C60DA4" w:rsidRDefault="007E716E" w:rsidP="0021618D">
            <w:pPr>
              <w:spacing w:before="120" w:after="120"/>
              <w:ind w:firstLine="0"/>
              <w:jc w:val="center"/>
              <w:rPr>
                <w:rFonts w:eastAsiaTheme="majorEastAsia" w:cs="Arial"/>
                <w:b/>
                <w:bCs/>
                <w:iCs/>
              </w:rPr>
            </w:pPr>
            <w:r w:rsidRPr="00C60DA4">
              <w:rPr>
                <w:rFonts w:eastAsiaTheme="majorEastAsia" w:cs="Arial"/>
                <w:b/>
                <w:bCs/>
                <w:iCs/>
              </w:rPr>
              <w:t>Criterion</w:t>
            </w:r>
          </w:p>
        </w:tc>
        <w:tc>
          <w:tcPr>
            <w:tcW w:w="2278" w:type="dxa"/>
          </w:tcPr>
          <w:p w14:paraId="5AC3C34D" w14:textId="77777777" w:rsidR="007E716E" w:rsidRPr="00C60DA4" w:rsidRDefault="007E716E" w:rsidP="0021618D">
            <w:pPr>
              <w:spacing w:before="120" w:after="120"/>
              <w:ind w:firstLine="0"/>
              <w:jc w:val="center"/>
              <w:rPr>
                <w:rFonts w:eastAsiaTheme="majorEastAsia" w:cs="Arial"/>
                <w:b/>
                <w:bCs/>
                <w:iCs/>
              </w:rPr>
            </w:pPr>
            <w:r w:rsidRPr="00C60DA4">
              <w:rPr>
                <w:rFonts w:eastAsiaTheme="majorEastAsia" w:cs="Arial"/>
                <w:b/>
                <w:bCs/>
                <w:iCs/>
              </w:rPr>
              <w:t>Assessment method</w:t>
            </w:r>
          </w:p>
        </w:tc>
        <w:tc>
          <w:tcPr>
            <w:tcW w:w="2328" w:type="dxa"/>
          </w:tcPr>
          <w:p w14:paraId="23284B39" w14:textId="76A3BD14" w:rsidR="007E716E" w:rsidRPr="00C60DA4" w:rsidRDefault="5CE66923" w:rsidP="0021618D">
            <w:pPr>
              <w:spacing w:before="120" w:after="120"/>
              <w:ind w:firstLine="0"/>
              <w:jc w:val="center"/>
              <w:rPr>
                <w:rFonts w:eastAsiaTheme="majorEastAsia" w:cs="Arial"/>
                <w:b/>
                <w:bCs/>
              </w:rPr>
            </w:pPr>
            <w:r w:rsidRPr="5CE66923">
              <w:rPr>
                <w:rFonts w:eastAsiaTheme="majorEastAsia" w:cs="Arial"/>
                <w:b/>
                <w:bCs/>
              </w:rPr>
              <w:t>Time of assessment</w:t>
            </w:r>
          </w:p>
        </w:tc>
      </w:tr>
      <w:tr w:rsidR="007E716E" w:rsidRPr="00C60DA4" w14:paraId="51A37238" w14:textId="77777777" w:rsidTr="5CE66923">
        <w:tc>
          <w:tcPr>
            <w:tcW w:w="2258" w:type="dxa"/>
          </w:tcPr>
          <w:p w14:paraId="6B42E03D" w14:textId="77777777" w:rsidR="007E716E" w:rsidRPr="00F46630" w:rsidRDefault="007E716E" w:rsidP="001D51A1">
            <w:pPr>
              <w:spacing w:before="120" w:after="120"/>
              <w:ind w:firstLine="0"/>
              <w:rPr>
                <w:rFonts w:eastAsiaTheme="majorEastAsia" w:cs="Arial"/>
                <w:b/>
                <w:bCs/>
                <w:iCs/>
              </w:rPr>
            </w:pPr>
            <w:r w:rsidRPr="00F46630">
              <w:rPr>
                <w:rFonts w:eastAsiaTheme="majorEastAsia" w:cs="Arial"/>
                <w:b/>
                <w:bCs/>
                <w:iCs/>
              </w:rPr>
              <w:t>Age</w:t>
            </w:r>
          </w:p>
        </w:tc>
        <w:tc>
          <w:tcPr>
            <w:tcW w:w="2152" w:type="dxa"/>
          </w:tcPr>
          <w:p w14:paraId="7FA17E11" w14:textId="77777777" w:rsidR="007E716E" w:rsidRPr="00F46630" w:rsidRDefault="007E716E" w:rsidP="001D51A1">
            <w:pPr>
              <w:spacing w:before="120" w:after="120"/>
              <w:ind w:firstLine="0"/>
              <w:rPr>
                <w:rFonts w:eastAsiaTheme="majorEastAsia" w:cs="Arial"/>
                <w:iCs/>
              </w:rPr>
            </w:pPr>
            <w:r w:rsidRPr="00F46630">
              <w:rPr>
                <w:rFonts w:eastAsiaTheme="majorEastAsia" w:cs="Arial"/>
                <w:iCs/>
              </w:rPr>
              <w:t>≥23, ≤35 years old</w:t>
            </w:r>
          </w:p>
        </w:tc>
        <w:tc>
          <w:tcPr>
            <w:tcW w:w="2278" w:type="dxa"/>
          </w:tcPr>
          <w:p w14:paraId="716E4065" w14:textId="77777777" w:rsidR="007E716E" w:rsidRPr="00F46630" w:rsidRDefault="007E716E" w:rsidP="001D51A1">
            <w:pPr>
              <w:spacing w:before="120" w:after="120"/>
              <w:ind w:firstLine="0"/>
              <w:rPr>
                <w:rFonts w:eastAsiaTheme="majorEastAsia" w:cs="Arial"/>
                <w:iCs/>
              </w:rPr>
            </w:pPr>
            <w:r w:rsidRPr="00F46630">
              <w:rPr>
                <w:rFonts w:eastAsiaTheme="majorEastAsia" w:cs="Arial"/>
                <w:iCs/>
              </w:rPr>
              <w:t>Self-report</w:t>
            </w:r>
          </w:p>
        </w:tc>
        <w:tc>
          <w:tcPr>
            <w:tcW w:w="2328" w:type="dxa"/>
          </w:tcPr>
          <w:p w14:paraId="2DA94406" w14:textId="77777777" w:rsidR="007E716E" w:rsidRPr="00F46630" w:rsidRDefault="007E716E" w:rsidP="001D51A1">
            <w:pPr>
              <w:spacing w:before="120" w:after="120"/>
              <w:ind w:firstLine="0"/>
              <w:rPr>
                <w:rFonts w:eastAsiaTheme="majorEastAsia" w:cs="Arial"/>
                <w:iCs/>
              </w:rPr>
            </w:pPr>
            <w:r>
              <w:rPr>
                <w:rFonts w:eastAsiaTheme="majorEastAsia" w:cs="Arial"/>
                <w:iCs/>
              </w:rPr>
              <w:t>Screening (online questionnaire)</w:t>
            </w:r>
          </w:p>
        </w:tc>
      </w:tr>
      <w:tr w:rsidR="004F73FD" w:rsidRPr="00C60DA4" w14:paraId="66260884" w14:textId="77777777" w:rsidTr="5CE66923">
        <w:tc>
          <w:tcPr>
            <w:tcW w:w="2258" w:type="dxa"/>
          </w:tcPr>
          <w:p w14:paraId="260204EE" w14:textId="1922CFA3" w:rsidR="004F73FD" w:rsidRPr="00F46630" w:rsidRDefault="005E060A" w:rsidP="001D51A1">
            <w:pPr>
              <w:spacing w:before="120" w:after="120"/>
              <w:ind w:firstLine="0"/>
              <w:rPr>
                <w:rFonts w:eastAsiaTheme="majorEastAsia" w:cs="Arial"/>
                <w:b/>
                <w:bCs/>
                <w:iCs/>
              </w:rPr>
            </w:pPr>
            <w:r>
              <w:rPr>
                <w:rFonts w:eastAsiaTheme="majorEastAsia" w:cs="Arial"/>
                <w:b/>
                <w:bCs/>
                <w:iCs/>
              </w:rPr>
              <w:t xml:space="preserve">Ability to follow instructions in English </w:t>
            </w:r>
          </w:p>
        </w:tc>
        <w:tc>
          <w:tcPr>
            <w:tcW w:w="2152" w:type="dxa"/>
          </w:tcPr>
          <w:p w14:paraId="3683DEE6" w14:textId="3099EC4D" w:rsidR="004F73FD" w:rsidRPr="00F46630" w:rsidRDefault="004F73FD" w:rsidP="001D51A1">
            <w:pPr>
              <w:spacing w:before="120" w:after="120"/>
              <w:ind w:firstLine="0"/>
              <w:rPr>
                <w:rFonts w:eastAsiaTheme="majorEastAsia" w:cs="Arial"/>
                <w:iCs/>
              </w:rPr>
            </w:pPr>
            <w:r>
              <w:rPr>
                <w:rFonts w:eastAsiaTheme="majorEastAsia" w:cs="Arial"/>
                <w:iCs/>
              </w:rPr>
              <w:t>Good English proficiency</w:t>
            </w:r>
          </w:p>
        </w:tc>
        <w:tc>
          <w:tcPr>
            <w:tcW w:w="2278" w:type="dxa"/>
          </w:tcPr>
          <w:p w14:paraId="7C0AFF7C" w14:textId="2C43F019" w:rsidR="004F73FD" w:rsidRPr="00F46630" w:rsidRDefault="004F73FD" w:rsidP="001D51A1">
            <w:pPr>
              <w:spacing w:before="120" w:after="120"/>
              <w:ind w:firstLine="0"/>
              <w:rPr>
                <w:rFonts w:eastAsiaTheme="majorEastAsia" w:cs="Arial"/>
                <w:iCs/>
              </w:rPr>
            </w:pPr>
            <w:r>
              <w:rPr>
                <w:rFonts w:eastAsiaTheme="majorEastAsia" w:cs="Arial"/>
                <w:iCs/>
              </w:rPr>
              <w:t xml:space="preserve">Self-report </w:t>
            </w:r>
          </w:p>
        </w:tc>
        <w:tc>
          <w:tcPr>
            <w:tcW w:w="2328" w:type="dxa"/>
          </w:tcPr>
          <w:p w14:paraId="4CF82165" w14:textId="3B0DD7B5" w:rsidR="004F73FD" w:rsidRDefault="004F73FD" w:rsidP="001D51A1">
            <w:pPr>
              <w:spacing w:before="120" w:after="120"/>
              <w:ind w:firstLine="0"/>
              <w:rPr>
                <w:rFonts w:eastAsiaTheme="majorEastAsia" w:cs="Arial"/>
                <w:iCs/>
              </w:rPr>
            </w:pPr>
            <w:r>
              <w:rPr>
                <w:rFonts w:eastAsiaTheme="majorEastAsia" w:cs="Arial"/>
                <w:iCs/>
              </w:rPr>
              <w:t>Screening (online questionnaire)</w:t>
            </w:r>
          </w:p>
        </w:tc>
      </w:tr>
      <w:tr w:rsidR="007E716E" w:rsidRPr="00C60DA4" w14:paraId="51B1C3E1" w14:textId="77777777" w:rsidTr="5CE66923">
        <w:tc>
          <w:tcPr>
            <w:tcW w:w="2258" w:type="dxa"/>
          </w:tcPr>
          <w:p w14:paraId="0661B899" w14:textId="698C0586" w:rsidR="007E716E" w:rsidRPr="00C60DA4" w:rsidRDefault="007E716E" w:rsidP="001D51A1">
            <w:pPr>
              <w:spacing w:before="120" w:after="120"/>
              <w:ind w:firstLine="0"/>
              <w:rPr>
                <w:rFonts w:eastAsiaTheme="majorEastAsia" w:cs="Arial"/>
                <w:b/>
                <w:bCs/>
                <w:iCs/>
              </w:rPr>
            </w:pPr>
            <w:r>
              <w:rPr>
                <w:rFonts w:eastAsiaTheme="majorEastAsia" w:cs="Arial"/>
                <w:b/>
                <w:bCs/>
                <w:iCs/>
              </w:rPr>
              <w:t>Physical</w:t>
            </w:r>
            <w:r w:rsidR="007A0923">
              <w:rPr>
                <w:rFonts w:eastAsiaTheme="majorEastAsia" w:cs="Arial"/>
                <w:b/>
                <w:bCs/>
                <w:iCs/>
              </w:rPr>
              <w:t xml:space="preserve"> and mental</w:t>
            </w:r>
            <w:r>
              <w:rPr>
                <w:rFonts w:eastAsiaTheme="majorEastAsia" w:cs="Arial"/>
                <w:b/>
                <w:bCs/>
                <w:iCs/>
              </w:rPr>
              <w:t xml:space="preserve"> health</w:t>
            </w:r>
          </w:p>
        </w:tc>
        <w:tc>
          <w:tcPr>
            <w:tcW w:w="2152" w:type="dxa"/>
          </w:tcPr>
          <w:p w14:paraId="6DF3686C" w14:textId="16828A65" w:rsidR="007E716E" w:rsidRPr="00F46630" w:rsidRDefault="007E716E" w:rsidP="001D51A1">
            <w:pPr>
              <w:spacing w:before="120" w:after="120"/>
              <w:ind w:firstLine="0"/>
              <w:rPr>
                <w:rFonts w:eastAsiaTheme="majorEastAsia" w:cs="Arial"/>
                <w:iCs/>
              </w:rPr>
            </w:pPr>
            <w:r w:rsidRPr="00F46630">
              <w:rPr>
                <w:rFonts w:eastAsiaTheme="majorEastAsia" w:cs="Arial"/>
                <w:iCs/>
              </w:rPr>
              <w:t>Good physical</w:t>
            </w:r>
            <w:r w:rsidR="007A0923">
              <w:rPr>
                <w:rFonts w:eastAsiaTheme="majorEastAsia" w:cs="Arial"/>
                <w:iCs/>
              </w:rPr>
              <w:t xml:space="preserve"> and mental</w:t>
            </w:r>
            <w:r w:rsidRPr="00F46630">
              <w:rPr>
                <w:rFonts w:eastAsiaTheme="majorEastAsia" w:cs="Arial"/>
                <w:iCs/>
              </w:rPr>
              <w:t xml:space="preserve"> health</w:t>
            </w:r>
          </w:p>
        </w:tc>
        <w:tc>
          <w:tcPr>
            <w:tcW w:w="2278" w:type="dxa"/>
          </w:tcPr>
          <w:p w14:paraId="2DF9E2D5" w14:textId="77777777" w:rsidR="007E716E" w:rsidRPr="00F46630" w:rsidRDefault="007E716E" w:rsidP="001D51A1">
            <w:pPr>
              <w:spacing w:before="120" w:after="120"/>
              <w:ind w:firstLine="0"/>
              <w:rPr>
                <w:rFonts w:eastAsiaTheme="majorEastAsia" w:cs="Arial"/>
                <w:iCs/>
              </w:rPr>
            </w:pPr>
            <w:r w:rsidRPr="00F46630">
              <w:rPr>
                <w:rFonts w:eastAsiaTheme="majorEastAsia" w:cs="Arial"/>
                <w:iCs/>
              </w:rPr>
              <w:t>Self-report</w:t>
            </w:r>
          </w:p>
        </w:tc>
        <w:tc>
          <w:tcPr>
            <w:tcW w:w="2328" w:type="dxa"/>
          </w:tcPr>
          <w:p w14:paraId="667FD8EC" w14:textId="77777777" w:rsidR="007E716E" w:rsidRPr="00F46630" w:rsidRDefault="007E716E" w:rsidP="001D51A1">
            <w:pPr>
              <w:spacing w:before="120" w:after="120"/>
              <w:ind w:firstLine="0"/>
              <w:rPr>
                <w:rFonts w:eastAsiaTheme="majorEastAsia" w:cs="Arial"/>
                <w:iCs/>
              </w:rPr>
            </w:pPr>
            <w:r>
              <w:rPr>
                <w:rFonts w:eastAsiaTheme="majorEastAsia" w:cs="Arial"/>
                <w:iCs/>
              </w:rPr>
              <w:t>Screening (online questionnaire)</w:t>
            </w:r>
          </w:p>
        </w:tc>
      </w:tr>
      <w:tr w:rsidR="007E716E" w:rsidRPr="00C60DA4" w14:paraId="5BD00FCB" w14:textId="77777777" w:rsidTr="5CE66923">
        <w:tc>
          <w:tcPr>
            <w:tcW w:w="2258" w:type="dxa"/>
          </w:tcPr>
          <w:p w14:paraId="2B2B0776" w14:textId="77777777" w:rsidR="007E716E" w:rsidRPr="00C60DA4" w:rsidRDefault="007E716E" w:rsidP="001D51A1">
            <w:pPr>
              <w:spacing w:before="120" w:after="120"/>
              <w:ind w:firstLine="0"/>
              <w:rPr>
                <w:rFonts w:eastAsiaTheme="majorEastAsia" w:cs="Arial"/>
                <w:b/>
                <w:bCs/>
                <w:iCs/>
              </w:rPr>
            </w:pPr>
            <w:r>
              <w:rPr>
                <w:rFonts w:eastAsiaTheme="majorEastAsia" w:cs="Arial"/>
                <w:b/>
                <w:bCs/>
                <w:iCs/>
              </w:rPr>
              <w:t>Ocular and retinal health</w:t>
            </w:r>
          </w:p>
        </w:tc>
        <w:tc>
          <w:tcPr>
            <w:tcW w:w="2152" w:type="dxa"/>
          </w:tcPr>
          <w:p w14:paraId="2CC9FFA0" w14:textId="77777777" w:rsidR="007E716E" w:rsidRPr="00F46630" w:rsidRDefault="007E716E" w:rsidP="001D51A1">
            <w:pPr>
              <w:spacing w:before="120" w:after="120"/>
              <w:ind w:firstLine="0"/>
              <w:rPr>
                <w:rFonts w:eastAsiaTheme="majorEastAsia" w:cs="Arial"/>
                <w:iCs/>
              </w:rPr>
            </w:pPr>
            <w:r w:rsidRPr="00F46630">
              <w:rPr>
                <w:rFonts w:eastAsiaTheme="majorEastAsia" w:cs="Arial"/>
                <w:iCs/>
              </w:rPr>
              <w:t xml:space="preserve">Good ocular </w:t>
            </w:r>
            <w:r>
              <w:rPr>
                <w:rFonts w:eastAsiaTheme="majorEastAsia" w:cs="Arial"/>
                <w:iCs/>
              </w:rPr>
              <w:t xml:space="preserve">and retinal </w:t>
            </w:r>
            <w:r w:rsidRPr="00F46630">
              <w:rPr>
                <w:rFonts w:eastAsiaTheme="majorEastAsia" w:cs="Arial"/>
                <w:iCs/>
              </w:rPr>
              <w:t>health</w:t>
            </w:r>
          </w:p>
        </w:tc>
        <w:tc>
          <w:tcPr>
            <w:tcW w:w="2278" w:type="dxa"/>
          </w:tcPr>
          <w:p w14:paraId="5C607B15" w14:textId="77777777" w:rsidR="007E716E" w:rsidRPr="00F46630" w:rsidRDefault="007E716E" w:rsidP="001D51A1">
            <w:pPr>
              <w:spacing w:before="120" w:after="120"/>
              <w:ind w:firstLine="0"/>
              <w:rPr>
                <w:rFonts w:eastAsiaTheme="majorEastAsia" w:cs="Arial"/>
                <w:iCs/>
              </w:rPr>
            </w:pPr>
            <w:r w:rsidRPr="00F46630">
              <w:rPr>
                <w:rFonts w:eastAsiaTheme="majorEastAsia" w:cs="Arial"/>
                <w:iCs/>
              </w:rPr>
              <w:t>Self-report</w:t>
            </w:r>
          </w:p>
        </w:tc>
        <w:tc>
          <w:tcPr>
            <w:tcW w:w="2328" w:type="dxa"/>
          </w:tcPr>
          <w:p w14:paraId="7C5ECC49" w14:textId="77777777" w:rsidR="007E716E" w:rsidRPr="00F46630" w:rsidRDefault="007E716E" w:rsidP="001D51A1">
            <w:pPr>
              <w:spacing w:before="120" w:after="120"/>
              <w:ind w:firstLine="0"/>
              <w:rPr>
                <w:rFonts w:eastAsiaTheme="majorEastAsia" w:cs="Arial"/>
                <w:iCs/>
              </w:rPr>
            </w:pPr>
            <w:r>
              <w:rPr>
                <w:rFonts w:eastAsiaTheme="majorEastAsia" w:cs="Arial"/>
                <w:iCs/>
              </w:rPr>
              <w:t>Screening (online questionnaire)</w:t>
            </w:r>
          </w:p>
        </w:tc>
      </w:tr>
      <w:tr w:rsidR="007E716E" w:rsidRPr="00C60DA4" w14:paraId="5D6E4F70" w14:textId="77777777" w:rsidTr="5CE66923">
        <w:tc>
          <w:tcPr>
            <w:tcW w:w="2258" w:type="dxa"/>
          </w:tcPr>
          <w:p w14:paraId="57FAC193" w14:textId="77777777" w:rsidR="007E716E" w:rsidRPr="00C60DA4" w:rsidRDefault="007E716E" w:rsidP="001D51A1">
            <w:pPr>
              <w:spacing w:before="120" w:after="120"/>
              <w:ind w:firstLine="0"/>
              <w:rPr>
                <w:rFonts w:eastAsiaTheme="majorEastAsia" w:cs="Arial"/>
                <w:b/>
                <w:bCs/>
                <w:iCs/>
              </w:rPr>
            </w:pPr>
            <w:r>
              <w:rPr>
                <w:rFonts w:eastAsiaTheme="majorEastAsia" w:cs="Arial"/>
                <w:b/>
                <w:bCs/>
                <w:iCs/>
              </w:rPr>
              <w:t>Visual acuity</w:t>
            </w:r>
          </w:p>
        </w:tc>
        <w:tc>
          <w:tcPr>
            <w:tcW w:w="2152" w:type="dxa"/>
          </w:tcPr>
          <w:p w14:paraId="49E114A5" w14:textId="77777777" w:rsidR="007E716E" w:rsidRPr="00F46630" w:rsidRDefault="007E716E" w:rsidP="001D51A1">
            <w:pPr>
              <w:spacing w:before="120" w:after="120"/>
              <w:ind w:firstLine="0"/>
              <w:rPr>
                <w:rFonts w:eastAsiaTheme="majorEastAsia" w:cs="Arial"/>
                <w:iCs/>
              </w:rPr>
            </w:pPr>
            <w:r w:rsidRPr="00F46630">
              <w:rPr>
                <w:rFonts w:eastAsiaTheme="majorEastAsia" w:cs="Arial"/>
                <w:iCs/>
              </w:rPr>
              <w:t>Normal or corrected-to-normal acuity</w:t>
            </w:r>
          </w:p>
        </w:tc>
        <w:tc>
          <w:tcPr>
            <w:tcW w:w="2278" w:type="dxa"/>
          </w:tcPr>
          <w:p w14:paraId="5AE1DB87" w14:textId="77777777" w:rsidR="007E716E" w:rsidRPr="00F46630" w:rsidRDefault="007E716E" w:rsidP="001D51A1">
            <w:pPr>
              <w:spacing w:before="120" w:after="120"/>
              <w:ind w:firstLine="0"/>
              <w:rPr>
                <w:rFonts w:eastAsiaTheme="majorEastAsia" w:cs="Arial"/>
                <w:iCs/>
              </w:rPr>
            </w:pPr>
            <w:proofErr w:type="spellStart"/>
            <w:r w:rsidRPr="00F46630">
              <w:rPr>
                <w:rFonts w:eastAsiaTheme="majorEastAsia" w:cs="Arial"/>
                <w:iCs/>
              </w:rPr>
              <w:t>Landolt</w:t>
            </w:r>
            <w:proofErr w:type="spellEnd"/>
            <w:r w:rsidRPr="00F46630">
              <w:rPr>
                <w:rFonts w:eastAsiaTheme="majorEastAsia" w:cs="Arial"/>
                <w:iCs/>
              </w:rPr>
              <w:t xml:space="preserve"> C chart </w:t>
            </w:r>
            <w:r>
              <w:rPr>
                <w:rFonts w:eastAsiaTheme="majorEastAsia" w:cs="Arial"/>
                <w:iCs/>
              </w:rPr>
              <w:t>or similar</w:t>
            </w:r>
          </w:p>
        </w:tc>
        <w:tc>
          <w:tcPr>
            <w:tcW w:w="2328" w:type="dxa"/>
          </w:tcPr>
          <w:p w14:paraId="25AF9EDD" w14:textId="77777777" w:rsidR="007E716E" w:rsidRPr="00F46630" w:rsidRDefault="007E716E" w:rsidP="001D51A1">
            <w:pPr>
              <w:spacing w:before="120" w:after="120"/>
              <w:ind w:firstLine="0"/>
              <w:rPr>
                <w:rFonts w:eastAsiaTheme="majorEastAsia" w:cs="Arial"/>
                <w:iCs/>
              </w:rPr>
            </w:pPr>
            <w:r w:rsidRPr="00D90C30">
              <w:rPr>
                <w:rFonts w:eastAsiaTheme="majorEastAsia" w:cs="Arial"/>
                <w:iCs/>
              </w:rPr>
              <w:t>Screening (in-person)</w:t>
            </w:r>
          </w:p>
        </w:tc>
      </w:tr>
      <w:tr w:rsidR="007E716E" w:rsidRPr="00C60DA4" w14:paraId="0363C8DD" w14:textId="77777777" w:rsidTr="5CE66923">
        <w:tc>
          <w:tcPr>
            <w:tcW w:w="2258" w:type="dxa"/>
          </w:tcPr>
          <w:p w14:paraId="6BEA5CA4" w14:textId="77777777" w:rsidR="007E716E" w:rsidRPr="00C60DA4" w:rsidRDefault="007E716E" w:rsidP="001D51A1">
            <w:pPr>
              <w:spacing w:before="120" w:after="120"/>
              <w:ind w:firstLine="0"/>
              <w:rPr>
                <w:rFonts w:eastAsiaTheme="majorEastAsia" w:cs="Arial"/>
                <w:b/>
                <w:bCs/>
                <w:iCs/>
              </w:rPr>
            </w:pPr>
            <w:r>
              <w:rPr>
                <w:rFonts w:eastAsiaTheme="majorEastAsia" w:cs="Arial"/>
                <w:b/>
                <w:bCs/>
                <w:iCs/>
              </w:rPr>
              <w:t>Colour vision</w:t>
            </w:r>
          </w:p>
        </w:tc>
        <w:tc>
          <w:tcPr>
            <w:tcW w:w="2152" w:type="dxa"/>
          </w:tcPr>
          <w:p w14:paraId="18F1016E" w14:textId="77777777" w:rsidR="007E716E" w:rsidRPr="00F46630" w:rsidRDefault="007E716E" w:rsidP="001D51A1">
            <w:pPr>
              <w:spacing w:before="120" w:after="120"/>
              <w:ind w:firstLine="0"/>
              <w:rPr>
                <w:rFonts w:eastAsiaTheme="majorEastAsia" w:cs="Arial"/>
                <w:iCs/>
              </w:rPr>
            </w:pPr>
            <w:r w:rsidRPr="00F46630">
              <w:rPr>
                <w:rFonts w:eastAsiaTheme="majorEastAsia" w:cs="Arial"/>
                <w:iCs/>
              </w:rPr>
              <w:t>Normal colour vision</w:t>
            </w:r>
          </w:p>
        </w:tc>
        <w:tc>
          <w:tcPr>
            <w:tcW w:w="2278" w:type="dxa"/>
          </w:tcPr>
          <w:p w14:paraId="70D0AA8E" w14:textId="77777777" w:rsidR="007E716E" w:rsidRPr="00F46630" w:rsidRDefault="007E716E" w:rsidP="001D51A1">
            <w:pPr>
              <w:spacing w:before="120" w:after="120"/>
              <w:ind w:firstLine="0"/>
              <w:rPr>
                <w:rFonts w:eastAsiaTheme="majorEastAsia" w:cs="Arial"/>
                <w:iCs/>
              </w:rPr>
            </w:pPr>
            <w:r w:rsidRPr="00F46630">
              <w:rPr>
                <w:rFonts w:eastAsiaTheme="majorEastAsia" w:cs="Arial"/>
                <w:iCs/>
              </w:rPr>
              <w:t xml:space="preserve">HRR colour vision test </w:t>
            </w:r>
          </w:p>
        </w:tc>
        <w:tc>
          <w:tcPr>
            <w:tcW w:w="2328" w:type="dxa"/>
          </w:tcPr>
          <w:p w14:paraId="102C0260" w14:textId="77777777" w:rsidR="007E716E" w:rsidRPr="00F46630" w:rsidRDefault="007E716E" w:rsidP="001D51A1">
            <w:pPr>
              <w:spacing w:before="120" w:after="120"/>
              <w:ind w:firstLine="0"/>
              <w:rPr>
                <w:rFonts w:eastAsiaTheme="majorEastAsia" w:cs="Arial"/>
                <w:iCs/>
              </w:rPr>
            </w:pPr>
            <w:r w:rsidRPr="00D90C30">
              <w:rPr>
                <w:rFonts w:eastAsiaTheme="majorEastAsia" w:cs="Arial"/>
                <w:iCs/>
              </w:rPr>
              <w:t>Screening (in-person)</w:t>
            </w:r>
          </w:p>
        </w:tc>
      </w:tr>
    </w:tbl>
    <w:p w14:paraId="62071095" w14:textId="5F99FF0B" w:rsidR="007E716E" w:rsidRDefault="00B115BA" w:rsidP="00B115BA">
      <w:pPr>
        <w:pStyle w:val="figure-legend"/>
      </w:pPr>
      <w:r>
        <w:t xml:space="preserve">Table </w:t>
      </w:r>
      <w:r w:rsidR="007A539F">
        <w:t>1</w:t>
      </w:r>
      <w:r>
        <w:t xml:space="preserve">. Inclusion criteria applied to all participants. </w:t>
      </w:r>
    </w:p>
    <w:p w14:paraId="60D7EEF6" w14:textId="4C3F6C5C" w:rsidR="006B648E" w:rsidRDefault="5CE66923" w:rsidP="00B115BA">
      <w:r>
        <w:lastRenderedPageBreak/>
        <w:t xml:space="preserve">We will exclude participants who currently have a diagnosis of chronic, neurological, and psychiatric disease. We will also exclude individuals who are underweight or obese, take any medication (excluding allergy medication), regularly use sleep aids and regularly consume nicotine, recreational drugs, and/or excessive alcohol. Furthermore, individuals with poor sleep quality, extreme early or late chronotypes and excessive daytime sleepiness will not be able to participate. We will also exclude individuals who have worked shifts or have travelled across time-zones (&gt;1 hour) in the month prior to screening, according to moderate criteria in chronobiology studies </w:t>
      </w:r>
      <w:r w:rsidR="00B115BA">
        <w:fldChar w:fldCharType="begin"/>
      </w:r>
      <w:r w:rsidR="0092047F">
        <w:instrText xml:space="preserve"> ADDIN ZOTERO_ITEM CSL_CITATION {"citationID":"RJARBXMV","properties":{"formattedCitation":"(Yousefzadehfard et al., 2022)","plainCitation":"(Yousefzadehfard et al., 2022)","noteIndex":0},"citationItems":[{"id":6577,"uris":["http://zotero.org/users/11330488/items/9EWSP2X7"],"itemData":{"id":6577,"type":"article-journal","abstract":"As interest in circadian rhythms and their effects continues to grow, there is an increasing need to perform circadian studies in humans. Although the constant routine is the gold standard for these studies, there are advantages to performing more naturalistic studies. Here, a review of protocols for such studies is provided along with sample inclusion and exclusion criteria. Sleep routines, drug use, shift work, and menstrual cycle are addressed as screening considerations. Regarding protocol, best practices for measuring melatonin, including light settings, posture, exercise, and dietary habits are described. The inclusion/exclusion recommendations and protocol guidelines are intended to reduce confounding variables in studies that do not involve the constant routine. Given practical limitations, a range of recommendations is provided from stringent to lenient. The scientific rationale behind these recommendations is discussed. However, where the science is equivocal, recommendations are based on empirical decisions made in previous studies. While not all of the recommendations listed may be practical in all research settings and with limited potential participants, the goal is to allow investigators to make well informed decisions about their screening procedures and protocol techniques and to improve rigor and reproducibility, in line with the objectives of the National Institutes of Health.","container-title":"Neurobiology of Sleep and Circadian Rhythms","DOI":"10.1016/j.nbscr.2022.100080","ISSN":"2451-9944","journalAbbreviation":"Neurobiology of Sleep and Circadian Rhythms","page":"100080","source":"ScienceDirect","title":"Human circadian rhythm studies: Practical guidelines for inclusion/exclusion criteria and protocol","title-short":"Human circadian rhythm studies","volume":"13","author":[{"family":"Yousefzadehfard","given":"Yashar"},{"family":"Wechsler","given":"Bennett"},{"family":"DeLorenzo","given":"Christine"}],"issued":{"date-parts":[["2022",11,1]]}}}],"schema":"https://github.com/citation-style-language/schema/raw/master/csl-citation.json"} </w:instrText>
      </w:r>
      <w:r w:rsidR="00B115BA">
        <w:fldChar w:fldCharType="separate"/>
      </w:r>
      <w:r w:rsidRPr="5CE66923">
        <w:rPr>
          <w:rFonts w:cs="Arial"/>
        </w:rPr>
        <w:t>(Yousefzadehfard et al., 2022)</w:t>
      </w:r>
      <w:r w:rsidR="00B115BA">
        <w:fldChar w:fldCharType="end"/>
      </w:r>
      <w:r>
        <w:t xml:space="preserve">. Individuals </w:t>
      </w:r>
      <w:r w:rsidR="0021618D">
        <w:t>who</w:t>
      </w:r>
      <w:r>
        <w:t xml:space="preserve"> have allergies to the foods served during the experimental sessions will be excluded. In terms of reproductive health and hormonal status, we will exclude intersex individuals and those with a record of bilateral oophorectomy or gender-affirming surgery, individuals who </w:t>
      </w:r>
      <w:r w:rsidR="0021618D">
        <w:t xml:space="preserve">have a diagnosis of hormonal disorders, </w:t>
      </w:r>
      <w:r w:rsidR="00BF3E40">
        <w:t xml:space="preserve">individuals with moderate to severe premenstrual dysphoric disorder (PMDD) symptoms, and </w:t>
      </w:r>
      <w:r w:rsidR="0021618D">
        <w:t xml:space="preserve">individuals who </w:t>
      </w:r>
      <w:r>
        <w:t>take any exogenous hormones (except hormonal contraceptives)</w:t>
      </w:r>
      <w:r w:rsidR="00BF3E40">
        <w:t>.</w:t>
      </w:r>
      <w:r>
        <w:t xml:space="preserve"> </w:t>
      </w:r>
      <w:r w:rsidR="00BF3E40">
        <w:t>Furthermore, i</w:t>
      </w:r>
      <w:r w:rsidR="0021618D">
        <w:t xml:space="preserve">ndividuals </w:t>
      </w:r>
      <w:r>
        <w:t xml:space="preserve">who are currently pregnant or have </w:t>
      </w:r>
      <w:r w:rsidR="0021618D">
        <w:t xml:space="preserve">been </w:t>
      </w:r>
      <w:r>
        <w:t>pregnant</w:t>
      </w:r>
      <w:r w:rsidR="0021618D">
        <w:t xml:space="preserve"> or </w:t>
      </w:r>
      <w:r w:rsidR="00BF3E40">
        <w:t xml:space="preserve">breastfeeding </w:t>
      </w:r>
      <w:r w:rsidR="0021618D">
        <w:t>in the last 12 months</w:t>
      </w:r>
      <w:r>
        <w:t xml:space="preserve">, </w:t>
      </w:r>
      <w:r w:rsidR="00BF3E40">
        <w:t>and individuals</w:t>
      </w:r>
      <w:r>
        <w:t xml:space="preserve"> who experience severe physical symptoms related to the menstrual cycle</w:t>
      </w:r>
      <w:r w:rsidR="005E060A">
        <w:t>,</w:t>
      </w:r>
      <w:r w:rsidR="00BF3E40">
        <w:t xml:space="preserve"> will not be able to participate </w:t>
      </w:r>
      <w:r>
        <w:t>(Table 2).</w:t>
      </w:r>
    </w:p>
    <w:tbl>
      <w:tblPr>
        <w:tblStyle w:val="TableGrid"/>
        <w:tblW w:w="0" w:type="auto"/>
        <w:tblLook w:val="04A0" w:firstRow="1" w:lastRow="0" w:firstColumn="1" w:lastColumn="0" w:noHBand="0" w:noVBand="1"/>
      </w:tblPr>
      <w:tblGrid>
        <w:gridCol w:w="2393"/>
        <w:gridCol w:w="2435"/>
        <w:gridCol w:w="2159"/>
        <w:gridCol w:w="2029"/>
      </w:tblGrid>
      <w:tr w:rsidR="00970774" w:rsidRPr="00C60DA4" w14:paraId="50C1D857" w14:textId="77777777" w:rsidTr="5CE66923">
        <w:tc>
          <w:tcPr>
            <w:tcW w:w="2393" w:type="dxa"/>
          </w:tcPr>
          <w:p w14:paraId="5F4BA036" w14:textId="77777777" w:rsidR="00970774" w:rsidRPr="00C60DA4" w:rsidRDefault="00970774" w:rsidP="001D51A1">
            <w:pPr>
              <w:spacing w:before="120" w:after="120"/>
              <w:ind w:firstLine="0"/>
              <w:rPr>
                <w:rFonts w:eastAsiaTheme="majorEastAsia" w:cs="Arial"/>
                <w:b/>
                <w:bCs/>
                <w:iCs/>
              </w:rPr>
            </w:pPr>
            <w:r w:rsidRPr="00C60DA4">
              <w:rPr>
                <w:rFonts w:eastAsiaTheme="majorEastAsia" w:cs="Arial"/>
                <w:b/>
                <w:bCs/>
                <w:iCs/>
              </w:rPr>
              <w:t>Domain</w:t>
            </w:r>
          </w:p>
        </w:tc>
        <w:tc>
          <w:tcPr>
            <w:tcW w:w="2435" w:type="dxa"/>
          </w:tcPr>
          <w:p w14:paraId="734E1679" w14:textId="77777777" w:rsidR="00970774" w:rsidRPr="00C60DA4" w:rsidRDefault="00970774" w:rsidP="001D51A1">
            <w:pPr>
              <w:spacing w:before="120" w:after="120"/>
              <w:ind w:firstLine="0"/>
              <w:rPr>
                <w:rFonts w:eastAsiaTheme="majorEastAsia" w:cs="Arial"/>
                <w:b/>
                <w:bCs/>
                <w:iCs/>
              </w:rPr>
            </w:pPr>
            <w:r w:rsidRPr="00C60DA4">
              <w:rPr>
                <w:rFonts w:eastAsiaTheme="majorEastAsia" w:cs="Arial"/>
                <w:b/>
                <w:bCs/>
                <w:iCs/>
              </w:rPr>
              <w:t>Criterion</w:t>
            </w:r>
          </w:p>
        </w:tc>
        <w:tc>
          <w:tcPr>
            <w:tcW w:w="2159" w:type="dxa"/>
          </w:tcPr>
          <w:p w14:paraId="15C11E84" w14:textId="77777777" w:rsidR="00970774" w:rsidRPr="00C60DA4" w:rsidRDefault="00970774" w:rsidP="001D51A1">
            <w:pPr>
              <w:spacing w:before="120" w:after="120"/>
              <w:ind w:firstLine="0"/>
              <w:rPr>
                <w:rFonts w:eastAsiaTheme="majorEastAsia" w:cs="Arial"/>
                <w:b/>
                <w:bCs/>
                <w:iCs/>
              </w:rPr>
            </w:pPr>
            <w:r w:rsidRPr="00C60DA4">
              <w:rPr>
                <w:rFonts w:eastAsiaTheme="majorEastAsia" w:cs="Arial"/>
                <w:b/>
                <w:bCs/>
                <w:iCs/>
              </w:rPr>
              <w:t>Assessment method</w:t>
            </w:r>
          </w:p>
        </w:tc>
        <w:tc>
          <w:tcPr>
            <w:tcW w:w="2029" w:type="dxa"/>
          </w:tcPr>
          <w:p w14:paraId="2CBC597D" w14:textId="498B37DE" w:rsidR="00970774" w:rsidRPr="00C60DA4" w:rsidRDefault="00970774" w:rsidP="001D51A1">
            <w:pPr>
              <w:spacing w:before="120" w:after="120"/>
              <w:ind w:firstLine="0"/>
              <w:rPr>
                <w:rFonts w:eastAsiaTheme="majorEastAsia" w:cs="Arial"/>
                <w:b/>
                <w:bCs/>
                <w:iCs/>
              </w:rPr>
            </w:pPr>
            <w:r>
              <w:rPr>
                <w:rFonts w:eastAsiaTheme="majorEastAsia" w:cs="Arial"/>
                <w:b/>
                <w:bCs/>
                <w:iCs/>
              </w:rPr>
              <w:t xml:space="preserve">Time of </w:t>
            </w:r>
            <w:r w:rsidR="00C040AA">
              <w:rPr>
                <w:rFonts w:eastAsiaTheme="majorEastAsia" w:cs="Arial"/>
                <w:b/>
                <w:bCs/>
                <w:iCs/>
              </w:rPr>
              <w:t>assessment</w:t>
            </w:r>
          </w:p>
        </w:tc>
      </w:tr>
      <w:tr w:rsidR="00970774" w:rsidRPr="00C60DA4" w14:paraId="68F33B7C" w14:textId="77777777" w:rsidTr="5CE66923">
        <w:tc>
          <w:tcPr>
            <w:tcW w:w="2393" w:type="dxa"/>
          </w:tcPr>
          <w:p w14:paraId="379569D5" w14:textId="77777777" w:rsidR="00970774" w:rsidRPr="00323B1A" w:rsidRDefault="00970774" w:rsidP="001D51A1">
            <w:pPr>
              <w:spacing w:before="120" w:after="120"/>
              <w:ind w:firstLine="0"/>
              <w:rPr>
                <w:rFonts w:eastAsiaTheme="majorEastAsia" w:cs="Arial"/>
                <w:iCs/>
              </w:rPr>
            </w:pPr>
            <w:r w:rsidRPr="00D90C30">
              <w:rPr>
                <w:rFonts w:eastAsiaTheme="majorEastAsia" w:cs="Arial"/>
                <w:b/>
                <w:bCs/>
                <w:iCs/>
              </w:rPr>
              <w:t>Body Mass Index (BMI</w:t>
            </w:r>
            <w:r>
              <w:rPr>
                <w:rFonts w:eastAsiaTheme="majorEastAsia" w:cs="Arial"/>
                <w:b/>
                <w:bCs/>
                <w:iCs/>
              </w:rPr>
              <w:t>)</w:t>
            </w:r>
          </w:p>
        </w:tc>
        <w:tc>
          <w:tcPr>
            <w:tcW w:w="2435" w:type="dxa"/>
          </w:tcPr>
          <w:p w14:paraId="7A09DD41" w14:textId="77777777" w:rsidR="00970774" w:rsidRPr="00F46630" w:rsidRDefault="00970774" w:rsidP="001D51A1">
            <w:pPr>
              <w:spacing w:before="120" w:after="120"/>
              <w:ind w:firstLine="0"/>
              <w:rPr>
                <w:rFonts w:eastAsiaTheme="majorEastAsia" w:cs="Arial"/>
                <w:iCs/>
              </w:rPr>
            </w:pPr>
            <w:r w:rsidRPr="00F46630">
              <w:rPr>
                <w:rFonts w:eastAsiaTheme="majorEastAsia" w:cs="Arial"/>
                <w:iCs/>
              </w:rPr>
              <w:t xml:space="preserve">Underweight or </w:t>
            </w:r>
            <w:r>
              <w:rPr>
                <w:rFonts w:eastAsiaTheme="majorEastAsia" w:cs="Arial"/>
                <w:iCs/>
              </w:rPr>
              <w:t>obese</w:t>
            </w:r>
            <w:r w:rsidRPr="00F46630">
              <w:rPr>
                <w:rFonts w:eastAsiaTheme="majorEastAsia" w:cs="Arial"/>
                <w:iCs/>
              </w:rPr>
              <w:t>, &lt;18.5, &gt;</w:t>
            </w:r>
            <w:r>
              <w:rPr>
                <w:rFonts w:eastAsiaTheme="majorEastAsia" w:cs="Arial"/>
                <w:iCs/>
              </w:rPr>
              <w:t>30</w:t>
            </w:r>
            <w:r w:rsidRPr="00F46630">
              <w:rPr>
                <w:rFonts w:eastAsiaTheme="majorEastAsia" w:cs="Arial"/>
                <w:iCs/>
              </w:rPr>
              <w:t> kg/m</w:t>
            </w:r>
            <w:r w:rsidRPr="00F46630">
              <w:rPr>
                <w:rFonts w:eastAsiaTheme="majorEastAsia" w:cs="Arial"/>
                <w:iCs/>
                <w:vertAlign w:val="superscript"/>
              </w:rPr>
              <w:t>2</w:t>
            </w:r>
          </w:p>
        </w:tc>
        <w:tc>
          <w:tcPr>
            <w:tcW w:w="2159" w:type="dxa"/>
          </w:tcPr>
          <w:p w14:paraId="6779EE63" w14:textId="77777777" w:rsidR="00970774" w:rsidRPr="00F46630" w:rsidRDefault="00970774" w:rsidP="001D51A1">
            <w:pPr>
              <w:spacing w:before="120" w:after="120"/>
              <w:ind w:firstLine="0"/>
              <w:rPr>
                <w:rFonts w:eastAsiaTheme="majorEastAsia" w:cs="Arial"/>
                <w:iCs/>
              </w:rPr>
            </w:pPr>
            <w:r w:rsidRPr="00F46630">
              <w:rPr>
                <w:rFonts w:eastAsiaTheme="majorEastAsia" w:cs="Arial"/>
                <w:iCs/>
              </w:rPr>
              <w:t>Measured height and weight</w:t>
            </w:r>
          </w:p>
        </w:tc>
        <w:tc>
          <w:tcPr>
            <w:tcW w:w="2029" w:type="dxa"/>
          </w:tcPr>
          <w:p w14:paraId="4BBB3BD5" w14:textId="77777777" w:rsidR="00970774" w:rsidRPr="00F46630" w:rsidRDefault="00970774" w:rsidP="001D51A1">
            <w:pPr>
              <w:spacing w:before="120" w:after="120"/>
              <w:ind w:firstLine="0"/>
              <w:rPr>
                <w:rFonts w:eastAsiaTheme="majorEastAsia" w:cs="Arial"/>
                <w:iCs/>
              </w:rPr>
            </w:pPr>
            <w:r w:rsidRPr="00D90C30">
              <w:rPr>
                <w:rFonts w:eastAsiaTheme="majorEastAsia" w:cs="Arial"/>
                <w:iCs/>
              </w:rPr>
              <w:t>Screening (in-person)</w:t>
            </w:r>
          </w:p>
        </w:tc>
      </w:tr>
      <w:tr w:rsidR="00970774" w:rsidRPr="00C60DA4" w14:paraId="45ABC6C6" w14:textId="77777777" w:rsidTr="5CE66923">
        <w:tc>
          <w:tcPr>
            <w:tcW w:w="2393" w:type="dxa"/>
          </w:tcPr>
          <w:p w14:paraId="563DED78" w14:textId="77777777" w:rsidR="00970774" w:rsidRPr="00C60DA4" w:rsidRDefault="00970774" w:rsidP="001D51A1">
            <w:pPr>
              <w:spacing w:before="120" w:after="120"/>
              <w:ind w:firstLine="0"/>
              <w:rPr>
                <w:rFonts w:eastAsiaTheme="majorEastAsia" w:cs="Arial"/>
                <w:b/>
                <w:bCs/>
                <w:iCs/>
              </w:rPr>
            </w:pPr>
            <w:r>
              <w:rPr>
                <w:rFonts w:eastAsiaTheme="majorEastAsia" w:cs="Arial"/>
                <w:b/>
                <w:bCs/>
                <w:iCs/>
              </w:rPr>
              <w:t>Medication use</w:t>
            </w:r>
          </w:p>
        </w:tc>
        <w:tc>
          <w:tcPr>
            <w:tcW w:w="2435" w:type="dxa"/>
          </w:tcPr>
          <w:p w14:paraId="20CC043D" w14:textId="5E85F9F3" w:rsidR="00970774" w:rsidRPr="00F46630" w:rsidRDefault="00970774" w:rsidP="001D51A1">
            <w:pPr>
              <w:spacing w:before="120" w:after="120"/>
              <w:ind w:firstLine="0"/>
              <w:rPr>
                <w:rFonts w:eastAsiaTheme="majorEastAsia" w:cs="Arial"/>
                <w:iCs/>
              </w:rPr>
            </w:pPr>
            <w:r w:rsidRPr="00F46630">
              <w:rPr>
                <w:rFonts w:eastAsiaTheme="majorEastAsia" w:cs="Arial"/>
                <w:iCs/>
              </w:rPr>
              <w:t xml:space="preserve">Any </w:t>
            </w:r>
            <w:r>
              <w:rPr>
                <w:rFonts w:eastAsiaTheme="majorEastAsia" w:cs="Arial"/>
                <w:iCs/>
              </w:rPr>
              <w:t xml:space="preserve">regular or habitual </w:t>
            </w:r>
            <w:r w:rsidRPr="00F46630">
              <w:rPr>
                <w:rFonts w:eastAsiaTheme="majorEastAsia" w:cs="Arial"/>
                <w:iCs/>
              </w:rPr>
              <w:t>use of systemic medications</w:t>
            </w:r>
            <w:r w:rsidR="0094510F">
              <w:rPr>
                <w:rFonts w:eastAsiaTheme="majorEastAsia" w:cs="Arial"/>
                <w:iCs/>
              </w:rPr>
              <w:t>, except antiallergic medication</w:t>
            </w:r>
            <w:r w:rsidRPr="00F46630">
              <w:rPr>
                <w:rFonts w:eastAsiaTheme="majorEastAsia" w:cs="Arial"/>
                <w:iCs/>
              </w:rPr>
              <w:t xml:space="preserve"> </w:t>
            </w:r>
          </w:p>
        </w:tc>
        <w:tc>
          <w:tcPr>
            <w:tcW w:w="2159" w:type="dxa"/>
          </w:tcPr>
          <w:p w14:paraId="4DCB645D" w14:textId="77777777" w:rsidR="00970774" w:rsidRPr="00F46630" w:rsidRDefault="00970774" w:rsidP="001D51A1">
            <w:pPr>
              <w:spacing w:before="120" w:after="120"/>
              <w:ind w:firstLine="0"/>
              <w:rPr>
                <w:rFonts w:eastAsiaTheme="majorEastAsia" w:cs="Arial"/>
                <w:iCs/>
              </w:rPr>
            </w:pPr>
            <w:r w:rsidRPr="00F46630">
              <w:rPr>
                <w:rFonts w:eastAsiaTheme="majorEastAsia" w:cs="Arial"/>
                <w:iCs/>
              </w:rPr>
              <w:t>Self-report</w:t>
            </w:r>
          </w:p>
        </w:tc>
        <w:tc>
          <w:tcPr>
            <w:tcW w:w="2029" w:type="dxa"/>
          </w:tcPr>
          <w:p w14:paraId="0ED61336" w14:textId="77777777" w:rsidR="00970774" w:rsidRPr="00F46630" w:rsidRDefault="00970774" w:rsidP="001D51A1">
            <w:pPr>
              <w:spacing w:before="120" w:after="120"/>
              <w:ind w:firstLine="0"/>
              <w:rPr>
                <w:rFonts w:eastAsiaTheme="majorEastAsia" w:cs="Arial"/>
                <w:iCs/>
              </w:rPr>
            </w:pPr>
            <w:r>
              <w:rPr>
                <w:rFonts w:eastAsiaTheme="majorEastAsia" w:cs="Arial"/>
                <w:iCs/>
              </w:rPr>
              <w:t>Screening (online questionnaire)</w:t>
            </w:r>
          </w:p>
        </w:tc>
      </w:tr>
      <w:tr w:rsidR="00970774" w:rsidRPr="00C60DA4" w14:paraId="26A99767" w14:textId="77777777" w:rsidTr="5CE66923">
        <w:tc>
          <w:tcPr>
            <w:tcW w:w="2393" w:type="dxa"/>
          </w:tcPr>
          <w:p w14:paraId="69F570B2" w14:textId="77777777" w:rsidR="00970774" w:rsidRDefault="00970774" w:rsidP="001D51A1">
            <w:pPr>
              <w:spacing w:before="120" w:after="120"/>
              <w:ind w:firstLine="0"/>
              <w:rPr>
                <w:rFonts w:eastAsiaTheme="majorEastAsia" w:cs="Arial"/>
                <w:b/>
                <w:bCs/>
                <w:iCs/>
              </w:rPr>
            </w:pPr>
            <w:r>
              <w:rPr>
                <w:rFonts w:eastAsiaTheme="majorEastAsia" w:cs="Arial"/>
                <w:b/>
                <w:bCs/>
                <w:iCs/>
              </w:rPr>
              <w:t>Sleep aids use</w:t>
            </w:r>
          </w:p>
        </w:tc>
        <w:tc>
          <w:tcPr>
            <w:tcW w:w="2435" w:type="dxa"/>
          </w:tcPr>
          <w:p w14:paraId="07F1438B" w14:textId="757014FF" w:rsidR="00970774" w:rsidRPr="00F46630" w:rsidRDefault="00970774" w:rsidP="001D51A1">
            <w:pPr>
              <w:spacing w:before="120" w:after="120"/>
              <w:ind w:firstLine="0"/>
              <w:rPr>
                <w:rFonts w:eastAsiaTheme="majorEastAsia" w:cs="Arial"/>
                <w:iCs/>
              </w:rPr>
            </w:pPr>
            <w:r>
              <w:rPr>
                <w:rFonts w:eastAsiaTheme="majorEastAsia" w:cs="Arial"/>
                <w:iCs/>
              </w:rPr>
              <w:t>Any use regular or habitual (</w:t>
            </w:r>
            <w:r w:rsidRPr="00F46630">
              <w:rPr>
                <w:rFonts w:eastAsiaTheme="majorEastAsia" w:cs="Arial"/>
                <w:iCs/>
              </w:rPr>
              <w:t>≥</w:t>
            </w:r>
            <w:r>
              <w:rPr>
                <w:rFonts w:eastAsiaTheme="majorEastAsia" w:cs="Arial"/>
                <w:iCs/>
              </w:rPr>
              <w:t>1/</w:t>
            </w:r>
            <w:r w:rsidR="00660112">
              <w:rPr>
                <w:rFonts w:eastAsiaTheme="majorEastAsia" w:cs="Arial"/>
                <w:iCs/>
              </w:rPr>
              <w:t>week</w:t>
            </w:r>
            <w:r>
              <w:rPr>
                <w:rFonts w:eastAsiaTheme="majorEastAsia" w:cs="Arial"/>
                <w:iCs/>
              </w:rPr>
              <w:t>) of sleep aids</w:t>
            </w:r>
          </w:p>
        </w:tc>
        <w:tc>
          <w:tcPr>
            <w:tcW w:w="2159" w:type="dxa"/>
          </w:tcPr>
          <w:p w14:paraId="4DB8EE08" w14:textId="77777777" w:rsidR="00970774" w:rsidRPr="00F46630" w:rsidRDefault="00970774" w:rsidP="001D51A1">
            <w:pPr>
              <w:spacing w:before="120" w:after="120"/>
              <w:ind w:firstLine="0"/>
              <w:rPr>
                <w:rFonts w:eastAsiaTheme="majorEastAsia" w:cs="Arial"/>
                <w:iCs/>
              </w:rPr>
            </w:pPr>
            <w:r>
              <w:rPr>
                <w:rFonts w:eastAsiaTheme="majorEastAsia" w:cs="Arial"/>
                <w:iCs/>
              </w:rPr>
              <w:t>Self-report</w:t>
            </w:r>
          </w:p>
        </w:tc>
        <w:tc>
          <w:tcPr>
            <w:tcW w:w="2029" w:type="dxa"/>
          </w:tcPr>
          <w:p w14:paraId="4A908E22" w14:textId="77777777" w:rsidR="00970774" w:rsidRDefault="00970774" w:rsidP="001D51A1">
            <w:pPr>
              <w:spacing w:before="120" w:after="120"/>
              <w:ind w:firstLine="0"/>
              <w:rPr>
                <w:rFonts w:eastAsiaTheme="majorEastAsia" w:cs="Arial"/>
                <w:iCs/>
              </w:rPr>
            </w:pPr>
            <w:r>
              <w:rPr>
                <w:rFonts w:eastAsiaTheme="majorEastAsia" w:cs="Arial"/>
                <w:iCs/>
              </w:rPr>
              <w:t>Screening (online questionnaire)</w:t>
            </w:r>
          </w:p>
        </w:tc>
      </w:tr>
      <w:tr w:rsidR="00970774" w:rsidRPr="00C60DA4" w14:paraId="13B81461" w14:textId="77777777" w:rsidTr="5CE66923">
        <w:tc>
          <w:tcPr>
            <w:tcW w:w="2393" w:type="dxa"/>
          </w:tcPr>
          <w:p w14:paraId="53221738" w14:textId="77777777" w:rsidR="00970774" w:rsidRDefault="00970774" w:rsidP="001D51A1">
            <w:pPr>
              <w:spacing w:before="120" w:after="120"/>
              <w:ind w:firstLine="0"/>
              <w:rPr>
                <w:rFonts w:eastAsiaTheme="majorEastAsia" w:cs="Arial"/>
                <w:b/>
                <w:bCs/>
                <w:iCs/>
              </w:rPr>
            </w:pPr>
            <w:r>
              <w:rPr>
                <w:rFonts w:eastAsiaTheme="majorEastAsia" w:cs="Arial"/>
                <w:b/>
                <w:bCs/>
                <w:iCs/>
              </w:rPr>
              <w:t>Health condition</w:t>
            </w:r>
          </w:p>
        </w:tc>
        <w:tc>
          <w:tcPr>
            <w:tcW w:w="2435" w:type="dxa"/>
          </w:tcPr>
          <w:p w14:paraId="5DE1A026" w14:textId="62CDE42A" w:rsidR="00970774" w:rsidRPr="00F46630" w:rsidRDefault="00970774" w:rsidP="001D51A1">
            <w:pPr>
              <w:spacing w:before="120" w:after="120"/>
              <w:ind w:firstLine="0"/>
              <w:rPr>
                <w:rFonts w:eastAsiaTheme="majorEastAsia" w:cs="Arial"/>
                <w:iCs/>
              </w:rPr>
            </w:pPr>
            <w:r w:rsidRPr="00F46630">
              <w:rPr>
                <w:rFonts w:eastAsiaTheme="majorEastAsia" w:cs="Arial"/>
                <w:iCs/>
              </w:rPr>
              <w:t xml:space="preserve">Diagnosis of any </w:t>
            </w:r>
            <w:r>
              <w:rPr>
                <w:rFonts w:eastAsiaTheme="majorEastAsia" w:cs="Arial"/>
                <w:iCs/>
              </w:rPr>
              <w:t>chronic</w:t>
            </w:r>
            <w:r w:rsidR="007A0923">
              <w:rPr>
                <w:rFonts w:eastAsiaTheme="majorEastAsia" w:cs="Arial"/>
                <w:iCs/>
              </w:rPr>
              <w:t>, hormonal</w:t>
            </w:r>
            <w:r w:rsidR="007A539F">
              <w:rPr>
                <w:rFonts w:eastAsiaTheme="majorEastAsia" w:cs="Arial"/>
                <w:iCs/>
              </w:rPr>
              <w:t>, ocular</w:t>
            </w:r>
            <w:r>
              <w:rPr>
                <w:rFonts w:eastAsiaTheme="majorEastAsia" w:cs="Arial"/>
                <w:iCs/>
              </w:rPr>
              <w:t xml:space="preserve"> </w:t>
            </w:r>
            <w:r w:rsidR="009C46CF">
              <w:rPr>
                <w:rFonts w:eastAsiaTheme="majorEastAsia" w:cs="Arial"/>
                <w:iCs/>
              </w:rPr>
              <w:t xml:space="preserve">or neurological </w:t>
            </w:r>
            <w:r>
              <w:rPr>
                <w:rFonts w:eastAsiaTheme="majorEastAsia" w:cs="Arial"/>
                <w:iCs/>
              </w:rPr>
              <w:t>diseases or disorders</w:t>
            </w:r>
          </w:p>
        </w:tc>
        <w:tc>
          <w:tcPr>
            <w:tcW w:w="2159" w:type="dxa"/>
          </w:tcPr>
          <w:p w14:paraId="33C9C5B8" w14:textId="77777777" w:rsidR="00970774" w:rsidRPr="00F46630" w:rsidRDefault="00970774" w:rsidP="001D51A1">
            <w:pPr>
              <w:spacing w:before="120" w:after="120"/>
              <w:ind w:firstLine="0"/>
              <w:rPr>
                <w:rFonts w:eastAsiaTheme="majorEastAsia" w:cs="Arial"/>
                <w:iCs/>
              </w:rPr>
            </w:pPr>
            <w:r w:rsidRPr="00F46630">
              <w:rPr>
                <w:rFonts w:eastAsiaTheme="majorEastAsia" w:cs="Arial"/>
                <w:iCs/>
              </w:rPr>
              <w:t>Self-report</w:t>
            </w:r>
          </w:p>
        </w:tc>
        <w:tc>
          <w:tcPr>
            <w:tcW w:w="2029" w:type="dxa"/>
          </w:tcPr>
          <w:p w14:paraId="5EB2FD9B" w14:textId="77777777" w:rsidR="00970774" w:rsidRPr="00F46630" w:rsidRDefault="00970774" w:rsidP="001D51A1">
            <w:pPr>
              <w:spacing w:before="120" w:after="120"/>
              <w:ind w:firstLine="0"/>
              <w:rPr>
                <w:rFonts w:eastAsiaTheme="majorEastAsia" w:cs="Arial"/>
                <w:iCs/>
              </w:rPr>
            </w:pPr>
            <w:r>
              <w:rPr>
                <w:rFonts w:eastAsiaTheme="majorEastAsia" w:cs="Arial"/>
                <w:iCs/>
              </w:rPr>
              <w:t>Screening (online questionnaire)</w:t>
            </w:r>
          </w:p>
        </w:tc>
      </w:tr>
      <w:tr w:rsidR="00970774" w:rsidRPr="00C60DA4" w14:paraId="1E423E2F" w14:textId="77777777" w:rsidTr="5CE66923">
        <w:tc>
          <w:tcPr>
            <w:tcW w:w="2393" w:type="dxa"/>
          </w:tcPr>
          <w:p w14:paraId="17F28463" w14:textId="6B2A4289" w:rsidR="00970774" w:rsidRDefault="0094510F" w:rsidP="001D51A1">
            <w:pPr>
              <w:spacing w:before="120" w:after="120"/>
              <w:ind w:firstLine="0"/>
              <w:rPr>
                <w:rFonts w:eastAsiaTheme="majorEastAsia" w:cs="Arial"/>
                <w:b/>
                <w:bCs/>
                <w:iCs/>
              </w:rPr>
            </w:pPr>
            <w:r>
              <w:rPr>
                <w:rFonts w:eastAsiaTheme="majorEastAsia" w:cs="Arial"/>
                <w:b/>
                <w:bCs/>
                <w:iCs/>
              </w:rPr>
              <w:lastRenderedPageBreak/>
              <w:t>Mental</w:t>
            </w:r>
            <w:r w:rsidR="00970774">
              <w:rPr>
                <w:rFonts w:eastAsiaTheme="majorEastAsia" w:cs="Arial"/>
                <w:b/>
                <w:bCs/>
                <w:iCs/>
              </w:rPr>
              <w:t xml:space="preserve"> health</w:t>
            </w:r>
          </w:p>
        </w:tc>
        <w:tc>
          <w:tcPr>
            <w:tcW w:w="2435" w:type="dxa"/>
          </w:tcPr>
          <w:p w14:paraId="4DCD97D1" w14:textId="7ABB1687" w:rsidR="00970774" w:rsidRPr="00F46630" w:rsidRDefault="0094510F" w:rsidP="001D51A1">
            <w:pPr>
              <w:spacing w:before="120" w:after="120"/>
              <w:ind w:firstLine="0"/>
              <w:rPr>
                <w:rFonts w:eastAsiaTheme="majorEastAsia" w:cs="Arial"/>
                <w:iCs/>
              </w:rPr>
            </w:pPr>
            <w:r>
              <w:rPr>
                <w:rFonts w:eastAsiaTheme="majorEastAsia" w:cs="Arial"/>
                <w:iCs/>
              </w:rPr>
              <w:t>Diagnosis of psychiatric diseases or disorders</w:t>
            </w:r>
            <w:r w:rsidR="007A539F">
              <w:rPr>
                <w:rFonts w:eastAsiaTheme="majorEastAsia" w:cs="Arial"/>
                <w:iCs/>
              </w:rPr>
              <w:t xml:space="preserve"> (mood, anxiety, personality, post-traumatic stress, obsessive compulsive, panic, and eating disorders) </w:t>
            </w:r>
          </w:p>
        </w:tc>
        <w:tc>
          <w:tcPr>
            <w:tcW w:w="2159" w:type="dxa"/>
          </w:tcPr>
          <w:p w14:paraId="6345FC33" w14:textId="77777777" w:rsidR="00970774" w:rsidRPr="00F46630" w:rsidRDefault="00970774" w:rsidP="001D51A1">
            <w:pPr>
              <w:spacing w:before="120" w:after="120"/>
              <w:ind w:firstLine="0"/>
              <w:rPr>
                <w:rFonts w:eastAsiaTheme="majorEastAsia" w:cs="Arial"/>
                <w:iCs/>
              </w:rPr>
            </w:pPr>
            <w:r>
              <w:rPr>
                <w:rFonts w:eastAsiaTheme="majorEastAsia" w:cs="Arial"/>
                <w:iCs/>
              </w:rPr>
              <w:t>Self-report</w:t>
            </w:r>
          </w:p>
        </w:tc>
        <w:tc>
          <w:tcPr>
            <w:tcW w:w="2029" w:type="dxa"/>
          </w:tcPr>
          <w:p w14:paraId="0EE9111D" w14:textId="77777777" w:rsidR="00970774" w:rsidRDefault="00970774" w:rsidP="001D51A1">
            <w:pPr>
              <w:spacing w:before="120" w:after="120"/>
              <w:ind w:firstLine="0"/>
              <w:rPr>
                <w:rFonts w:eastAsiaTheme="majorEastAsia" w:cs="Arial"/>
                <w:iCs/>
              </w:rPr>
            </w:pPr>
            <w:r>
              <w:rPr>
                <w:rFonts w:eastAsiaTheme="majorEastAsia" w:cs="Arial"/>
                <w:iCs/>
              </w:rPr>
              <w:t>Screening (online questionnaire)</w:t>
            </w:r>
          </w:p>
        </w:tc>
      </w:tr>
      <w:tr w:rsidR="00F760D1" w:rsidRPr="00C60DA4" w14:paraId="47A8DD56" w14:textId="77777777" w:rsidTr="5CE66923">
        <w:tc>
          <w:tcPr>
            <w:tcW w:w="2393" w:type="dxa"/>
          </w:tcPr>
          <w:p w14:paraId="245C749B" w14:textId="77777777" w:rsidR="00F760D1" w:rsidRDefault="00F760D1" w:rsidP="00F760D1">
            <w:pPr>
              <w:spacing w:before="120" w:after="120"/>
              <w:ind w:firstLine="0"/>
              <w:rPr>
                <w:rFonts w:eastAsiaTheme="majorEastAsia" w:cs="Arial"/>
                <w:b/>
                <w:bCs/>
                <w:iCs/>
              </w:rPr>
            </w:pPr>
            <w:r>
              <w:rPr>
                <w:rFonts w:eastAsiaTheme="majorEastAsia" w:cs="Arial"/>
                <w:b/>
                <w:bCs/>
                <w:iCs/>
              </w:rPr>
              <w:t>Nicotine consumption</w:t>
            </w:r>
          </w:p>
        </w:tc>
        <w:tc>
          <w:tcPr>
            <w:tcW w:w="2435" w:type="dxa"/>
          </w:tcPr>
          <w:p w14:paraId="09F21216"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≥2 times/week</w:t>
            </w:r>
          </w:p>
        </w:tc>
        <w:tc>
          <w:tcPr>
            <w:tcW w:w="2159" w:type="dxa"/>
          </w:tcPr>
          <w:p w14:paraId="26AC9D2D"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Self-report</w:t>
            </w:r>
          </w:p>
        </w:tc>
        <w:tc>
          <w:tcPr>
            <w:tcW w:w="2029" w:type="dxa"/>
          </w:tcPr>
          <w:p w14:paraId="47169041" w14:textId="4071515E" w:rsidR="00F760D1" w:rsidRPr="00F46630" w:rsidRDefault="00F760D1" w:rsidP="00F760D1">
            <w:pPr>
              <w:spacing w:before="120" w:after="120"/>
              <w:ind w:firstLine="0"/>
              <w:rPr>
                <w:rFonts w:eastAsiaTheme="majorEastAsia" w:cs="Arial"/>
                <w:iCs/>
              </w:rPr>
            </w:pPr>
            <w:r>
              <w:rPr>
                <w:rFonts w:eastAsiaTheme="majorEastAsia" w:cs="Arial"/>
                <w:iCs/>
              </w:rPr>
              <w:t>Screening (online questionnaire)</w:t>
            </w:r>
          </w:p>
        </w:tc>
      </w:tr>
      <w:tr w:rsidR="00F760D1" w:rsidRPr="00C60DA4" w14:paraId="559E2306" w14:textId="77777777" w:rsidTr="5CE66923">
        <w:tc>
          <w:tcPr>
            <w:tcW w:w="2393" w:type="dxa"/>
          </w:tcPr>
          <w:p w14:paraId="34401046" w14:textId="77777777" w:rsidR="00F760D1" w:rsidRPr="00C60DA4" w:rsidRDefault="00F760D1" w:rsidP="00F760D1">
            <w:pPr>
              <w:spacing w:before="120" w:after="120"/>
              <w:ind w:firstLine="0"/>
              <w:rPr>
                <w:rFonts w:eastAsiaTheme="majorEastAsia" w:cs="Arial"/>
                <w:b/>
                <w:bCs/>
                <w:iCs/>
              </w:rPr>
            </w:pPr>
            <w:r>
              <w:rPr>
                <w:rFonts w:eastAsiaTheme="majorEastAsia" w:cs="Arial"/>
                <w:b/>
                <w:bCs/>
                <w:iCs/>
              </w:rPr>
              <w:t>Recreational drug use</w:t>
            </w:r>
          </w:p>
        </w:tc>
        <w:tc>
          <w:tcPr>
            <w:tcW w:w="2435" w:type="dxa"/>
          </w:tcPr>
          <w:p w14:paraId="18BD13B7" w14:textId="5433B608" w:rsidR="00F760D1" w:rsidRPr="00F46630" w:rsidRDefault="00F760D1" w:rsidP="00F760D1">
            <w:pPr>
              <w:spacing w:before="120" w:after="120"/>
              <w:ind w:firstLine="0"/>
              <w:rPr>
                <w:rFonts w:eastAsiaTheme="majorEastAsia" w:cs="Arial"/>
                <w:iCs/>
              </w:rPr>
            </w:pPr>
            <w:r w:rsidRPr="00F46630">
              <w:rPr>
                <w:rFonts w:eastAsiaTheme="majorEastAsia" w:cs="Arial"/>
                <w:iCs/>
              </w:rPr>
              <w:t xml:space="preserve">Any </w:t>
            </w:r>
            <w:r w:rsidR="004F73FD">
              <w:rPr>
                <w:rFonts w:eastAsiaTheme="majorEastAsia" w:cs="Arial"/>
                <w:iCs/>
              </w:rPr>
              <w:t>regular use</w:t>
            </w:r>
            <w:r w:rsidRPr="00F46630">
              <w:rPr>
                <w:rFonts w:eastAsiaTheme="majorEastAsia" w:cs="Arial"/>
                <w:iCs/>
              </w:rPr>
              <w:t xml:space="preserve"> of recreational drugs</w:t>
            </w:r>
            <w:r w:rsidR="00914E23">
              <w:rPr>
                <w:rFonts w:eastAsiaTheme="majorEastAsia" w:cs="Arial"/>
                <w:iCs/>
              </w:rPr>
              <w:t xml:space="preserve"> </w:t>
            </w:r>
            <w:r w:rsidR="00001E9C">
              <w:rPr>
                <w:rFonts w:eastAsiaTheme="majorEastAsia" w:cs="Arial"/>
                <w:iCs/>
              </w:rPr>
              <w:t>(</w:t>
            </w:r>
            <w:r w:rsidR="00001E9C" w:rsidRPr="00F46630">
              <w:rPr>
                <w:rFonts w:eastAsiaTheme="majorEastAsia" w:cs="Arial"/>
                <w:iCs/>
              </w:rPr>
              <w:t>≥2 times/week</w:t>
            </w:r>
            <w:r w:rsidR="00001E9C">
              <w:rPr>
                <w:rFonts w:eastAsiaTheme="majorEastAsia" w:cs="Arial"/>
                <w:iCs/>
              </w:rPr>
              <w:t>)</w:t>
            </w:r>
          </w:p>
        </w:tc>
        <w:tc>
          <w:tcPr>
            <w:tcW w:w="2159" w:type="dxa"/>
          </w:tcPr>
          <w:p w14:paraId="28AA157E"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Self-report</w:t>
            </w:r>
          </w:p>
        </w:tc>
        <w:tc>
          <w:tcPr>
            <w:tcW w:w="2029" w:type="dxa"/>
          </w:tcPr>
          <w:p w14:paraId="20075D97" w14:textId="4A6454C5" w:rsidR="00F760D1" w:rsidRPr="00F46630" w:rsidRDefault="00F760D1" w:rsidP="00F760D1">
            <w:pPr>
              <w:spacing w:before="120" w:after="120"/>
              <w:ind w:firstLine="0"/>
              <w:rPr>
                <w:rFonts w:eastAsiaTheme="majorEastAsia" w:cs="Arial"/>
                <w:iCs/>
              </w:rPr>
            </w:pPr>
            <w:r>
              <w:rPr>
                <w:rFonts w:eastAsiaTheme="majorEastAsia" w:cs="Arial"/>
                <w:iCs/>
              </w:rPr>
              <w:t>Screening (online questionnaire)</w:t>
            </w:r>
          </w:p>
        </w:tc>
      </w:tr>
      <w:tr w:rsidR="00F760D1" w:rsidRPr="00C60DA4" w14:paraId="41696596" w14:textId="77777777" w:rsidTr="5CE66923">
        <w:tc>
          <w:tcPr>
            <w:tcW w:w="2393" w:type="dxa"/>
          </w:tcPr>
          <w:p w14:paraId="2EB28DB9" w14:textId="77777777" w:rsidR="00F760D1" w:rsidRPr="00C60DA4" w:rsidRDefault="00F760D1" w:rsidP="00F760D1">
            <w:pPr>
              <w:spacing w:before="120" w:after="120"/>
              <w:ind w:firstLine="0"/>
              <w:rPr>
                <w:rFonts w:eastAsiaTheme="majorEastAsia" w:cs="Arial"/>
                <w:b/>
                <w:bCs/>
                <w:iCs/>
              </w:rPr>
            </w:pPr>
            <w:r>
              <w:rPr>
                <w:rFonts w:eastAsiaTheme="majorEastAsia" w:cs="Arial"/>
                <w:b/>
                <w:bCs/>
                <w:iCs/>
              </w:rPr>
              <w:t>Alcohol abuse</w:t>
            </w:r>
          </w:p>
        </w:tc>
        <w:tc>
          <w:tcPr>
            <w:tcW w:w="2435" w:type="dxa"/>
          </w:tcPr>
          <w:p w14:paraId="12F3C54E"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Excessive alcohol use</w:t>
            </w:r>
          </w:p>
        </w:tc>
        <w:tc>
          <w:tcPr>
            <w:tcW w:w="2159" w:type="dxa"/>
          </w:tcPr>
          <w:p w14:paraId="2CE505AC" w14:textId="6E6F03A0" w:rsidR="00F760D1" w:rsidRPr="00F46630" w:rsidRDefault="00F760D1" w:rsidP="00F760D1">
            <w:pPr>
              <w:spacing w:before="120" w:after="120"/>
              <w:ind w:firstLine="0"/>
              <w:rPr>
                <w:rFonts w:eastAsiaTheme="majorEastAsia" w:cs="Arial"/>
                <w:iCs/>
              </w:rPr>
            </w:pPr>
            <w:r w:rsidRPr="00F46630">
              <w:rPr>
                <w:rFonts w:eastAsiaTheme="majorEastAsia" w:cs="Arial"/>
                <w:iCs/>
              </w:rPr>
              <w:t>AUDIT</w:t>
            </w:r>
            <w:r w:rsidR="00521A19">
              <w:rPr>
                <w:rFonts w:eastAsiaTheme="majorEastAsia" w:cs="Arial"/>
                <w:iCs/>
              </w:rPr>
              <w:t xml:space="preserve"> </w:t>
            </w:r>
            <w:r w:rsidRPr="00F46630">
              <w:rPr>
                <w:rFonts w:eastAsiaTheme="majorEastAsia" w:cs="Arial"/>
                <w:iCs/>
              </w:rPr>
              <w:t>≥8</w:t>
            </w:r>
          </w:p>
        </w:tc>
        <w:tc>
          <w:tcPr>
            <w:tcW w:w="2029" w:type="dxa"/>
          </w:tcPr>
          <w:p w14:paraId="69176422" w14:textId="1B244A22" w:rsidR="00F760D1" w:rsidRPr="00F46630" w:rsidRDefault="00F760D1" w:rsidP="00F760D1">
            <w:pPr>
              <w:spacing w:before="120" w:after="120"/>
              <w:ind w:firstLine="0"/>
              <w:rPr>
                <w:rFonts w:eastAsiaTheme="majorEastAsia" w:cs="Arial"/>
                <w:iCs/>
              </w:rPr>
            </w:pPr>
            <w:r>
              <w:rPr>
                <w:rFonts w:eastAsiaTheme="majorEastAsia" w:cs="Arial"/>
                <w:iCs/>
              </w:rPr>
              <w:t>Screening (online questionnaire)</w:t>
            </w:r>
          </w:p>
        </w:tc>
      </w:tr>
      <w:tr w:rsidR="00F760D1" w:rsidRPr="00C60DA4" w14:paraId="610B6E2A" w14:textId="77777777" w:rsidTr="5CE66923">
        <w:tc>
          <w:tcPr>
            <w:tcW w:w="2393" w:type="dxa"/>
          </w:tcPr>
          <w:p w14:paraId="036B014A" w14:textId="5E6B965D" w:rsidR="00F760D1" w:rsidRDefault="00F760D1" w:rsidP="00F760D1">
            <w:pPr>
              <w:spacing w:before="120" w:after="120"/>
              <w:ind w:firstLine="0"/>
              <w:rPr>
                <w:rFonts w:eastAsiaTheme="majorEastAsia" w:cs="Arial"/>
                <w:b/>
                <w:bCs/>
                <w:iCs/>
              </w:rPr>
            </w:pPr>
            <w:r>
              <w:rPr>
                <w:rFonts w:eastAsiaTheme="majorEastAsia" w:cs="Arial"/>
                <w:b/>
                <w:bCs/>
                <w:iCs/>
              </w:rPr>
              <w:t xml:space="preserve">Sleep </w:t>
            </w:r>
            <w:r w:rsidR="007A5B0C">
              <w:rPr>
                <w:rFonts w:eastAsiaTheme="majorEastAsia" w:cs="Arial"/>
                <w:b/>
                <w:bCs/>
                <w:iCs/>
              </w:rPr>
              <w:t>quality</w:t>
            </w:r>
          </w:p>
        </w:tc>
        <w:tc>
          <w:tcPr>
            <w:tcW w:w="2435" w:type="dxa"/>
          </w:tcPr>
          <w:p w14:paraId="3B1D2689"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Poor sleep quality</w:t>
            </w:r>
          </w:p>
        </w:tc>
        <w:tc>
          <w:tcPr>
            <w:tcW w:w="2159" w:type="dxa"/>
          </w:tcPr>
          <w:p w14:paraId="685C2784"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PSQI &gt;5</w:t>
            </w:r>
          </w:p>
        </w:tc>
        <w:tc>
          <w:tcPr>
            <w:tcW w:w="2029" w:type="dxa"/>
          </w:tcPr>
          <w:p w14:paraId="3264D350" w14:textId="6318C82F" w:rsidR="00F760D1" w:rsidRPr="00F46630" w:rsidRDefault="00F760D1" w:rsidP="00F760D1">
            <w:pPr>
              <w:spacing w:before="120" w:after="120"/>
              <w:ind w:firstLine="0"/>
              <w:rPr>
                <w:rFonts w:eastAsiaTheme="majorEastAsia" w:cs="Arial"/>
                <w:iCs/>
              </w:rPr>
            </w:pPr>
            <w:r>
              <w:rPr>
                <w:rFonts w:eastAsiaTheme="majorEastAsia" w:cs="Arial"/>
                <w:iCs/>
              </w:rPr>
              <w:t>Screening (online questionnaire)</w:t>
            </w:r>
          </w:p>
        </w:tc>
      </w:tr>
      <w:tr w:rsidR="007A5B0C" w:rsidRPr="00C60DA4" w14:paraId="6EF19731" w14:textId="77777777" w:rsidTr="5CE66923">
        <w:tc>
          <w:tcPr>
            <w:tcW w:w="2393" w:type="dxa"/>
          </w:tcPr>
          <w:p w14:paraId="6CECA1D6" w14:textId="277EA583" w:rsidR="007A5B0C" w:rsidRDefault="007A5B0C" w:rsidP="00F760D1">
            <w:pPr>
              <w:spacing w:before="120" w:after="120"/>
              <w:ind w:firstLine="0"/>
              <w:rPr>
                <w:rFonts w:eastAsiaTheme="majorEastAsia" w:cs="Arial"/>
                <w:b/>
                <w:bCs/>
                <w:iCs/>
              </w:rPr>
            </w:pPr>
            <w:r>
              <w:rPr>
                <w:rFonts w:eastAsiaTheme="majorEastAsia" w:cs="Arial"/>
                <w:b/>
                <w:bCs/>
                <w:iCs/>
              </w:rPr>
              <w:t>Sleep duration</w:t>
            </w:r>
          </w:p>
        </w:tc>
        <w:tc>
          <w:tcPr>
            <w:tcW w:w="2435" w:type="dxa"/>
          </w:tcPr>
          <w:p w14:paraId="4D0971A6" w14:textId="71E21C92" w:rsidR="007A5B0C" w:rsidRPr="00F46630" w:rsidRDefault="007A5B0C" w:rsidP="00F760D1">
            <w:pPr>
              <w:spacing w:before="120" w:after="120"/>
              <w:ind w:firstLine="0"/>
              <w:rPr>
                <w:rFonts w:eastAsiaTheme="majorEastAsia" w:cs="Arial"/>
                <w:iCs/>
              </w:rPr>
            </w:pPr>
            <w:r>
              <w:rPr>
                <w:rFonts w:eastAsiaTheme="majorEastAsia" w:cs="Arial"/>
                <w:iCs/>
              </w:rPr>
              <w:t>Extremely short or extremely long sleep duration on workdays</w:t>
            </w:r>
          </w:p>
        </w:tc>
        <w:tc>
          <w:tcPr>
            <w:tcW w:w="2159" w:type="dxa"/>
          </w:tcPr>
          <w:p w14:paraId="7E59BE26" w14:textId="6F89D175" w:rsidR="007A5B0C" w:rsidRPr="00F46630" w:rsidRDefault="007A5B0C" w:rsidP="00F760D1">
            <w:pPr>
              <w:spacing w:before="120" w:after="120"/>
              <w:ind w:firstLine="0"/>
              <w:rPr>
                <w:rFonts w:eastAsiaTheme="majorEastAsia" w:cs="Arial"/>
                <w:iCs/>
              </w:rPr>
            </w:pPr>
            <w:r>
              <w:rPr>
                <w:rFonts w:eastAsiaTheme="majorEastAsia" w:cs="Arial"/>
                <w:iCs/>
              </w:rPr>
              <w:t>S</w:t>
            </w:r>
            <w:r w:rsidRPr="007A5B0C">
              <w:rPr>
                <w:rFonts w:eastAsiaTheme="majorEastAsia" w:cs="Arial"/>
                <w:iCs/>
              </w:rPr>
              <w:t xml:space="preserve">ubjective sleep duration on workdays </w:t>
            </w:r>
            <w:r>
              <w:rPr>
                <w:rFonts w:eastAsiaTheme="majorEastAsia" w:cs="Arial"/>
                <w:iCs/>
              </w:rPr>
              <w:t>&lt;</w:t>
            </w:r>
            <w:r w:rsidRPr="007A5B0C">
              <w:rPr>
                <w:rFonts w:eastAsiaTheme="majorEastAsia" w:cs="Arial"/>
                <w:iCs/>
              </w:rPr>
              <w:t>6</w:t>
            </w:r>
            <w:r>
              <w:rPr>
                <w:rFonts w:eastAsiaTheme="majorEastAsia" w:cs="Arial"/>
                <w:iCs/>
              </w:rPr>
              <w:t xml:space="preserve"> or &gt;</w:t>
            </w:r>
            <w:r w:rsidRPr="007A5B0C">
              <w:rPr>
                <w:rFonts w:eastAsiaTheme="majorEastAsia" w:cs="Arial"/>
                <w:iCs/>
              </w:rPr>
              <w:t xml:space="preserve">10 hours </w:t>
            </w:r>
            <w:r>
              <w:rPr>
                <w:rFonts w:eastAsiaTheme="majorEastAsia" w:cs="Arial"/>
                <w:iCs/>
              </w:rPr>
              <w:t>(based on</w:t>
            </w:r>
            <w:r w:rsidRPr="007A5B0C">
              <w:rPr>
                <w:rFonts w:eastAsiaTheme="majorEastAsia" w:cs="Arial"/>
                <w:iCs/>
              </w:rPr>
              <w:t xml:space="preserve"> the MCTQ</w:t>
            </w:r>
            <w:r>
              <w:rPr>
                <w:rFonts w:eastAsiaTheme="majorEastAsia" w:cs="Arial"/>
                <w:iCs/>
              </w:rPr>
              <w:t>)</w:t>
            </w:r>
          </w:p>
        </w:tc>
        <w:tc>
          <w:tcPr>
            <w:tcW w:w="2029" w:type="dxa"/>
          </w:tcPr>
          <w:p w14:paraId="53E0B7A2" w14:textId="09D8C0FE" w:rsidR="007A5B0C" w:rsidRDefault="007A5B0C" w:rsidP="00F760D1">
            <w:pPr>
              <w:spacing w:before="120" w:after="120"/>
              <w:ind w:firstLine="0"/>
              <w:rPr>
                <w:rFonts w:eastAsiaTheme="majorEastAsia" w:cs="Arial"/>
                <w:iCs/>
              </w:rPr>
            </w:pPr>
            <w:r>
              <w:rPr>
                <w:rFonts w:eastAsiaTheme="majorEastAsia" w:cs="Arial"/>
                <w:iCs/>
              </w:rPr>
              <w:t>Screening (online questionnaire)</w:t>
            </w:r>
          </w:p>
        </w:tc>
      </w:tr>
      <w:tr w:rsidR="00F760D1" w:rsidRPr="00C60DA4" w14:paraId="7B9453DF" w14:textId="77777777" w:rsidTr="5CE66923">
        <w:tc>
          <w:tcPr>
            <w:tcW w:w="2393" w:type="dxa"/>
          </w:tcPr>
          <w:p w14:paraId="0E8E33C0" w14:textId="77777777" w:rsidR="00F760D1" w:rsidRDefault="00F760D1" w:rsidP="00F760D1">
            <w:pPr>
              <w:spacing w:before="120" w:after="120"/>
              <w:ind w:firstLine="0"/>
              <w:rPr>
                <w:rFonts w:eastAsiaTheme="majorEastAsia" w:cs="Arial"/>
                <w:b/>
                <w:bCs/>
                <w:iCs/>
              </w:rPr>
            </w:pPr>
            <w:r>
              <w:rPr>
                <w:rFonts w:eastAsiaTheme="majorEastAsia" w:cs="Arial"/>
                <w:b/>
                <w:bCs/>
                <w:iCs/>
              </w:rPr>
              <w:t>Chronotype</w:t>
            </w:r>
          </w:p>
        </w:tc>
        <w:tc>
          <w:tcPr>
            <w:tcW w:w="2435" w:type="dxa"/>
          </w:tcPr>
          <w:p w14:paraId="00641536"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 xml:space="preserve">Extreme </w:t>
            </w:r>
            <w:r>
              <w:rPr>
                <w:rFonts w:eastAsiaTheme="majorEastAsia" w:cs="Arial"/>
                <w:iCs/>
              </w:rPr>
              <w:t xml:space="preserve">early or extreme </w:t>
            </w:r>
            <w:r w:rsidRPr="00F46630">
              <w:rPr>
                <w:rFonts w:eastAsiaTheme="majorEastAsia" w:cs="Arial"/>
                <w:iCs/>
              </w:rPr>
              <w:t>late chronotype</w:t>
            </w:r>
          </w:p>
        </w:tc>
        <w:tc>
          <w:tcPr>
            <w:tcW w:w="2159" w:type="dxa"/>
          </w:tcPr>
          <w:p w14:paraId="1A8E5E89" w14:textId="22EDE1D0" w:rsidR="00F760D1" w:rsidRPr="00F46630" w:rsidRDefault="00F760D1" w:rsidP="00F760D1">
            <w:pPr>
              <w:spacing w:before="120" w:after="120"/>
              <w:ind w:firstLine="0"/>
              <w:rPr>
                <w:rFonts w:eastAsiaTheme="majorEastAsia" w:cs="Arial"/>
                <w:iCs/>
              </w:rPr>
            </w:pPr>
            <w:r>
              <w:rPr>
                <w:rFonts w:eastAsiaTheme="majorEastAsia" w:cs="Arial"/>
                <w:iCs/>
              </w:rPr>
              <w:t>MCTQ</w:t>
            </w:r>
            <w:r w:rsidR="00521A19">
              <w:rPr>
                <w:rFonts w:eastAsiaTheme="majorEastAsia" w:cs="Arial"/>
                <w:iCs/>
              </w:rPr>
              <w:t xml:space="preserve"> </w:t>
            </w:r>
            <w:r w:rsidR="00C040AA">
              <w:rPr>
                <w:rFonts w:eastAsiaTheme="majorEastAsia" w:cs="Arial"/>
                <w:iCs/>
              </w:rPr>
              <w:t>≤</w:t>
            </w:r>
            <w:r>
              <w:rPr>
                <w:rFonts w:eastAsiaTheme="majorEastAsia" w:cs="Arial"/>
                <w:iCs/>
              </w:rPr>
              <w:t>2:00</w:t>
            </w:r>
            <w:r>
              <w:rPr>
                <w:rFonts w:eastAsiaTheme="majorEastAsia" w:cs="Arial"/>
                <w:iCs/>
              </w:rPr>
              <w:br/>
            </w:r>
            <w:r w:rsidRPr="00F46630">
              <w:rPr>
                <w:rFonts w:eastAsiaTheme="majorEastAsia" w:cs="Arial"/>
                <w:iCs/>
              </w:rPr>
              <w:t>MCTQ</w:t>
            </w:r>
            <w:r w:rsidR="00521A19">
              <w:rPr>
                <w:rFonts w:eastAsiaTheme="majorEastAsia" w:cs="Arial"/>
                <w:iCs/>
              </w:rPr>
              <w:t xml:space="preserve"> </w:t>
            </w:r>
            <w:r>
              <w:rPr>
                <w:rFonts w:eastAsiaTheme="majorEastAsia" w:cs="Arial"/>
                <w:iCs/>
              </w:rPr>
              <w:t>&gt;</w:t>
            </w:r>
            <w:r w:rsidRPr="00F46630">
              <w:rPr>
                <w:rFonts w:eastAsiaTheme="majorEastAsia" w:cs="Arial"/>
                <w:iCs/>
              </w:rPr>
              <w:t>5:00</w:t>
            </w:r>
          </w:p>
        </w:tc>
        <w:tc>
          <w:tcPr>
            <w:tcW w:w="2029" w:type="dxa"/>
          </w:tcPr>
          <w:p w14:paraId="62CD5DCC" w14:textId="354CE5FF" w:rsidR="00F760D1" w:rsidRDefault="00F760D1" w:rsidP="00F760D1">
            <w:pPr>
              <w:spacing w:before="120" w:after="120"/>
              <w:ind w:firstLine="0"/>
              <w:rPr>
                <w:rFonts w:eastAsiaTheme="majorEastAsia" w:cs="Arial"/>
                <w:iCs/>
              </w:rPr>
            </w:pPr>
            <w:r>
              <w:rPr>
                <w:rFonts w:eastAsiaTheme="majorEastAsia" w:cs="Arial"/>
                <w:iCs/>
              </w:rPr>
              <w:t>Screening (online questionnaire)</w:t>
            </w:r>
          </w:p>
        </w:tc>
      </w:tr>
      <w:tr w:rsidR="00F760D1" w:rsidRPr="00C60DA4" w14:paraId="09260373" w14:textId="77777777" w:rsidTr="5CE66923">
        <w:tc>
          <w:tcPr>
            <w:tcW w:w="2393" w:type="dxa"/>
          </w:tcPr>
          <w:p w14:paraId="04629298" w14:textId="77777777" w:rsidR="00F760D1" w:rsidRDefault="00F760D1" w:rsidP="00F760D1">
            <w:pPr>
              <w:spacing w:before="120" w:after="120"/>
              <w:ind w:firstLine="0"/>
              <w:rPr>
                <w:rFonts w:eastAsiaTheme="majorEastAsia" w:cs="Arial"/>
                <w:b/>
                <w:bCs/>
                <w:iCs/>
              </w:rPr>
            </w:pPr>
            <w:r>
              <w:rPr>
                <w:rFonts w:eastAsiaTheme="majorEastAsia" w:cs="Arial"/>
                <w:b/>
                <w:bCs/>
                <w:iCs/>
              </w:rPr>
              <w:t>Daytime sleepiness</w:t>
            </w:r>
          </w:p>
        </w:tc>
        <w:tc>
          <w:tcPr>
            <w:tcW w:w="2435" w:type="dxa"/>
          </w:tcPr>
          <w:p w14:paraId="549E7901"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Excessive daytime sleepiness</w:t>
            </w:r>
          </w:p>
        </w:tc>
        <w:tc>
          <w:tcPr>
            <w:tcW w:w="2159" w:type="dxa"/>
          </w:tcPr>
          <w:p w14:paraId="5E950682" w14:textId="5801350D" w:rsidR="00F760D1" w:rsidRPr="00F46630" w:rsidRDefault="00F760D1" w:rsidP="00F760D1">
            <w:pPr>
              <w:spacing w:before="120" w:after="120"/>
              <w:ind w:firstLine="0"/>
              <w:rPr>
                <w:rFonts w:eastAsiaTheme="majorEastAsia" w:cs="Arial"/>
                <w:iCs/>
              </w:rPr>
            </w:pPr>
            <w:r>
              <w:rPr>
                <w:rFonts w:eastAsiaTheme="majorEastAsia" w:cs="Arial"/>
                <w:iCs/>
              </w:rPr>
              <w:t>ESS</w:t>
            </w:r>
            <w:r w:rsidR="00521A19">
              <w:rPr>
                <w:rFonts w:eastAsiaTheme="majorEastAsia" w:cs="Arial"/>
                <w:iCs/>
              </w:rPr>
              <w:t xml:space="preserve"> </w:t>
            </w:r>
            <w:r>
              <w:rPr>
                <w:rFonts w:eastAsiaTheme="majorEastAsia" w:cs="Arial"/>
                <w:iCs/>
              </w:rPr>
              <w:t>&gt;10</w:t>
            </w:r>
          </w:p>
        </w:tc>
        <w:tc>
          <w:tcPr>
            <w:tcW w:w="2029" w:type="dxa"/>
          </w:tcPr>
          <w:p w14:paraId="16279FB1" w14:textId="22AF1A88" w:rsidR="00F760D1" w:rsidRDefault="00F760D1" w:rsidP="00F760D1">
            <w:pPr>
              <w:spacing w:before="120" w:after="120"/>
              <w:ind w:firstLine="0"/>
              <w:rPr>
                <w:rFonts w:eastAsiaTheme="majorEastAsia" w:cs="Arial"/>
                <w:iCs/>
              </w:rPr>
            </w:pPr>
            <w:r>
              <w:rPr>
                <w:rFonts w:eastAsiaTheme="majorEastAsia" w:cs="Arial"/>
                <w:iCs/>
              </w:rPr>
              <w:t>Screening (online questionnaire)</w:t>
            </w:r>
          </w:p>
        </w:tc>
      </w:tr>
      <w:tr w:rsidR="00F760D1" w:rsidRPr="00C60DA4" w14:paraId="3CF85FE9" w14:textId="77777777" w:rsidTr="5CE66923">
        <w:tc>
          <w:tcPr>
            <w:tcW w:w="2393" w:type="dxa"/>
          </w:tcPr>
          <w:p w14:paraId="125F0475" w14:textId="77777777" w:rsidR="00F760D1" w:rsidRDefault="00F760D1" w:rsidP="00F760D1">
            <w:pPr>
              <w:spacing w:before="120" w:after="120"/>
              <w:ind w:firstLine="0"/>
              <w:rPr>
                <w:rFonts w:eastAsiaTheme="majorEastAsia" w:cs="Arial"/>
                <w:b/>
                <w:bCs/>
                <w:iCs/>
              </w:rPr>
            </w:pPr>
            <w:r>
              <w:rPr>
                <w:rFonts w:eastAsiaTheme="majorEastAsia" w:cs="Arial"/>
                <w:b/>
                <w:bCs/>
                <w:iCs/>
              </w:rPr>
              <w:t>Shift work</w:t>
            </w:r>
          </w:p>
        </w:tc>
        <w:tc>
          <w:tcPr>
            <w:tcW w:w="2435" w:type="dxa"/>
          </w:tcPr>
          <w:p w14:paraId="623AC063"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No shift work in the past 1 month</w:t>
            </w:r>
          </w:p>
        </w:tc>
        <w:tc>
          <w:tcPr>
            <w:tcW w:w="2159" w:type="dxa"/>
          </w:tcPr>
          <w:p w14:paraId="02F3858A"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Self-report</w:t>
            </w:r>
          </w:p>
        </w:tc>
        <w:tc>
          <w:tcPr>
            <w:tcW w:w="2029" w:type="dxa"/>
          </w:tcPr>
          <w:p w14:paraId="53569E01" w14:textId="57988D0C" w:rsidR="00F760D1" w:rsidRPr="00F46630" w:rsidRDefault="00F760D1" w:rsidP="00F760D1">
            <w:pPr>
              <w:spacing w:before="120" w:after="120"/>
              <w:ind w:firstLine="0"/>
              <w:rPr>
                <w:rFonts w:eastAsiaTheme="majorEastAsia" w:cs="Arial"/>
                <w:iCs/>
              </w:rPr>
            </w:pPr>
            <w:r>
              <w:rPr>
                <w:rFonts w:eastAsiaTheme="majorEastAsia" w:cs="Arial"/>
                <w:iCs/>
              </w:rPr>
              <w:t>Screening (online questionnaire)</w:t>
            </w:r>
          </w:p>
        </w:tc>
      </w:tr>
      <w:tr w:rsidR="00F760D1" w:rsidRPr="00C60DA4" w14:paraId="170D1570" w14:textId="77777777" w:rsidTr="5CE66923">
        <w:tc>
          <w:tcPr>
            <w:tcW w:w="2393" w:type="dxa"/>
          </w:tcPr>
          <w:p w14:paraId="1F844C6E" w14:textId="77777777" w:rsidR="00F760D1" w:rsidRDefault="00F760D1" w:rsidP="00F760D1">
            <w:pPr>
              <w:spacing w:before="120" w:after="120"/>
              <w:ind w:firstLine="0"/>
              <w:rPr>
                <w:rFonts w:eastAsiaTheme="majorEastAsia" w:cs="Arial"/>
                <w:b/>
                <w:bCs/>
                <w:iCs/>
              </w:rPr>
            </w:pPr>
            <w:r>
              <w:rPr>
                <w:rFonts w:eastAsiaTheme="majorEastAsia" w:cs="Arial"/>
                <w:b/>
                <w:bCs/>
                <w:iCs/>
              </w:rPr>
              <w:lastRenderedPageBreak/>
              <w:t>Time zone travel</w:t>
            </w:r>
          </w:p>
        </w:tc>
        <w:tc>
          <w:tcPr>
            <w:tcW w:w="2435" w:type="dxa"/>
          </w:tcPr>
          <w:p w14:paraId="3174E92F" w14:textId="3D162CA6" w:rsidR="00F760D1" w:rsidRPr="00F46630" w:rsidRDefault="00F760D1" w:rsidP="00F760D1">
            <w:pPr>
              <w:spacing w:before="120" w:after="120"/>
              <w:ind w:firstLine="0"/>
              <w:rPr>
                <w:rFonts w:eastAsiaTheme="majorEastAsia" w:cs="Arial"/>
                <w:iCs/>
              </w:rPr>
            </w:pPr>
            <w:r w:rsidRPr="00F46630">
              <w:rPr>
                <w:rFonts w:eastAsiaTheme="majorEastAsia" w:cs="Arial"/>
                <w:iCs/>
              </w:rPr>
              <w:t xml:space="preserve">No inter-time zone travel &gt;1 hour in the past </w:t>
            </w:r>
            <w:r w:rsidR="004F73FD">
              <w:rPr>
                <w:rFonts w:eastAsiaTheme="majorEastAsia" w:cs="Arial"/>
                <w:iCs/>
              </w:rPr>
              <w:t>one</w:t>
            </w:r>
            <w:r w:rsidRPr="00F46630">
              <w:rPr>
                <w:rFonts w:eastAsiaTheme="majorEastAsia" w:cs="Arial"/>
                <w:iCs/>
              </w:rPr>
              <w:t xml:space="preserve"> month </w:t>
            </w:r>
          </w:p>
        </w:tc>
        <w:tc>
          <w:tcPr>
            <w:tcW w:w="2159" w:type="dxa"/>
          </w:tcPr>
          <w:p w14:paraId="6D228604"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Self-report</w:t>
            </w:r>
          </w:p>
        </w:tc>
        <w:tc>
          <w:tcPr>
            <w:tcW w:w="2029" w:type="dxa"/>
          </w:tcPr>
          <w:p w14:paraId="607C2E67" w14:textId="7B59D450" w:rsidR="00F760D1" w:rsidRPr="00F46630" w:rsidRDefault="00F760D1" w:rsidP="00F760D1">
            <w:pPr>
              <w:spacing w:before="120" w:after="120"/>
              <w:ind w:firstLine="0"/>
              <w:rPr>
                <w:rFonts w:eastAsiaTheme="majorEastAsia" w:cs="Arial"/>
                <w:iCs/>
              </w:rPr>
            </w:pPr>
            <w:r>
              <w:rPr>
                <w:rFonts w:eastAsiaTheme="majorEastAsia" w:cs="Arial"/>
                <w:iCs/>
              </w:rPr>
              <w:t>Screening (online questionnaire)</w:t>
            </w:r>
          </w:p>
        </w:tc>
      </w:tr>
      <w:tr w:rsidR="00F760D1" w:rsidRPr="00C60DA4" w14:paraId="02E239A7" w14:textId="77777777" w:rsidTr="5CE66923">
        <w:tc>
          <w:tcPr>
            <w:tcW w:w="2393" w:type="dxa"/>
          </w:tcPr>
          <w:p w14:paraId="0412139E" w14:textId="77777777" w:rsidR="00F760D1" w:rsidRDefault="00F760D1" w:rsidP="00F760D1">
            <w:pPr>
              <w:spacing w:before="120" w:after="120"/>
              <w:ind w:firstLine="0"/>
              <w:rPr>
                <w:rFonts w:eastAsiaTheme="majorEastAsia" w:cs="Arial"/>
                <w:b/>
                <w:bCs/>
                <w:iCs/>
              </w:rPr>
            </w:pPr>
            <w:r>
              <w:rPr>
                <w:rFonts w:eastAsiaTheme="majorEastAsia" w:cs="Arial"/>
                <w:b/>
                <w:bCs/>
                <w:iCs/>
              </w:rPr>
              <w:t>Food-related allergies</w:t>
            </w:r>
          </w:p>
        </w:tc>
        <w:tc>
          <w:tcPr>
            <w:tcW w:w="2435" w:type="dxa"/>
          </w:tcPr>
          <w:p w14:paraId="4487446D" w14:textId="77777777" w:rsidR="00F760D1" w:rsidRPr="00F46630" w:rsidRDefault="00F760D1" w:rsidP="00F760D1">
            <w:pPr>
              <w:spacing w:before="120" w:after="120"/>
              <w:ind w:firstLine="0"/>
              <w:rPr>
                <w:rFonts w:eastAsiaTheme="majorEastAsia" w:cs="Arial"/>
                <w:iCs/>
              </w:rPr>
            </w:pPr>
            <w:r>
              <w:rPr>
                <w:rFonts w:eastAsiaTheme="majorEastAsia" w:cs="Arial"/>
                <w:iCs/>
              </w:rPr>
              <w:t>Allergy or intolerance for food ingredients in experimental meals</w:t>
            </w:r>
          </w:p>
        </w:tc>
        <w:tc>
          <w:tcPr>
            <w:tcW w:w="2159" w:type="dxa"/>
          </w:tcPr>
          <w:p w14:paraId="1458F400"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Self-report</w:t>
            </w:r>
          </w:p>
        </w:tc>
        <w:tc>
          <w:tcPr>
            <w:tcW w:w="2029" w:type="dxa"/>
          </w:tcPr>
          <w:p w14:paraId="339554C8" w14:textId="4892490F" w:rsidR="00F760D1" w:rsidRPr="00F46630" w:rsidRDefault="00F760D1" w:rsidP="00F760D1">
            <w:pPr>
              <w:spacing w:before="120" w:after="120"/>
              <w:ind w:firstLine="0"/>
              <w:rPr>
                <w:rFonts w:eastAsiaTheme="majorEastAsia" w:cs="Arial"/>
                <w:iCs/>
              </w:rPr>
            </w:pPr>
            <w:r>
              <w:rPr>
                <w:rFonts w:eastAsiaTheme="majorEastAsia" w:cs="Arial"/>
                <w:iCs/>
              </w:rPr>
              <w:t>Screening (online questionnaire)</w:t>
            </w:r>
          </w:p>
        </w:tc>
      </w:tr>
      <w:tr w:rsidR="00F760D1" w:rsidRPr="00C60DA4" w14:paraId="2663AA09" w14:textId="77777777" w:rsidTr="5CE66923">
        <w:tc>
          <w:tcPr>
            <w:tcW w:w="2393" w:type="dxa"/>
          </w:tcPr>
          <w:p w14:paraId="3BCA6999" w14:textId="77777777" w:rsidR="00F760D1" w:rsidRDefault="00F760D1" w:rsidP="00F760D1">
            <w:pPr>
              <w:spacing w:before="120" w:after="120"/>
              <w:ind w:firstLine="0"/>
              <w:rPr>
                <w:rFonts w:eastAsiaTheme="majorEastAsia" w:cs="Arial"/>
                <w:b/>
                <w:bCs/>
                <w:iCs/>
              </w:rPr>
            </w:pPr>
            <w:r>
              <w:rPr>
                <w:rFonts w:eastAsiaTheme="majorEastAsia" w:cs="Arial"/>
                <w:b/>
                <w:bCs/>
                <w:iCs/>
              </w:rPr>
              <w:t xml:space="preserve">Reproductive organs </w:t>
            </w:r>
          </w:p>
        </w:tc>
        <w:tc>
          <w:tcPr>
            <w:tcW w:w="2435" w:type="dxa"/>
          </w:tcPr>
          <w:p w14:paraId="5F41F9AF"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Not consistent with either female or male biological sex</w:t>
            </w:r>
          </w:p>
        </w:tc>
        <w:tc>
          <w:tcPr>
            <w:tcW w:w="2159" w:type="dxa"/>
          </w:tcPr>
          <w:p w14:paraId="01149D06" w14:textId="77777777" w:rsidR="00F760D1" w:rsidRPr="00F46630" w:rsidRDefault="00F760D1" w:rsidP="00F760D1">
            <w:pPr>
              <w:tabs>
                <w:tab w:val="left" w:pos="965"/>
              </w:tabs>
              <w:spacing w:before="120" w:after="120"/>
              <w:ind w:firstLine="0"/>
              <w:rPr>
                <w:rFonts w:eastAsiaTheme="majorEastAsia" w:cs="Arial"/>
                <w:iCs/>
              </w:rPr>
            </w:pPr>
            <w:r w:rsidRPr="00F46630">
              <w:rPr>
                <w:rFonts w:eastAsiaTheme="majorEastAsia" w:cs="Arial"/>
                <w:iCs/>
              </w:rPr>
              <w:t>Modified RSQ</w:t>
            </w:r>
            <w:r w:rsidRPr="00F46630">
              <w:rPr>
                <w:rFonts w:eastAsiaTheme="majorEastAsia" w:cs="Arial"/>
                <w:iCs/>
              </w:rPr>
              <w:tab/>
            </w:r>
          </w:p>
        </w:tc>
        <w:tc>
          <w:tcPr>
            <w:tcW w:w="2029" w:type="dxa"/>
          </w:tcPr>
          <w:p w14:paraId="0ED8989E" w14:textId="79E2ABD8" w:rsidR="00F760D1" w:rsidRPr="00F46630" w:rsidRDefault="00F760D1" w:rsidP="00F760D1">
            <w:pPr>
              <w:tabs>
                <w:tab w:val="left" w:pos="965"/>
              </w:tabs>
              <w:spacing w:before="120" w:after="120"/>
              <w:ind w:firstLine="0"/>
              <w:rPr>
                <w:rFonts w:eastAsiaTheme="majorEastAsia" w:cs="Arial"/>
                <w:iCs/>
              </w:rPr>
            </w:pPr>
            <w:r>
              <w:rPr>
                <w:rFonts w:eastAsiaTheme="majorEastAsia" w:cs="Arial"/>
                <w:iCs/>
              </w:rPr>
              <w:t>Screening (online questionnaire)</w:t>
            </w:r>
          </w:p>
        </w:tc>
      </w:tr>
      <w:tr w:rsidR="00F760D1" w:rsidRPr="00C60DA4" w14:paraId="59DCC439" w14:textId="77777777" w:rsidTr="5CE66923">
        <w:tc>
          <w:tcPr>
            <w:tcW w:w="2393" w:type="dxa"/>
          </w:tcPr>
          <w:p w14:paraId="587EE8EE" w14:textId="77777777" w:rsidR="00F760D1" w:rsidRDefault="00F760D1" w:rsidP="00F760D1">
            <w:pPr>
              <w:spacing w:before="120" w:after="120"/>
              <w:ind w:firstLine="0"/>
              <w:rPr>
                <w:rFonts w:eastAsiaTheme="majorEastAsia" w:cs="Arial"/>
                <w:b/>
                <w:bCs/>
                <w:iCs/>
              </w:rPr>
            </w:pPr>
            <w:r>
              <w:rPr>
                <w:rFonts w:eastAsiaTheme="majorEastAsia" w:cs="Arial"/>
                <w:b/>
                <w:bCs/>
                <w:iCs/>
              </w:rPr>
              <w:t>Reproductive system surgery</w:t>
            </w:r>
          </w:p>
        </w:tc>
        <w:tc>
          <w:tcPr>
            <w:tcW w:w="2435" w:type="dxa"/>
          </w:tcPr>
          <w:p w14:paraId="17BAE9DD"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Record of bilateral oophorectomy or gender affirming surgery</w:t>
            </w:r>
          </w:p>
        </w:tc>
        <w:tc>
          <w:tcPr>
            <w:tcW w:w="2159" w:type="dxa"/>
          </w:tcPr>
          <w:p w14:paraId="78AA7496" w14:textId="77777777" w:rsidR="00F760D1" w:rsidRPr="00F46630" w:rsidRDefault="00F760D1" w:rsidP="00F760D1">
            <w:pPr>
              <w:tabs>
                <w:tab w:val="left" w:pos="965"/>
              </w:tabs>
              <w:spacing w:before="120" w:after="120"/>
              <w:ind w:firstLine="0"/>
              <w:rPr>
                <w:rFonts w:eastAsiaTheme="majorEastAsia" w:cs="Arial"/>
                <w:iCs/>
              </w:rPr>
            </w:pPr>
            <w:r w:rsidRPr="00F46630">
              <w:rPr>
                <w:rFonts w:eastAsiaTheme="majorEastAsia" w:cs="Arial"/>
                <w:iCs/>
              </w:rPr>
              <w:t>Modified RSQ</w:t>
            </w:r>
          </w:p>
        </w:tc>
        <w:tc>
          <w:tcPr>
            <w:tcW w:w="2029" w:type="dxa"/>
          </w:tcPr>
          <w:p w14:paraId="3E478C43" w14:textId="73F01B22" w:rsidR="00F760D1" w:rsidRPr="00F46630" w:rsidRDefault="00F760D1" w:rsidP="00F760D1">
            <w:pPr>
              <w:tabs>
                <w:tab w:val="left" w:pos="965"/>
              </w:tabs>
              <w:spacing w:before="120" w:after="120"/>
              <w:ind w:firstLine="0"/>
              <w:rPr>
                <w:rFonts w:eastAsiaTheme="majorEastAsia" w:cs="Arial"/>
                <w:iCs/>
              </w:rPr>
            </w:pPr>
            <w:r>
              <w:rPr>
                <w:rFonts w:eastAsiaTheme="majorEastAsia" w:cs="Arial"/>
                <w:iCs/>
              </w:rPr>
              <w:t>Screening (online questionnaire)</w:t>
            </w:r>
          </w:p>
        </w:tc>
      </w:tr>
      <w:tr w:rsidR="00F760D1" w:rsidRPr="00C60DA4" w14:paraId="3EB1C48A" w14:textId="77777777" w:rsidTr="5CE66923">
        <w:tc>
          <w:tcPr>
            <w:tcW w:w="2393" w:type="dxa"/>
          </w:tcPr>
          <w:p w14:paraId="0560AF67" w14:textId="77777777" w:rsidR="00F760D1" w:rsidRDefault="00F760D1" w:rsidP="00F760D1">
            <w:pPr>
              <w:spacing w:before="120" w:after="120"/>
              <w:ind w:firstLine="0"/>
              <w:rPr>
                <w:rFonts w:eastAsiaTheme="majorEastAsia" w:cs="Arial"/>
                <w:b/>
                <w:bCs/>
                <w:iCs/>
              </w:rPr>
            </w:pPr>
            <w:r>
              <w:rPr>
                <w:rFonts w:eastAsiaTheme="majorEastAsia" w:cs="Arial"/>
                <w:b/>
                <w:bCs/>
                <w:iCs/>
              </w:rPr>
              <w:t>Hormone intake</w:t>
            </w:r>
          </w:p>
        </w:tc>
        <w:tc>
          <w:tcPr>
            <w:tcW w:w="2435" w:type="dxa"/>
          </w:tcPr>
          <w:p w14:paraId="6935BD16" w14:textId="77777777" w:rsidR="00F760D1" w:rsidRPr="00F46630" w:rsidRDefault="00F760D1" w:rsidP="00F760D1">
            <w:pPr>
              <w:spacing w:before="120" w:after="120"/>
              <w:ind w:firstLine="0"/>
              <w:rPr>
                <w:rFonts w:eastAsiaTheme="majorEastAsia" w:cs="Arial"/>
                <w:iCs/>
              </w:rPr>
            </w:pPr>
            <w:r w:rsidRPr="00F46630">
              <w:rPr>
                <w:rFonts w:eastAsiaTheme="majorEastAsia" w:cs="Arial"/>
                <w:iCs/>
              </w:rPr>
              <w:t xml:space="preserve">Intake of </w:t>
            </w:r>
            <w:r>
              <w:rPr>
                <w:rFonts w:eastAsiaTheme="majorEastAsia" w:cs="Arial"/>
                <w:iCs/>
              </w:rPr>
              <w:t xml:space="preserve">any </w:t>
            </w:r>
            <w:r w:rsidRPr="00F46630">
              <w:rPr>
                <w:rFonts w:eastAsiaTheme="majorEastAsia" w:cs="Arial"/>
                <w:iCs/>
              </w:rPr>
              <w:t>exogenous hormones (with exception of contraceptive hormones)</w:t>
            </w:r>
          </w:p>
        </w:tc>
        <w:tc>
          <w:tcPr>
            <w:tcW w:w="2159" w:type="dxa"/>
          </w:tcPr>
          <w:p w14:paraId="4DA3D773" w14:textId="77777777" w:rsidR="00F760D1" w:rsidRPr="00F46630" w:rsidRDefault="00F760D1" w:rsidP="00F760D1">
            <w:pPr>
              <w:tabs>
                <w:tab w:val="left" w:pos="965"/>
              </w:tabs>
              <w:spacing w:before="120" w:after="120"/>
              <w:ind w:firstLine="0"/>
              <w:rPr>
                <w:rFonts w:eastAsiaTheme="majorEastAsia" w:cs="Arial"/>
                <w:iCs/>
              </w:rPr>
            </w:pPr>
            <w:r w:rsidRPr="00F46630">
              <w:rPr>
                <w:rFonts w:eastAsiaTheme="majorEastAsia" w:cs="Arial"/>
                <w:iCs/>
              </w:rPr>
              <w:t>Modified RSQ</w:t>
            </w:r>
          </w:p>
        </w:tc>
        <w:tc>
          <w:tcPr>
            <w:tcW w:w="2029" w:type="dxa"/>
          </w:tcPr>
          <w:p w14:paraId="218D242E" w14:textId="2290BAE4" w:rsidR="00F760D1" w:rsidRPr="00F46630" w:rsidRDefault="00F760D1" w:rsidP="00F760D1">
            <w:pPr>
              <w:tabs>
                <w:tab w:val="left" w:pos="965"/>
              </w:tabs>
              <w:spacing w:before="120" w:after="120"/>
              <w:ind w:firstLine="0"/>
              <w:rPr>
                <w:rFonts w:eastAsiaTheme="majorEastAsia" w:cs="Arial"/>
                <w:iCs/>
              </w:rPr>
            </w:pPr>
            <w:r>
              <w:rPr>
                <w:rFonts w:eastAsiaTheme="majorEastAsia" w:cs="Arial"/>
                <w:iCs/>
              </w:rPr>
              <w:t>Screening (online questionnaire)</w:t>
            </w:r>
          </w:p>
        </w:tc>
      </w:tr>
      <w:tr w:rsidR="00BF3E40" w:rsidRPr="00C60DA4" w14:paraId="358B3029" w14:textId="77777777" w:rsidTr="5CE66923">
        <w:tc>
          <w:tcPr>
            <w:tcW w:w="2393" w:type="dxa"/>
          </w:tcPr>
          <w:p w14:paraId="3FB30BA5" w14:textId="403ACF24" w:rsidR="00BF3E40" w:rsidRDefault="00BF3E40" w:rsidP="00F760D1">
            <w:pPr>
              <w:spacing w:before="120" w:after="120"/>
              <w:ind w:firstLine="0"/>
              <w:rPr>
                <w:rFonts w:eastAsiaTheme="majorEastAsia" w:cs="Arial"/>
                <w:b/>
                <w:bCs/>
                <w:iCs/>
              </w:rPr>
            </w:pPr>
            <w:r>
              <w:rPr>
                <w:rFonts w:eastAsiaTheme="majorEastAsia" w:cs="Arial"/>
                <w:b/>
                <w:bCs/>
                <w:iCs/>
              </w:rPr>
              <w:t>Hormonal disorder</w:t>
            </w:r>
          </w:p>
        </w:tc>
        <w:tc>
          <w:tcPr>
            <w:tcW w:w="2435" w:type="dxa"/>
          </w:tcPr>
          <w:p w14:paraId="52D2896A" w14:textId="70E00495" w:rsidR="00BF3E40" w:rsidRPr="5CE66923" w:rsidRDefault="00BF3E40" w:rsidP="5CE66923">
            <w:pPr>
              <w:spacing w:before="120" w:after="120"/>
              <w:ind w:firstLine="0"/>
              <w:rPr>
                <w:rFonts w:eastAsiaTheme="majorEastAsia" w:cs="Arial"/>
              </w:rPr>
            </w:pPr>
            <w:r>
              <w:rPr>
                <w:rFonts w:eastAsiaTheme="majorEastAsia" w:cs="Arial"/>
              </w:rPr>
              <w:t>Diagnosis of hormonal disorder</w:t>
            </w:r>
          </w:p>
        </w:tc>
        <w:tc>
          <w:tcPr>
            <w:tcW w:w="2159" w:type="dxa"/>
          </w:tcPr>
          <w:p w14:paraId="71EE847E" w14:textId="45051FEC" w:rsidR="00BF3E40" w:rsidRPr="00F46630" w:rsidRDefault="00BF3E40" w:rsidP="00F760D1">
            <w:pPr>
              <w:tabs>
                <w:tab w:val="left" w:pos="965"/>
              </w:tabs>
              <w:spacing w:before="120" w:after="120"/>
              <w:ind w:firstLine="0"/>
              <w:rPr>
                <w:rFonts w:eastAsiaTheme="majorEastAsia" w:cs="Arial"/>
                <w:iCs/>
              </w:rPr>
            </w:pPr>
            <w:r>
              <w:rPr>
                <w:rFonts w:eastAsiaTheme="majorEastAsia" w:cs="Arial"/>
                <w:iCs/>
              </w:rPr>
              <w:t>Modified RSQ</w:t>
            </w:r>
          </w:p>
        </w:tc>
        <w:tc>
          <w:tcPr>
            <w:tcW w:w="2029" w:type="dxa"/>
          </w:tcPr>
          <w:p w14:paraId="665DBF92" w14:textId="17DAFF92" w:rsidR="00BF3E40" w:rsidRDefault="00BF3E40" w:rsidP="00F760D1">
            <w:pPr>
              <w:tabs>
                <w:tab w:val="left" w:pos="965"/>
              </w:tabs>
              <w:spacing w:before="120" w:after="120"/>
              <w:ind w:firstLine="0"/>
              <w:rPr>
                <w:rFonts w:eastAsiaTheme="majorEastAsia" w:cs="Arial"/>
                <w:iCs/>
              </w:rPr>
            </w:pPr>
            <w:r>
              <w:rPr>
                <w:rFonts w:eastAsiaTheme="majorEastAsia" w:cs="Arial"/>
                <w:iCs/>
              </w:rPr>
              <w:t>Screening (online questionnaire)</w:t>
            </w:r>
          </w:p>
        </w:tc>
      </w:tr>
      <w:tr w:rsidR="00F760D1" w:rsidRPr="00C60DA4" w14:paraId="04BE8E0A" w14:textId="77777777" w:rsidTr="5CE66923">
        <w:tc>
          <w:tcPr>
            <w:tcW w:w="2393" w:type="dxa"/>
          </w:tcPr>
          <w:p w14:paraId="44CDB514" w14:textId="77777777" w:rsidR="00F760D1" w:rsidRDefault="00F760D1" w:rsidP="00F760D1">
            <w:pPr>
              <w:spacing w:before="120" w:after="120"/>
              <w:ind w:firstLine="0"/>
              <w:rPr>
                <w:rFonts w:eastAsiaTheme="majorEastAsia" w:cs="Arial"/>
                <w:b/>
                <w:bCs/>
                <w:iCs/>
              </w:rPr>
            </w:pPr>
            <w:r>
              <w:rPr>
                <w:rFonts w:eastAsiaTheme="majorEastAsia" w:cs="Arial"/>
                <w:b/>
                <w:bCs/>
                <w:iCs/>
              </w:rPr>
              <w:t>Current or past pregnancy</w:t>
            </w:r>
          </w:p>
        </w:tc>
        <w:tc>
          <w:tcPr>
            <w:tcW w:w="2435" w:type="dxa"/>
          </w:tcPr>
          <w:p w14:paraId="22A89D07" w14:textId="4359B94B" w:rsidR="00F760D1" w:rsidRPr="00F46630" w:rsidRDefault="5CE66923" w:rsidP="5CE66923">
            <w:pPr>
              <w:spacing w:before="120" w:after="120"/>
              <w:ind w:firstLine="0"/>
              <w:rPr>
                <w:rFonts w:eastAsiaTheme="majorEastAsia" w:cs="Arial"/>
              </w:rPr>
            </w:pPr>
            <w:r w:rsidRPr="5CE66923">
              <w:rPr>
                <w:rFonts w:eastAsiaTheme="majorEastAsia" w:cs="Arial"/>
              </w:rPr>
              <w:t xml:space="preserve">Being currently pregnant or having had </w:t>
            </w:r>
            <w:r w:rsidR="00BF3E40">
              <w:rPr>
                <w:rFonts w:eastAsiaTheme="majorEastAsia" w:cs="Arial"/>
              </w:rPr>
              <w:t>a pregnancy or having been breast-feeding in the last 12 months</w:t>
            </w:r>
          </w:p>
        </w:tc>
        <w:tc>
          <w:tcPr>
            <w:tcW w:w="2159" w:type="dxa"/>
          </w:tcPr>
          <w:p w14:paraId="399CEA70" w14:textId="77777777" w:rsidR="00F760D1" w:rsidRPr="00F46630" w:rsidRDefault="00F760D1" w:rsidP="00F760D1">
            <w:pPr>
              <w:tabs>
                <w:tab w:val="left" w:pos="965"/>
              </w:tabs>
              <w:spacing w:before="120" w:after="120"/>
              <w:ind w:firstLine="0"/>
              <w:rPr>
                <w:rFonts w:eastAsiaTheme="majorEastAsia" w:cs="Arial"/>
                <w:iCs/>
              </w:rPr>
            </w:pPr>
            <w:r w:rsidRPr="00F46630">
              <w:rPr>
                <w:rFonts w:eastAsiaTheme="majorEastAsia" w:cs="Arial"/>
                <w:iCs/>
              </w:rPr>
              <w:t>Modified RSQ</w:t>
            </w:r>
          </w:p>
        </w:tc>
        <w:tc>
          <w:tcPr>
            <w:tcW w:w="2029" w:type="dxa"/>
          </w:tcPr>
          <w:p w14:paraId="53DA9CCF" w14:textId="2B7F0724" w:rsidR="00F760D1" w:rsidRPr="00F46630" w:rsidRDefault="00F760D1" w:rsidP="00F760D1">
            <w:pPr>
              <w:tabs>
                <w:tab w:val="left" w:pos="965"/>
              </w:tabs>
              <w:spacing w:before="120" w:after="120"/>
              <w:ind w:firstLine="0"/>
              <w:rPr>
                <w:rFonts w:eastAsiaTheme="majorEastAsia" w:cs="Arial"/>
                <w:iCs/>
              </w:rPr>
            </w:pPr>
            <w:r>
              <w:rPr>
                <w:rFonts w:eastAsiaTheme="majorEastAsia" w:cs="Arial"/>
                <w:iCs/>
              </w:rPr>
              <w:t>Screening (online questionnaire)</w:t>
            </w:r>
          </w:p>
        </w:tc>
      </w:tr>
      <w:tr w:rsidR="00F760D1" w:rsidRPr="00C60DA4" w14:paraId="0AA47986" w14:textId="77777777" w:rsidTr="5CE66923">
        <w:tc>
          <w:tcPr>
            <w:tcW w:w="2393" w:type="dxa"/>
          </w:tcPr>
          <w:p w14:paraId="1D5BCB22" w14:textId="055A8213" w:rsidR="00F760D1" w:rsidRDefault="00F760D1" w:rsidP="00F760D1">
            <w:pPr>
              <w:spacing w:before="120" w:after="120"/>
              <w:ind w:firstLine="0"/>
              <w:rPr>
                <w:rFonts w:eastAsiaTheme="majorEastAsia" w:cs="Arial"/>
                <w:b/>
                <w:bCs/>
                <w:iCs/>
              </w:rPr>
            </w:pPr>
            <w:r>
              <w:rPr>
                <w:rFonts w:eastAsiaTheme="majorEastAsia" w:cs="Arial"/>
                <w:b/>
                <w:bCs/>
                <w:iCs/>
              </w:rPr>
              <w:t>Menstrual symptoms</w:t>
            </w:r>
            <w:r w:rsidR="00927992">
              <w:rPr>
                <w:rFonts w:eastAsiaTheme="majorEastAsia" w:cs="Arial"/>
                <w:b/>
                <w:bCs/>
                <w:iCs/>
              </w:rPr>
              <w:t xml:space="preserve"> </w:t>
            </w:r>
          </w:p>
        </w:tc>
        <w:tc>
          <w:tcPr>
            <w:tcW w:w="2435" w:type="dxa"/>
          </w:tcPr>
          <w:p w14:paraId="658CA55A" w14:textId="77777777" w:rsidR="00F760D1" w:rsidRPr="00F46630" w:rsidRDefault="00F760D1" w:rsidP="00F760D1">
            <w:pPr>
              <w:spacing w:before="120" w:after="120"/>
              <w:ind w:firstLine="0"/>
              <w:rPr>
                <w:rFonts w:eastAsiaTheme="majorEastAsia" w:cs="Arial"/>
                <w:iCs/>
              </w:rPr>
            </w:pPr>
            <w:r>
              <w:rPr>
                <w:rFonts w:eastAsiaTheme="majorEastAsia" w:cs="Arial"/>
                <w:iCs/>
              </w:rPr>
              <w:t>Frequent severe physical symptoms related to menstrual cycle</w:t>
            </w:r>
          </w:p>
        </w:tc>
        <w:tc>
          <w:tcPr>
            <w:tcW w:w="2159" w:type="dxa"/>
          </w:tcPr>
          <w:p w14:paraId="5FB04AE8" w14:textId="77777777" w:rsidR="00F760D1" w:rsidRPr="00F46630" w:rsidRDefault="00F760D1" w:rsidP="00F760D1">
            <w:pPr>
              <w:tabs>
                <w:tab w:val="left" w:pos="965"/>
              </w:tabs>
              <w:spacing w:before="120" w:after="120"/>
              <w:ind w:firstLine="0"/>
              <w:rPr>
                <w:rFonts w:eastAsiaTheme="majorEastAsia" w:cs="Arial"/>
                <w:iCs/>
              </w:rPr>
            </w:pPr>
            <w:r>
              <w:rPr>
                <w:rFonts w:eastAsiaTheme="majorEastAsia" w:cs="Arial"/>
                <w:iCs/>
              </w:rPr>
              <w:t>Modified RSQ</w:t>
            </w:r>
          </w:p>
        </w:tc>
        <w:tc>
          <w:tcPr>
            <w:tcW w:w="2029" w:type="dxa"/>
          </w:tcPr>
          <w:p w14:paraId="09367EA0" w14:textId="061B6DDB" w:rsidR="00F760D1" w:rsidRDefault="00F760D1" w:rsidP="00F760D1">
            <w:pPr>
              <w:tabs>
                <w:tab w:val="left" w:pos="965"/>
              </w:tabs>
              <w:spacing w:before="120" w:after="120"/>
              <w:ind w:firstLine="0"/>
              <w:rPr>
                <w:rFonts w:eastAsiaTheme="majorEastAsia" w:cs="Arial"/>
                <w:iCs/>
              </w:rPr>
            </w:pPr>
            <w:r>
              <w:rPr>
                <w:rFonts w:eastAsiaTheme="majorEastAsia" w:cs="Arial"/>
                <w:iCs/>
              </w:rPr>
              <w:t>Screening (online questionnaire)</w:t>
            </w:r>
          </w:p>
        </w:tc>
      </w:tr>
      <w:tr w:rsidR="00927992" w:rsidRPr="00C60DA4" w14:paraId="1A80C0FC" w14:textId="77777777" w:rsidTr="5CE66923">
        <w:tc>
          <w:tcPr>
            <w:tcW w:w="2393" w:type="dxa"/>
          </w:tcPr>
          <w:p w14:paraId="2AC47F66" w14:textId="092EC896" w:rsidR="00927992" w:rsidRDefault="00927992" w:rsidP="00F760D1">
            <w:pPr>
              <w:spacing w:before="120" w:after="120"/>
              <w:ind w:firstLine="0"/>
              <w:rPr>
                <w:rFonts w:eastAsiaTheme="majorEastAsia" w:cs="Arial"/>
                <w:b/>
                <w:bCs/>
                <w:iCs/>
              </w:rPr>
            </w:pPr>
            <w:r>
              <w:rPr>
                <w:rFonts w:eastAsiaTheme="majorEastAsia" w:cs="Arial"/>
                <w:b/>
                <w:bCs/>
                <w:iCs/>
              </w:rPr>
              <w:lastRenderedPageBreak/>
              <w:t xml:space="preserve">Premenstrual dysphoric disorder </w:t>
            </w:r>
          </w:p>
        </w:tc>
        <w:tc>
          <w:tcPr>
            <w:tcW w:w="2435" w:type="dxa"/>
          </w:tcPr>
          <w:p w14:paraId="4F58284C" w14:textId="4D6417BA" w:rsidR="00927992" w:rsidRDefault="5CE66923" w:rsidP="5CE66923">
            <w:pPr>
              <w:spacing w:before="120" w:after="120"/>
              <w:ind w:firstLine="0"/>
              <w:rPr>
                <w:rFonts w:eastAsiaTheme="majorEastAsia" w:cs="Arial"/>
              </w:rPr>
            </w:pPr>
            <w:r w:rsidRPr="5CE66923">
              <w:rPr>
                <w:rFonts w:eastAsiaTheme="majorEastAsia" w:cs="Arial"/>
              </w:rPr>
              <w:t>Moderate to severe PMDD symptoms</w:t>
            </w:r>
          </w:p>
        </w:tc>
        <w:tc>
          <w:tcPr>
            <w:tcW w:w="2159" w:type="dxa"/>
          </w:tcPr>
          <w:p w14:paraId="040EC6F3" w14:textId="359DAF53" w:rsidR="00927992" w:rsidRDefault="00927992" w:rsidP="00F760D1">
            <w:pPr>
              <w:tabs>
                <w:tab w:val="left" w:pos="965"/>
              </w:tabs>
              <w:spacing w:before="120" w:after="120"/>
              <w:ind w:firstLine="0"/>
              <w:rPr>
                <w:rFonts w:eastAsiaTheme="majorEastAsia" w:cs="Arial"/>
                <w:iCs/>
              </w:rPr>
            </w:pPr>
            <w:r>
              <w:rPr>
                <w:rFonts w:eastAsiaTheme="majorEastAsia" w:cs="Arial"/>
                <w:iCs/>
              </w:rPr>
              <w:t>PSST</w:t>
            </w:r>
          </w:p>
        </w:tc>
        <w:tc>
          <w:tcPr>
            <w:tcW w:w="2029" w:type="dxa"/>
          </w:tcPr>
          <w:p w14:paraId="45F31BDD" w14:textId="54BE13D8" w:rsidR="00927992" w:rsidRDefault="00927992" w:rsidP="00F760D1">
            <w:pPr>
              <w:tabs>
                <w:tab w:val="left" w:pos="965"/>
              </w:tabs>
              <w:spacing w:before="120" w:after="120"/>
              <w:ind w:firstLine="0"/>
              <w:rPr>
                <w:rFonts w:eastAsiaTheme="majorEastAsia" w:cs="Arial"/>
                <w:iCs/>
              </w:rPr>
            </w:pPr>
            <w:r>
              <w:rPr>
                <w:rFonts w:eastAsiaTheme="majorEastAsia" w:cs="Arial"/>
                <w:iCs/>
              </w:rPr>
              <w:t>Screening (online questionnaire)</w:t>
            </w:r>
          </w:p>
        </w:tc>
      </w:tr>
    </w:tbl>
    <w:p w14:paraId="54A88037" w14:textId="2DC8FCC6" w:rsidR="00970774" w:rsidRDefault="002B02A9" w:rsidP="002B02A9">
      <w:pPr>
        <w:pStyle w:val="figure-legend"/>
      </w:pPr>
      <w:r>
        <w:t xml:space="preserve">Table </w:t>
      </w:r>
      <w:r w:rsidR="00303E89">
        <w:t>2</w:t>
      </w:r>
      <w:r>
        <w:t xml:space="preserve">. Exclusion criteria. Abbreviations: BMI, Body Mass Index; AUDIT, Alcohol Use Disorders Identification Test </w:t>
      </w:r>
      <w:r>
        <w:fldChar w:fldCharType="begin"/>
      </w:r>
      <w:r w:rsidR="0092047F">
        <w:instrText xml:space="preserve"> ADDIN ZOTERO_ITEM CSL_CITATION {"citationID":"6HvXe7No","properties":{"formattedCitation":"(Saunders et al., 1993)","plainCitation":"(Saunders et al., 1993)","noteIndex":0},"citationItems":[{"id":8994,"uris":["http://zotero.org/users/11330488/items/PM6DZX7S"],"itemData":{"id":8994,"type":"article-journal","abstract":"The Alcohol Use Disorders Identification Test (A UDIT) has been developed from a six-country WHO collaborative project as a screening instrument for hazardous and harmful alcohol consumption. It is a 10-item questionnaire which covers the domains of alcohol consumption, drinking behaviour, and alcohol-related problems. Questions were selected from a 150-item assessment schedule (which was administered to 1888 persons attending representative primary health care facilities) on the basis of their representativeness for these conceptual domains and their perceived usefulness for intervention. Responses to each question are scored from 0 to 4, giving a maximum possible score of 40. Among those diagnosed as having hazardous or harmful alcohol use, 92% had an AUDIT score of 8 or more, and 94% of those with non-hazardous consumption had a score of less than 8. AUDIT provides a simple method of early detection of hazardous and harmful alcohol use in primary health care settings and is the first instrument of its type to be derived on the basis of a cross-national study.","container-title":"Addiction","DOI":"10.1111/j.1360-0443.1993.tb02093.x","ISSN":"1360-0443","issue":"6","language":"en","note":"_eprint: https://onlinelibrary.wiley.com/doi/pdf/10.1111/j.1360-0443.1993.tb02093.x","page":"791-804","source":"Wiley Online Library","title":"Development of the Alcohol Use Disorders Identification Test (AUDIT): WHO Collaborative Project on Early Detection of Persons with Harmful Alcohol Consumption-II","title-short":"Development of the Alcohol Use Disorders Identification Test (AUDIT)","volume":"88","author":[{"family":"Saunders","given":"John B"},{"family":"Aasland","given":"Olaf G."},{"family":"Babor","given":"Thomas F."},{"family":"De La Fuente","given":"Juan R."},{"family":"Grant","given":"Marcus"}],"issued":{"date-parts":[["1993"]]}}}],"schema":"https://github.com/citation-style-language/schema/raw/master/csl-citation.json"} </w:instrText>
      </w:r>
      <w:r>
        <w:fldChar w:fldCharType="separate"/>
      </w:r>
      <w:r w:rsidRPr="002B02A9">
        <w:rPr>
          <w:rFonts w:cs="Arial"/>
        </w:rPr>
        <w:t>(Saunders et al., 1993)</w:t>
      </w:r>
      <w:r>
        <w:fldChar w:fldCharType="end"/>
      </w:r>
      <w:r>
        <w:t xml:space="preserve">; PSQI, </w:t>
      </w:r>
      <w:r w:rsidRPr="002B02A9">
        <w:t>Pittsburgh Sleep Quality Index </w:t>
      </w:r>
      <w:r>
        <w:fldChar w:fldCharType="begin"/>
      </w:r>
      <w:r w:rsidR="0092047F">
        <w:instrText xml:space="preserve"> ADDIN ZOTERO_ITEM CSL_CITATION {"citationID":"TklDxhhF","properties":{"formattedCitation":"(Buysse et al., 1989)","plainCitation":"(Buysse et al., 1989)","noteIndex":0},"citationItems":[{"id":8997,"uris":["http://zotero.org/users/11330488/items/VAWDBZ2S"],"itemData":{"id":8997,"type":"article-journal","abstract":"Despite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&gt; 5 yielded a diagnostic sensitivity of 89.6% and specificity of 86.5% (kappa = 0.75, p </w:instrText>
      </w:r>
      <w:r w:rsidR="0092047F">
        <w:rPr>
          <w:rFonts w:ascii="Cambria Math" w:hAnsi="Cambria Math" w:cs="Cambria Math"/>
        </w:rPr>
        <w:instrText>⩽</w:instrText>
      </w:r>
      <w:r w:rsidR="0092047F">
        <w:instrText xml:space="preserve"> 0.001) in distinguishing good and poor sleepers. The clinemetric and clinical properties of the PSQI suggest its utility both in psychiatric clinical practice and research activities.","container-title":"Psychiatry Research","DOI":"10.1016/0165-1781(89)90047-4","ISSN":"0165-1781","issue":"2","journalAbbreviation":"Psychiatry Research","page":"193-213","source":"ScienceDirect","title":"The Pittsburgh sleep quality index: A new instrument for psychiatric practice and research","title-short":"The Pittsburgh sleep quality index","volume":"28","author":[{"family":"Buysse","given":"Daniel J."},{"family":"Reynolds","given":"Charles F."},{"family":"Monk","given":"Timothy H."},{"family":"Berman","given":"Susan R."},{"family":"Kupfer","given":"David J."}],"issued":{"date-parts":[["1989",5,1]]}}}],"schema":"https://github.com/citation-style-language/schema/raw/master/csl-citation.json"} </w:instrText>
      </w:r>
      <w:r>
        <w:fldChar w:fldCharType="separate"/>
      </w:r>
      <w:r w:rsidRPr="002B02A9">
        <w:rPr>
          <w:rFonts w:cs="Arial"/>
        </w:rPr>
        <w:t>(Buysse et al., 1989)</w:t>
      </w:r>
      <w:r>
        <w:fldChar w:fldCharType="end"/>
      </w:r>
      <w:r>
        <w:t xml:space="preserve">; MCTQ, Munich Chronotype Questionnaire </w:t>
      </w:r>
      <w:r>
        <w:fldChar w:fldCharType="begin"/>
      </w:r>
      <w:r w:rsidR="0092047F">
        <w:instrText xml:space="preserve"> ADDIN ZOTERO_ITEM CSL_CITATION {"citationID":"euP2NtLT","properties":{"formattedCitation":"(Roenneberg et al., 2003)","plainCitation":"(Roenneberg et al., 2003)","noteIndex":0},"citationItems":[{"id":5,"uris":["http://zotero.org/users/11330488/items/THNYY9WM"],"itemData":{"id":5,"type":"article-journal","abstract":"Human behavior shows large interindividual variation in temporal organization. Extreme \"larks\" wake up when extreme \"owls\" fall asleep. These chronotypes are attributed to differences in the circadian clock, and in animals, the genetic basis of similar phenotypic differences is well established. To better understand the genetic basis of temporal organization in humans, the authors developed a questionnaire to document individual sleep times, self-reported light exposure, and self-assessed chronotype, considering work and free days separately. This report summarizes the results of 500 questionnaires completed in a pilot study individual sleep times show large differences between work and free days, except for extreme early types. During the workweek, late chronotypes accumulate considerable sleep debt, for which they compensate on free days by lengthening their sleep by several hours. For all chronotypes, the amount of time spent outdoors in broad daylight significantly affects the timing of sleep: Increased self-reported light exposure advances sleep. The timing of self-selected sleep is multifactorial, including genetic disposition, sleep debt accumulated on workdays, and light exposure. Thus, accurate assessment of genetic chronotypes has to incorporate all of these parameters. The dependence of human chronotype on light, that is, on the amplitude of the light:dark signal, follows the known characteristics of circadian systems in all other experimental organisms. Our results predict that the timing of sleep has changed during industrialization and that a majority of humans are sleep deprived during the workweek. The implications are far ranging concerning learning, memory, vigilance, performance, and quality of life.","container-title":"Journal of Biological Rhythms","DOI":"10.1177/0748730402239679","ISSN":"0748-7304","issue":"1","journalAbbreviation":"J Biol Rhythms","language":"eng","note":"PMID: 12568247","page":"80-90","source":"PubMed","title":"Life between clocks: daily temporal patterns of human chronotypes","title-short":"Life between clocks","volume":"18","author":[{"family":"Roenneberg","given":"Till"},{"family":"Wirz-Justice","given":"Anna"},{"family":"Merrow","given":"Martha"}],"issued":{"date-parts":[["2003",2]]}}}],"schema":"https://github.com/citation-style-language/schema/raw/master/csl-citation.json"} </w:instrText>
      </w:r>
      <w:r>
        <w:fldChar w:fldCharType="separate"/>
      </w:r>
      <w:r w:rsidRPr="002B02A9">
        <w:rPr>
          <w:rFonts w:cs="Arial"/>
        </w:rPr>
        <w:t>(Roenneberg et al., 2003)</w:t>
      </w:r>
      <w:r>
        <w:fldChar w:fldCharType="end"/>
      </w:r>
      <w:r>
        <w:t xml:space="preserve">; ESS, Epworth Sleepiness Scale </w:t>
      </w:r>
      <w:r>
        <w:fldChar w:fldCharType="begin"/>
      </w:r>
      <w:r w:rsidR="0092047F">
        <w:instrText xml:space="preserve"> ADDIN ZOTERO_ITEM CSL_CITATION {"citationID":"y7atWbPq","properties":{"formattedCitation":"(Johns, 1991)","plainCitation":"(Johns, 1991)","noteIndex":0},"citationItems":[{"id":4586,"uris":["http://zotero.org/groups/4906431/items/AXF94ZIN"],"itemData":{"id":4586,"type":"article-journal","abstract":"The development and use of a new scale, the Epworth sleepiness scale (ESS), is described. This is a simple, self-administered questionnaire which is shown to provide a measurement of the subject's genera1level of daytime sleepiness. One hundred and eighty adults answered the ESS, including 30 normal men and women as controls and 150 patients with a range of sleep disorders. They rated the chances that they would doze off or fall asleep when in eight different situations commonly encountered in daily life. Total ESS scores significantly distinguished normal subjects from patients in various diagnostic groups including obstructive sleep apnea syndrome, narcolepsy and idiopathic hypersomnia. ESS scores were significantly correlated with sleep latency measured during the multiple sleep latency test and during overnight polysomnography. In patients with obstructive sleep apnea syndrome ESS scores were significantly correlated with the respiratory disturbance index and the minimum SaO2 recorded overnight. ESS scores of patients who simply snored did not differ from controls.","container-title":"Sleep","DOI":"10.1093/sleep/14.6.540","ISSN":"0161-8105","issue":"6","journalAbbreviation":"Sleep","page":"540-545","title":"A New Method for Measuring Daytime Sleepiness: The Epworth Sleepiness Scale","volume":"14","author":[{"family":"Johns","given":"Murray W."}],"issued":{"date-parts":[["1991",11,1]]}}}],"schema":"https://github.com/citation-style-language/schema/raw/master/csl-citation.json"} </w:instrText>
      </w:r>
      <w:r>
        <w:fldChar w:fldCharType="separate"/>
      </w:r>
      <w:r w:rsidRPr="002B02A9">
        <w:rPr>
          <w:rFonts w:cs="Arial"/>
        </w:rPr>
        <w:t>(Johns, 1991)</w:t>
      </w:r>
      <w:r>
        <w:fldChar w:fldCharType="end"/>
      </w:r>
      <w:r>
        <w:t>; RSQ, Reproductive Status Questionnaire</w:t>
      </w:r>
      <w:r w:rsidR="00927992">
        <w:t xml:space="preserve"> </w:t>
      </w:r>
      <w:r w:rsidR="004F73FD">
        <w:fldChar w:fldCharType="begin"/>
      </w:r>
      <w:r w:rsidR="00DA4730">
        <w:instrText xml:space="preserve"> ADDIN ZOTERO_ITEM CSL_CITATION {"citationID":"qMhyvAYr","properties":{"formattedCitation":"(Schmalenberger et al., 2021)","plainCitation":"(Schmalenberger et al., 2021)","dontUpdate":true,"noteIndex":0},"citationItems":[{"id":"pFCzBSob/BCJzJhtF","uris":["http://zotero.org/users/11330488/items/4W4B7LVN"],"itemData":{"id":177,"type":"article-journal","abstract":"Despite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and sampling strategy, managing demand characteristics, identifying a sample of naturally-cycling individuals, and measuring menstrual bleeding dates, ovarian hormones, and ovulation. We proceed with suggestions for (4) data preparation and coding of cycle day and phases, as well as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replicable.","container-title":"Psychoneuroendocrinology","DOI":"10.1016/j.psyneuen.2020.104895","ISSN":"1873-3360","journalAbbreviation":"Psychoneuroendocrinology","language":"eng","note":"PMID: 33113391\nPMCID: PMC8363181","page":"104895","source":"PubMed","title":"How to study the menstrual cycle: Practical tools and recommendations","title-short":"How to study the menstrual cycle","volume":"123","author":[{"family":"Schmalenberger","given":"Katja M."},{"family":"Tauseef","given":"Hafsah A."},{"family":"Barone","given":"Jordan C."},{"family":"Owens","given":"Sarah A."},{"family":"Lieberman","given":"Lynne"},{"family":"Jarczok","given":"Marc N."},{"family":"Girdler","given":"Susan S."},{"family":"Kiesner","given":"Jeff"},{"family":"Ditzen","given":"Beate"},{"family":"Eisenlohr-Moul","given":"Tory A."}],"issued":{"date-parts":[["2021",1]]}}}],"schema":"https://github.com/citation-style-language/schema/raw/master/csl-citation.json"} </w:instrText>
      </w:r>
      <w:r w:rsidR="004F73FD">
        <w:fldChar w:fldCharType="separate"/>
      </w:r>
      <w:r w:rsidR="00B552B8" w:rsidRPr="00B552B8">
        <w:rPr>
          <w:rFonts w:cs="Arial"/>
        </w:rPr>
        <w:t>(Schmalenberger et al., 2021</w:t>
      </w:r>
      <w:r w:rsidR="007A539F">
        <w:rPr>
          <w:rFonts w:cs="Arial"/>
        </w:rPr>
        <w:t>, modified in that questions covered by other questionnaires were removed</w:t>
      </w:r>
      <w:r w:rsidR="00B552B8" w:rsidRPr="00B552B8">
        <w:rPr>
          <w:rFonts w:cs="Arial"/>
        </w:rPr>
        <w:t>)</w:t>
      </w:r>
      <w:r w:rsidR="004F73FD">
        <w:fldChar w:fldCharType="end"/>
      </w:r>
      <w:r w:rsidR="00927992">
        <w:t xml:space="preserve">; PSST, Premenstrual Symptoms Screening Tool </w:t>
      </w:r>
      <w:r w:rsidR="00927992">
        <w:fldChar w:fldCharType="begin"/>
      </w:r>
      <w:r w:rsidR="0092047F">
        <w:instrText xml:space="preserve"> ADDIN ZOTERO_ITEM CSL_CITATION {"citationID":"AQGBPdrF","properties":{"formattedCitation":"(Steiner et al., 2003)","plainCitation":"(Steiner et al., 2003)","noteIndex":0},"citationItems":[{"id":7970,"uris":["http://zotero.org/users/11330488/items/MMWNPCAF"],"itemData":{"id":7970,"type":"article-journal","abstract":"¶A variety of instruments have been used in an attempt to operationalize DSM-IV criteria for premenstrual dysphoric disorder (PMDD) and to understand clinically significant premenstrual syndrome (PMS). The objectives of this research were to devise a simple user friendly screening tool to identify women who suffer from severe PMS/PMDD and who are likely to benefit from treatment. Five hundred and nineteen women, between the ages of 18 and 55 yrs, who were seen at a primary care facility completed “The Premenstrual Symptoms Screening tool” (PSST). The PSST reflects and ‘translates’ categorical DSM-IV criteria into a rating scale with degrees of severity. The results are in line with reported prevalence rates from several recent large prospective studies. We believe that the PSST applies a necessary degree of measure of severity and impact of premenstrual symptoms, establishes quickly if women qualify for PMDD, and is less time consuming and more practical than two cycles of prospective charting. This fast simple tool is an effective screening tool and an important starting point for further assessment.","container-title":"Archives of Women’s Mental Health","DOI":"10.1007/s00737-003-0018-4","ISSN":"1434-1816","issue":"3","journalAbbreviation":"Arch Womens Ment Health","language":"en","page":"203-209","source":"Springer Link","title":"The premenstrual symptoms screening tool (PSST) for clinicians","volume":"6","author":[{"family":"Steiner","given":"M."},{"family":"Macdougall","given":"M."},{"family":"Brown","given":"E."}],"issued":{"date-parts":[["2003",8,1]]}}}],"schema":"https://github.com/citation-style-language/schema/raw/master/csl-citation.json"} </w:instrText>
      </w:r>
      <w:r w:rsidR="00927992">
        <w:fldChar w:fldCharType="separate"/>
      </w:r>
      <w:r w:rsidR="00927992" w:rsidRPr="00927992">
        <w:rPr>
          <w:rFonts w:cs="Arial"/>
        </w:rPr>
        <w:t>(Steiner et al., 2003)</w:t>
      </w:r>
      <w:r w:rsidR="00927992">
        <w:fldChar w:fldCharType="end"/>
      </w:r>
      <w:r w:rsidR="00927992">
        <w:t xml:space="preserve">. </w:t>
      </w:r>
    </w:p>
    <w:p w14:paraId="5696FEA9" w14:textId="23B62A22" w:rsidR="00423307" w:rsidRDefault="00521A19" w:rsidP="00423307">
      <w:r>
        <w:t xml:space="preserve">In addition to </w:t>
      </w:r>
      <w:r w:rsidR="00423307">
        <w:t xml:space="preserve">these general inclusion and exclusion criteria, additional criteria will be applied to individuals participating </w:t>
      </w:r>
      <w:r w:rsidR="00F77E44">
        <w:t>as part of</w:t>
      </w:r>
      <w:r w:rsidR="00423307">
        <w:t xml:space="preserve"> the NC group and MCOC group</w:t>
      </w:r>
      <w:r w:rsidR="00F77E44">
        <w:t>s</w:t>
      </w:r>
      <w:r w:rsidR="00423307">
        <w:t xml:space="preserve"> (Table </w:t>
      </w:r>
      <w:r w:rsidR="00303E89">
        <w:t>3</w:t>
      </w:r>
      <w:r w:rsidR="00423307">
        <w:t xml:space="preserve">). </w:t>
      </w:r>
    </w:p>
    <w:tbl>
      <w:tblPr>
        <w:tblStyle w:val="TableGrid"/>
        <w:tblW w:w="0" w:type="auto"/>
        <w:tblLook w:val="04A0" w:firstRow="1" w:lastRow="0" w:firstColumn="1" w:lastColumn="0" w:noHBand="0" w:noVBand="1"/>
      </w:tblPr>
      <w:tblGrid>
        <w:gridCol w:w="1702"/>
        <w:gridCol w:w="2426"/>
        <w:gridCol w:w="2590"/>
        <w:gridCol w:w="2298"/>
      </w:tblGrid>
      <w:tr w:rsidR="00303E89" w14:paraId="0E36840C" w14:textId="77777777" w:rsidTr="5CE66923">
        <w:tc>
          <w:tcPr>
            <w:tcW w:w="1702" w:type="dxa"/>
          </w:tcPr>
          <w:p w14:paraId="516A6D64" w14:textId="3CEF7211" w:rsidR="00303E89" w:rsidRPr="00773CD3" w:rsidRDefault="00303E89" w:rsidP="001D51A1">
            <w:pPr>
              <w:spacing w:before="120" w:after="120"/>
              <w:ind w:firstLine="0"/>
              <w:rPr>
                <w:rFonts w:cs="Arial"/>
                <w:b/>
                <w:bCs/>
                <w:iCs/>
              </w:rPr>
            </w:pPr>
            <w:r>
              <w:rPr>
                <w:rFonts w:cs="Arial"/>
                <w:b/>
                <w:bCs/>
                <w:iCs/>
              </w:rPr>
              <w:t>Group</w:t>
            </w:r>
          </w:p>
        </w:tc>
        <w:tc>
          <w:tcPr>
            <w:tcW w:w="2426" w:type="dxa"/>
          </w:tcPr>
          <w:p w14:paraId="2611B869" w14:textId="23821B9F" w:rsidR="00303E89" w:rsidRPr="00773CD3" w:rsidRDefault="00303E89" w:rsidP="001D51A1">
            <w:pPr>
              <w:spacing w:before="120" w:after="120"/>
              <w:ind w:firstLine="0"/>
              <w:rPr>
                <w:rFonts w:cs="Arial"/>
                <w:b/>
                <w:bCs/>
                <w:iCs/>
              </w:rPr>
            </w:pPr>
            <w:r w:rsidRPr="00773CD3">
              <w:rPr>
                <w:rFonts w:cs="Arial"/>
                <w:b/>
                <w:bCs/>
                <w:iCs/>
              </w:rPr>
              <w:t>Domain</w:t>
            </w:r>
          </w:p>
        </w:tc>
        <w:tc>
          <w:tcPr>
            <w:tcW w:w="2590" w:type="dxa"/>
          </w:tcPr>
          <w:p w14:paraId="10DC684B" w14:textId="77777777" w:rsidR="00303E89" w:rsidRPr="00582709" w:rsidRDefault="00303E89" w:rsidP="001D51A1">
            <w:pPr>
              <w:spacing w:before="120" w:after="120"/>
              <w:ind w:firstLine="0"/>
              <w:rPr>
                <w:rFonts w:cs="Arial"/>
                <w:b/>
                <w:bCs/>
                <w:iCs/>
              </w:rPr>
            </w:pPr>
            <w:r w:rsidRPr="00582709">
              <w:rPr>
                <w:rFonts w:cs="Arial"/>
                <w:b/>
                <w:bCs/>
                <w:iCs/>
              </w:rPr>
              <w:t>Criterion</w:t>
            </w:r>
          </w:p>
        </w:tc>
        <w:tc>
          <w:tcPr>
            <w:tcW w:w="2298" w:type="dxa"/>
          </w:tcPr>
          <w:p w14:paraId="7299B80B" w14:textId="77777777" w:rsidR="00303E89" w:rsidRPr="00582709" w:rsidRDefault="00303E89" w:rsidP="001D51A1">
            <w:pPr>
              <w:spacing w:before="120" w:after="120"/>
              <w:ind w:firstLine="0"/>
              <w:rPr>
                <w:rFonts w:cs="Arial"/>
                <w:b/>
                <w:bCs/>
                <w:iCs/>
              </w:rPr>
            </w:pPr>
            <w:r w:rsidRPr="00582709">
              <w:rPr>
                <w:rFonts w:cs="Arial"/>
                <w:b/>
                <w:bCs/>
                <w:iCs/>
              </w:rPr>
              <w:t>Assessment method</w:t>
            </w:r>
          </w:p>
        </w:tc>
      </w:tr>
      <w:tr w:rsidR="00303E89" w14:paraId="57C5CA65" w14:textId="77777777" w:rsidTr="5CE66923">
        <w:tc>
          <w:tcPr>
            <w:tcW w:w="1702" w:type="dxa"/>
            <w:vMerge w:val="restart"/>
            <w:vAlign w:val="center"/>
          </w:tcPr>
          <w:p w14:paraId="677E1BFB" w14:textId="142F70D4" w:rsidR="00303E89" w:rsidRDefault="00303E89" w:rsidP="001D51A1">
            <w:pPr>
              <w:spacing w:before="120" w:after="120"/>
              <w:ind w:firstLine="0"/>
              <w:rPr>
                <w:rFonts w:cs="Arial"/>
                <w:b/>
                <w:bCs/>
                <w:iCs/>
              </w:rPr>
            </w:pPr>
            <w:r>
              <w:rPr>
                <w:rFonts w:cs="Arial"/>
                <w:b/>
                <w:bCs/>
                <w:iCs/>
              </w:rPr>
              <w:t>NC group</w:t>
            </w:r>
          </w:p>
        </w:tc>
        <w:tc>
          <w:tcPr>
            <w:tcW w:w="2426" w:type="dxa"/>
          </w:tcPr>
          <w:p w14:paraId="5C74722F" w14:textId="7AF36BDE" w:rsidR="00303E89" w:rsidRPr="00773CD3" w:rsidRDefault="00303E89" w:rsidP="001D51A1">
            <w:pPr>
              <w:spacing w:before="120" w:after="120"/>
              <w:ind w:firstLine="0"/>
              <w:rPr>
                <w:rFonts w:cs="Arial"/>
                <w:b/>
                <w:bCs/>
                <w:iCs/>
              </w:rPr>
            </w:pPr>
            <w:r>
              <w:rPr>
                <w:rFonts w:cs="Arial"/>
                <w:b/>
                <w:bCs/>
                <w:iCs/>
              </w:rPr>
              <w:t>Menarche timing</w:t>
            </w:r>
          </w:p>
        </w:tc>
        <w:tc>
          <w:tcPr>
            <w:tcW w:w="2590" w:type="dxa"/>
          </w:tcPr>
          <w:p w14:paraId="7A4D6D42" w14:textId="77777777" w:rsidR="00303E89" w:rsidRDefault="00303E89" w:rsidP="001D51A1">
            <w:pPr>
              <w:spacing w:before="120" w:after="120"/>
              <w:ind w:firstLine="0"/>
              <w:rPr>
                <w:rFonts w:cs="Arial"/>
                <w:iCs/>
              </w:rPr>
            </w:pPr>
            <w:r>
              <w:rPr>
                <w:rFonts w:cs="Arial"/>
                <w:iCs/>
              </w:rPr>
              <w:t>Menarche ≥3 years from experiment start</w:t>
            </w:r>
          </w:p>
        </w:tc>
        <w:tc>
          <w:tcPr>
            <w:tcW w:w="2298" w:type="dxa"/>
          </w:tcPr>
          <w:p w14:paraId="0765644E" w14:textId="77777777" w:rsidR="00303E89" w:rsidRDefault="00303E89" w:rsidP="001D51A1">
            <w:pPr>
              <w:spacing w:before="120" w:after="120"/>
              <w:ind w:firstLine="0"/>
              <w:rPr>
                <w:rFonts w:cs="Arial"/>
                <w:iCs/>
              </w:rPr>
            </w:pPr>
            <w:r>
              <w:rPr>
                <w:rFonts w:cs="Arial"/>
                <w:iCs/>
              </w:rPr>
              <w:t>Modified RSQ</w:t>
            </w:r>
          </w:p>
        </w:tc>
      </w:tr>
      <w:tr w:rsidR="00303E89" w14:paraId="2384B306" w14:textId="77777777" w:rsidTr="5CE66923">
        <w:tc>
          <w:tcPr>
            <w:tcW w:w="1702" w:type="dxa"/>
            <w:vMerge/>
          </w:tcPr>
          <w:p w14:paraId="7F20F642" w14:textId="77777777" w:rsidR="00303E89" w:rsidRPr="00773CD3" w:rsidRDefault="00303E89" w:rsidP="001D51A1">
            <w:pPr>
              <w:spacing w:before="120" w:after="120"/>
              <w:ind w:firstLine="0"/>
              <w:rPr>
                <w:rFonts w:cs="Arial"/>
                <w:b/>
                <w:bCs/>
                <w:iCs/>
              </w:rPr>
            </w:pPr>
          </w:p>
        </w:tc>
        <w:tc>
          <w:tcPr>
            <w:tcW w:w="2426" w:type="dxa"/>
          </w:tcPr>
          <w:p w14:paraId="59F25829" w14:textId="6C046198" w:rsidR="00303E89" w:rsidRPr="00773CD3" w:rsidRDefault="00303E89" w:rsidP="001D51A1">
            <w:pPr>
              <w:spacing w:before="120" w:after="120"/>
              <w:ind w:firstLine="0"/>
              <w:rPr>
                <w:rFonts w:cs="Arial"/>
                <w:b/>
                <w:bCs/>
                <w:iCs/>
              </w:rPr>
            </w:pPr>
            <w:r w:rsidRPr="00773CD3">
              <w:rPr>
                <w:rFonts w:cs="Arial"/>
                <w:b/>
                <w:bCs/>
                <w:iCs/>
              </w:rPr>
              <w:t>Cycle information</w:t>
            </w:r>
          </w:p>
        </w:tc>
        <w:tc>
          <w:tcPr>
            <w:tcW w:w="2590" w:type="dxa"/>
          </w:tcPr>
          <w:p w14:paraId="412D0412" w14:textId="5CC56FCB" w:rsidR="00303E89" w:rsidRDefault="00303E89" w:rsidP="001D51A1">
            <w:pPr>
              <w:spacing w:before="120" w:after="120"/>
              <w:ind w:firstLine="0"/>
              <w:rPr>
                <w:rFonts w:cs="Arial"/>
                <w:iCs/>
              </w:rPr>
            </w:pPr>
            <w:r>
              <w:rPr>
                <w:rFonts w:cs="Arial"/>
                <w:iCs/>
              </w:rPr>
              <w:t xml:space="preserve">Records (start dates) of at least the last six cycles </w:t>
            </w:r>
          </w:p>
        </w:tc>
        <w:tc>
          <w:tcPr>
            <w:tcW w:w="2298" w:type="dxa"/>
          </w:tcPr>
          <w:p w14:paraId="770204F2" w14:textId="77777777" w:rsidR="00303E89" w:rsidRDefault="00303E89" w:rsidP="001D51A1">
            <w:pPr>
              <w:spacing w:before="120" w:after="120"/>
              <w:ind w:firstLine="0"/>
              <w:rPr>
                <w:rFonts w:cs="Arial"/>
                <w:iCs/>
              </w:rPr>
            </w:pPr>
            <w:r>
              <w:rPr>
                <w:rFonts w:cs="Arial"/>
                <w:iCs/>
              </w:rPr>
              <w:t>Modified RSQ</w:t>
            </w:r>
          </w:p>
        </w:tc>
      </w:tr>
      <w:tr w:rsidR="00303E89" w14:paraId="208F5B41" w14:textId="77777777" w:rsidTr="5CE66923">
        <w:tc>
          <w:tcPr>
            <w:tcW w:w="1702" w:type="dxa"/>
            <w:vMerge/>
          </w:tcPr>
          <w:p w14:paraId="05A25428" w14:textId="77777777" w:rsidR="00303E89" w:rsidRPr="00773CD3" w:rsidRDefault="00303E89" w:rsidP="001D51A1">
            <w:pPr>
              <w:spacing w:before="120" w:after="120"/>
              <w:ind w:firstLine="0"/>
              <w:rPr>
                <w:rFonts w:cs="Arial"/>
                <w:b/>
                <w:bCs/>
                <w:iCs/>
              </w:rPr>
            </w:pPr>
          </w:p>
        </w:tc>
        <w:tc>
          <w:tcPr>
            <w:tcW w:w="2426" w:type="dxa"/>
          </w:tcPr>
          <w:p w14:paraId="34D4B171" w14:textId="2E942D80" w:rsidR="00303E89" w:rsidRPr="00773CD3" w:rsidRDefault="00303E89" w:rsidP="001D51A1">
            <w:pPr>
              <w:spacing w:before="120" w:after="120"/>
              <w:ind w:firstLine="0"/>
              <w:rPr>
                <w:rFonts w:cs="Arial"/>
                <w:b/>
                <w:bCs/>
                <w:iCs/>
              </w:rPr>
            </w:pPr>
            <w:r w:rsidRPr="00773CD3">
              <w:rPr>
                <w:rFonts w:cs="Arial"/>
                <w:b/>
                <w:bCs/>
                <w:iCs/>
              </w:rPr>
              <w:t>Cycle information source</w:t>
            </w:r>
          </w:p>
        </w:tc>
        <w:tc>
          <w:tcPr>
            <w:tcW w:w="2590" w:type="dxa"/>
          </w:tcPr>
          <w:p w14:paraId="5EA801BC" w14:textId="77777777" w:rsidR="00303E89" w:rsidRDefault="00303E89" w:rsidP="001D51A1">
            <w:pPr>
              <w:spacing w:before="120" w:after="120"/>
              <w:ind w:firstLine="0"/>
              <w:rPr>
                <w:rFonts w:cs="Arial"/>
                <w:iCs/>
              </w:rPr>
            </w:pPr>
            <w:r>
              <w:rPr>
                <w:rFonts w:cs="Arial"/>
                <w:iCs/>
              </w:rPr>
              <w:t xml:space="preserve">Records logged using: </w:t>
            </w:r>
          </w:p>
          <w:p w14:paraId="6E576049" w14:textId="77777777" w:rsidR="00303E89" w:rsidRDefault="00303E89" w:rsidP="00423307">
            <w:pPr>
              <w:pStyle w:val="ListParagraph"/>
              <w:numPr>
                <w:ilvl w:val="0"/>
                <w:numId w:val="32"/>
              </w:numPr>
              <w:spacing w:before="120" w:after="120" w:line="480" w:lineRule="auto"/>
              <w:rPr>
                <w:rFonts w:cs="Arial"/>
                <w:iCs/>
              </w:rPr>
            </w:pPr>
            <w:r w:rsidRPr="00D90C30">
              <w:rPr>
                <w:rFonts w:cs="Arial"/>
                <w:iCs/>
              </w:rPr>
              <w:t>Calendar (digital or paper)</w:t>
            </w:r>
          </w:p>
          <w:p w14:paraId="2915CC4E" w14:textId="77777777" w:rsidR="00303E89" w:rsidRDefault="00303E89" w:rsidP="00423307">
            <w:pPr>
              <w:pStyle w:val="ListParagraph"/>
              <w:numPr>
                <w:ilvl w:val="0"/>
                <w:numId w:val="32"/>
              </w:numPr>
              <w:spacing w:before="120" w:after="120" w:line="480" w:lineRule="auto"/>
              <w:rPr>
                <w:rFonts w:cs="Arial"/>
                <w:iCs/>
              </w:rPr>
            </w:pPr>
            <w:r w:rsidRPr="00D90C30">
              <w:rPr>
                <w:rFonts w:cs="Arial"/>
                <w:iCs/>
              </w:rPr>
              <w:t>Health app on smartphone</w:t>
            </w:r>
          </w:p>
          <w:p w14:paraId="444B8282" w14:textId="77777777" w:rsidR="00303E89" w:rsidRPr="00D90C30" w:rsidRDefault="00303E89" w:rsidP="00423307">
            <w:pPr>
              <w:pStyle w:val="ListParagraph"/>
              <w:numPr>
                <w:ilvl w:val="0"/>
                <w:numId w:val="32"/>
              </w:numPr>
              <w:spacing w:before="120" w:after="120" w:line="480" w:lineRule="auto"/>
            </w:pPr>
            <w:r w:rsidRPr="00D90C30">
              <w:rPr>
                <w:rFonts w:cs="Arial"/>
                <w:iCs/>
              </w:rPr>
              <w:t xml:space="preserve">Cycle tracking app (to be </w:t>
            </w:r>
            <w:r>
              <w:rPr>
                <w:rFonts w:cs="Arial"/>
                <w:iCs/>
              </w:rPr>
              <w:t>confirmed by study team</w:t>
            </w:r>
            <w:r w:rsidRPr="00D90C30">
              <w:rPr>
                <w:rFonts w:cs="Arial"/>
                <w:iCs/>
              </w:rPr>
              <w:t>)</w:t>
            </w:r>
          </w:p>
        </w:tc>
        <w:tc>
          <w:tcPr>
            <w:tcW w:w="2298" w:type="dxa"/>
          </w:tcPr>
          <w:p w14:paraId="1FDA9B95" w14:textId="77777777" w:rsidR="00303E89" w:rsidRDefault="00303E89" w:rsidP="001D51A1">
            <w:pPr>
              <w:spacing w:before="120" w:after="120"/>
              <w:ind w:firstLine="0"/>
              <w:rPr>
                <w:rFonts w:cs="Arial"/>
                <w:iCs/>
              </w:rPr>
            </w:pPr>
            <w:r>
              <w:rPr>
                <w:rFonts w:cs="Arial"/>
                <w:iCs/>
              </w:rPr>
              <w:t>Modified RSQ</w:t>
            </w:r>
          </w:p>
        </w:tc>
      </w:tr>
      <w:tr w:rsidR="00303E89" w14:paraId="2506891F" w14:textId="77777777" w:rsidTr="5CE66923">
        <w:tc>
          <w:tcPr>
            <w:tcW w:w="1702" w:type="dxa"/>
            <w:vMerge/>
          </w:tcPr>
          <w:p w14:paraId="26B0686D" w14:textId="77777777" w:rsidR="00303E89" w:rsidRPr="00773CD3" w:rsidRDefault="00303E89" w:rsidP="001D51A1">
            <w:pPr>
              <w:spacing w:before="120" w:after="120"/>
              <w:ind w:firstLine="0"/>
              <w:rPr>
                <w:rFonts w:cs="Arial"/>
                <w:b/>
                <w:bCs/>
                <w:iCs/>
              </w:rPr>
            </w:pPr>
          </w:p>
        </w:tc>
        <w:tc>
          <w:tcPr>
            <w:tcW w:w="2426" w:type="dxa"/>
          </w:tcPr>
          <w:p w14:paraId="36AC81F7" w14:textId="3F832F0A" w:rsidR="00303E89" w:rsidRPr="00773CD3" w:rsidRDefault="00303E89" w:rsidP="001D51A1">
            <w:pPr>
              <w:spacing w:before="120" w:after="120"/>
              <w:ind w:firstLine="0"/>
              <w:rPr>
                <w:rFonts w:cs="Arial"/>
                <w:b/>
                <w:bCs/>
                <w:iCs/>
              </w:rPr>
            </w:pPr>
            <w:r w:rsidRPr="00773CD3">
              <w:rPr>
                <w:rFonts w:cs="Arial"/>
                <w:b/>
                <w:bCs/>
                <w:iCs/>
              </w:rPr>
              <w:t>Cycle regularity</w:t>
            </w:r>
          </w:p>
        </w:tc>
        <w:tc>
          <w:tcPr>
            <w:tcW w:w="2590" w:type="dxa"/>
          </w:tcPr>
          <w:p w14:paraId="1302A0CC" w14:textId="1D2E3B6E" w:rsidR="00303E89" w:rsidRDefault="00303E89" w:rsidP="001D51A1">
            <w:pPr>
              <w:spacing w:before="120" w:after="120"/>
              <w:ind w:firstLine="0"/>
              <w:rPr>
                <w:rFonts w:cs="Arial"/>
                <w:iCs/>
              </w:rPr>
            </w:pPr>
            <w:r>
              <w:rPr>
                <w:rFonts w:cs="Arial"/>
                <w:iCs/>
              </w:rPr>
              <w:t>Length of the last six cycles ≥26 days and ≤35 days</w:t>
            </w:r>
          </w:p>
        </w:tc>
        <w:tc>
          <w:tcPr>
            <w:tcW w:w="2298" w:type="dxa"/>
          </w:tcPr>
          <w:p w14:paraId="66DF7132" w14:textId="77777777" w:rsidR="00303E89" w:rsidRDefault="00303E89" w:rsidP="001D51A1">
            <w:pPr>
              <w:spacing w:before="120" w:after="120"/>
              <w:ind w:firstLine="0"/>
              <w:rPr>
                <w:rFonts w:cs="Arial"/>
                <w:iCs/>
              </w:rPr>
            </w:pPr>
            <w:r>
              <w:rPr>
                <w:rFonts w:cs="Arial"/>
                <w:iCs/>
              </w:rPr>
              <w:t>Modified RSQ</w:t>
            </w:r>
          </w:p>
        </w:tc>
      </w:tr>
      <w:tr w:rsidR="00303E89" w14:paraId="13CDF454" w14:textId="77777777" w:rsidTr="5CE66923">
        <w:tc>
          <w:tcPr>
            <w:tcW w:w="1702" w:type="dxa"/>
            <w:vMerge/>
          </w:tcPr>
          <w:p w14:paraId="7EDBB6C7" w14:textId="77777777" w:rsidR="00303E89" w:rsidRDefault="00303E89" w:rsidP="001D51A1">
            <w:pPr>
              <w:spacing w:before="120" w:after="120"/>
              <w:ind w:firstLine="0"/>
              <w:rPr>
                <w:rFonts w:cs="Arial"/>
                <w:b/>
                <w:bCs/>
                <w:iCs/>
              </w:rPr>
            </w:pPr>
          </w:p>
        </w:tc>
        <w:tc>
          <w:tcPr>
            <w:tcW w:w="2426" w:type="dxa"/>
          </w:tcPr>
          <w:p w14:paraId="4A531701" w14:textId="58A2F69C" w:rsidR="00303E89" w:rsidRPr="00F77E44" w:rsidRDefault="00303E89" w:rsidP="001D51A1">
            <w:pPr>
              <w:spacing w:before="120" w:after="120"/>
              <w:ind w:firstLine="0"/>
              <w:rPr>
                <w:rFonts w:cs="Arial"/>
                <w:b/>
                <w:bCs/>
                <w:iCs/>
              </w:rPr>
            </w:pPr>
            <w:r>
              <w:rPr>
                <w:rFonts w:cs="Arial"/>
                <w:b/>
                <w:bCs/>
                <w:iCs/>
              </w:rPr>
              <w:t>Cycle variation</w:t>
            </w:r>
          </w:p>
        </w:tc>
        <w:tc>
          <w:tcPr>
            <w:tcW w:w="2590" w:type="dxa"/>
          </w:tcPr>
          <w:p w14:paraId="70A65F9F" w14:textId="23A6F070" w:rsidR="00303E89" w:rsidRDefault="5CE66923" w:rsidP="5CE66923">
            <w:pPr>
              <w:spacing w:before="120" w:after="120"/>
              <w:ind w:firstLine="0"/>
              <w:rPr>
                <w:rFonts w:cs="Arial"/>
              </w:rPr>
            </w:pPr>
            <w:r w:rsidRPr="5CE66923">
              <w:rPr>
                <w:rFonts w:cs="Arial"/>
              </w:rPr>
              <w:t>Variation in length of the last six cycles ≤6 days</w:t>
            </w:r>
          </w:p>
        </w:tc>
        <w:tc>
          <w:tcPr>
            <w:tcW w:w="2298" w:type="dxa"/>
          </w:tcPr>
          <w:p w14:paraId="39AF43EF" w14:textId="02496FD7" w:rsidR="00303E89" w:rsidRDefault="00303E89" w:rsidP="001D51A1">
            <w:pPr>
              <w:spacing w:before="120" w:after="120"/>
              <w:ind w:firstLine="0"/>
              <w:rPr>
                <w:rFonts w:cs="Arial"/>
                <w:iCs/>
              </w:rPr>
            </w:pPr>
            <w:r>
              <w:rPr>
                <w:rFonts w:cs="Arial"/>
                <w:iCs/>
              </w:rPr>
              <w:t>Modified RSQ</w:t>
            </w:r>
          </w:p>
        </w:tc>
      </w:tr>
      <w:tr w:rsidR="00303E89" w14:paraId="20A5AB5F" w14:textId="77777777" w:rsidTr="5CE66923">
        <w:tc>
          <w:tcPr>
            <w:tcW w:w="1702" w:type="dxa"/>
            <w:vMerge/>
          </w:tcPr>
          <w:p w14:paraId="6FB41EB4" w14:textId="77777777" w:rsidR="00303E89" w:rsidRPr="00773CD3" w:rsidRDefault="00303E89" w:rsidP="001D51A1">
            <w:pPr>
              <w:spacing w:before="120" w:after="120"/>
              <w:ind w:firstLine="0"/>
              <w:rPr>
                <w:rFonts w:cs="Arial"/>
                <w:b/>
                <w:bCs/>
                <w:iCs/>
              </w:rPr>
            </w:pPr>
          </w:p>
        </w:tc>
        <w:tc>
          <w:tcPr>
            <w:tcW w:w="2426" w:type="dxa"/>
          </w:tcPr>
          <w:p w14:paraId="06C72AB4" w14:textId="4DFFF703" w:rsidR="00303E89" w:rsidRPr="00773CD3" w:rsidRDefault="00303E89" w:rsidP="001D51A1">
            <w:pPr>
              <w:spacing w:before="120" w:after="120"/>
              <w:ind w:firstLine="0"/>
              <w:rPr>
                <w:rFonts w:cs="Arial"/>
                <w:b/>
                <w:bCs/>
                <w:iCs/>
              </w:rPr>
            </w:pPr>
            <w:r w:rsidRPr="00773CD3">
              <w:rPr>
                <w:rFonts w:cs="Arial"/>
                <w:b/>
                <w:bCs/>
                <w:iCs/>
              </w:rPr>
              <w:t>Last use of hormonal contraceptives</w:t>
            </w:r>
          </w:p>
        </w:tc>
        <w:tc>
          <w:tcPr>
            <w:tcW w:w="2590" w:type="dxa"/>
          </w:tcPr>
          <w:p w14:paraId="21BDF6F6" w14:textId="54706EC0" w:rsidR="00303E89" w:rsidRDefault="00303E89" w:rsidP="001D51A1">
            <w:pPr>
              <w:spacing w:before="120" w:after="120"/>
              <w:ind w:firstLine="0"/>
              <w:rPr>
                <w:rFonts w:cs="Arial"/>
                <w:iCs/>
              </w:rPr>
            </w:pPr>
            <w:r>
              <w:rPr>
                <w:rFonts w:cs="Arial"/>
                <w:iCs/>
              </w:rPr>
              <w:t>Last use of any hormonal contraceptives and copper intrauterine device (IUD) ≥6</w:t>
            </w:r>
            <w:r w:rsidRPr="00582709">
              <w:rPr>
                <w:rFonts w:cs="Arial"/>
                <w:iCs/>
              </w:rPr>
              <w:t xml:space="preserve"> menstrual cycles </w:t>
            </w:r>
          </w:p>
        </w:tc>
        <w:tc>
          <w:tcPr>
            <w:tcW w:w="2298" w:type="dxa"/>
          </w:tcPr>
          <w:p w14:paraId="0FB7FE5B" w14:textId="77777777" w:rsidR="00303E89" w:rsidRDefault="00303E89" w:rsidP="001D51A1">
            <w:pPr>
              <w:spacing w:before="120" w:after="120"/>
              <w:ind w:firstLine="0"/>
              <w:rPr>
                <w:rFonts w:cs="Arial"/>
                <w:iCs/>
              </w:rPr>
            </w:pPr>
            <w:r>
              <w:rPr>
                <w:rFonts w:cs="Arial"/>
                <w:iCs/>
              </w:rPr>
              <w:t>Modified RSQ</w:t>
            </w:r>
          </w:p>
        </w:tc>
      </w:tr>
      <w:tr w:rsidR="00303E89" w14:paraId="7EC636A0" w14:textId="77777777" w:rsidTr="5CE66923">
        <w:tc>
          <w:tcPr>
            <w:tcW w:w="1702" w:type="dxa"/>
            <w:vMerge w:val="restart"/>
            <w:vAlign w:val="center"/>
          </w:tcPr>
          <w:p w14:paraId="61A0794A" w14:textId="7139244E" w:rsidR="00303E89" w:rsidRPr="00773CD3" w:rsidRDefault="00303E89" w:rsidP="00303E89">
            <w:pPr>
              <w:spacing w:before="120" w:after="120"/>
              <w:ind w:firstLine="0"/>
              <w:rPr>
                <w:rFonts w:cs="Arial"/>
                <w:b/>
                <w:bCs/>
                <w:iCs/>
              </w:rPr>
            </w:pPr>
            <w:r>
              <w:rPr>
                <w:rFonts w:cs="Arial"/>
                <w:b/>
                <w:bCs/>
                <w:iCs/>
              </w:rPr>
              <w:t>MCOC group</w:t>
            </w:r>
          </w:p>
        </w:tc>
        <w:tc>
          <w:tcPr>
            <w:tcW w:w="2426" w:type="dxa"/>
          </w:tcPr>
          <w:p w14:paraId="6459F9CD" w14:textId="674A8C1C" w:rsidR="00303E89" w:rsidRPr="00773CD3" w:rsidRDefault="00303E89" w:rsidP="00303E89">
            <w:pPr>
              <w:spacing w:before="120" w:after="120"/>
              <w:ind w:firstLine="0"/>
              <w:rPr>
                <w:rFonts w:cs="Arial"/>
                <w:b/>
                <w:bCs/>
                <w:iCs/>
              </w:rPr>
            </w:pPr>
            <w:r>
              <w:rPr>
                <w:rFonts w:cs="Arial"/>
                <w:b/>
                <w:bCs/>
                <w:iCs/>
              </w:rPr>
              <w:t>Pill type</w:t>
            </w:r>
          </w:p>
        </w:tc>
        <w:tc>
          <w:tcPr>
            <w:tcW w:w="2590" w:type="dxa"/>
          </w:tcPr>
          <w:p w14:paraId="6AD11938" w14:textId="31EDF786" w:rsidR="00303E89" w:rsidRDefault="00303E89" w:rsidP="00303E89">
            <w:pPr>
              <w:spacing w:before="120" w:after="120"/>
              <w:ind w:firstLine="0"/>
              <w:rPr>
                <w:rFonts w:cs="Arial"/>
                <w:iCs/>
              </w:rPr>
            </w:pPr>
            <w:r>
              <w:rPr>
                <w:rFonts w:cs="Arial"/>
                <w:iCs/>
              </w:rPr>
              <w:t xml:space="preserve">Monophasic combined oral contraceptive pill </w:t>
            </w:r>
          </w:p>
        </w:tc>
        <w:tc>
          <w:tcPr>
            <w:tcW w:w="2298" w:type="dxa"/>
          </w:tcPr>
          <w:p w14:paraId="72C15AD3" w14:textId="113D91FF" w:rsidR="00303E89" w:rsidRDefault="00303E89" w:rsidP="00303E89">
            <w:pPr>
              <w:spacing w:before="120" w:after="120"/>
              <w:ind w:firstLine="0"/>
              <w:rPr>
                <w:rFonts w:cs="Arial"/>
                <w:iCs/>
              </w:rPr>
            </w:pPr>
            <w:r>
              <w:rPr>
                <w:rFonts w:cs="Arial"/>
                <w:iCs/>
              </w:rPr>
              <w:t>Self-report</w:t>
            </w:r>
          </w:p>
        </w:tc>
      </w:tr>
      <w:tr w:rsidR="00303E89" w14:paraId="218217B9" w14:textId="77777777" w:rsidTr="5CE66923">
        <w:tc>
          <w:tcPr>
            <w:tcW w:w="1702" w:type="dxa"/>
            <w:vMerge/>
          </w:tcPr>
          <w:p w14:paraId="458174EB" w14:textId="77777777" w:rsidR="00303E89" w:rsidRPr="00773CD3" w:rsidRDefault="00303E89" w:rsidP="00303E89">
            <w:pPr>
              <w:spacing w:before="120" w:after="120"/>
              <w:ind w:firstLine="0"/>
              <w:rPr>
                <w:rFonts w:cs="Arial"/>
                <w:b/>
                <w:bCs/>
                <w:iCs/>
              </w:rPr>
            </w:pPr>
          </w:p>
        </w:tc>
        <w:tc>
          <w:tcPr>
            <w:tcW w:w="2426" w:type="dxa"/>
          </w:tcPr>
          <w:p w14:paraId="126F41CD" w14:textId="02168D9A" w:rsidR="00303E89" w:rsidRPr="00773CD3" w:rsidRDefault="00303E89" w:rsidP="00303E89">
            <w:pPr>
              <w:spacing w:before="120" w:after="120"/>
              <w:ind w:firstLine="0"/>
              <w:rPr>
                <w:rFonts w:cs="Arial"/>
                <w:b/>
                <w:bCs/>
                <w:iCs/>
              </w:rPr>
            </w:pPr>
            <w:r>
              <w:rPr>
                <w:rFonts w:cs="Arial"/>
                <w:b/>
                <w:bCs/>
                <w:iCs/>
              </w:rPr>
              <w:t>Pill formulation</w:t>
            </w:r>
          </w:p>
        </w:tc>
        <w:tc>
          <w:tcPr>
            <w:tcW w:w="2590" w:type="dxa"/>
          </w:tcPr>
          <w:p w14:paraId="513C1490" w14:textId="478B49F2" w:rsidR="00303E89" w:rsidRDefault="00303E89" w:rsidP="00303E89">
            <w:pPr>
              <w:spacing w:before="120" w:after="120"/>
              <w:ind w:firstLine="0"/>
              <w:rPr>
                <w:rFonts w:cs="Arial"/>
                <w:iCs/>
              </w:rPr>
            </w:pPr>
            <w:r>
              <w:rPr>
                <w:rFonts w:cs="Arial"/>
                <w:iCs/>
              </w:rPr>
              <w:t xml:space="preserve">0.03 mg </w:t>
            </w:r>
            <w:proofErr w:type="spellStart"/>
            <w:r>
              <w:rPr>
                <w:rFonts w:cs="Arial"/>
                <w:iCs/>
              </w:rPr>
              <w:t>eth</w:t>
            </w:r>
            <w:r w:rsidR="0029634B">
              <w:rPr>
                <w:rFonts w:cs="Arial"/>
                <w:iCs/>
              </w:rPr>
              <w:t>i</w:t>
            </w:r>
            <w:r>
              <w:rPr>
                <w:rFonts w:cs="Arial"/>
                <w:iCs/>
              </w:rPr>
              <w:t>nylestradiol</w:t>
            </w:r>
            <w:proofErr w:type="spellEnd"/>
            <w:r>
              <w:rPr>
                <w:rFonts w:cs="Arial"/>
                <w:iCs/>
              </w:rPr>
              <w:t xml:space="preserve"> and 2 mg </w:t>
            </w:r>
            <w:proofErr w:type="spellStart"/>
            <w:r>
              <w:rPr>
                <w:rFonts w:cs="Arial"/>
                <w:iCs/>
              </w:rPr>
              <w:t>dienogest</w:t>
            </w:r>
            <w:proofErr w:type="spellEnd"/>
            <w:r>
              <w:rPr>
                <w:rFonts w:cs="Arial"/>
                <w:iCs/>
              </w:rPr>
              <w:t xml:space="preserve"> formulation (anti-androgenic)</w:t>
            </w:r>
          </w:p>
        </w:tc>
        <w:tc>
          <w:tcPr>
            <w:tcW w:w="2298" w:type="dxa"/>
          </w:tcPr>
          <w:p w14:paraId="08EDAFE8" w14:textId="41D61388" w:rsidR="00303E89" w:rsidRDefault="00303E89" w:rsidP="00303E89">
            <w:pPr>
              <w:spacing w:before="120" w:after="120"/>
              <w:ind w:firstLine="0"/>
              <w:rPr>
                <w:rFonts w:cs="Arial"/>
                <w:iCs/>
              </w:rPr>
            </w:pPr>
            <w:r>
              <w:rPr>
                <w:rFonts w:cs="Arial"/>
                <w:iCs/>
              </w:rPr>
              <w:t>Self-report</w:t>
            </w:r>
          </w:p>
        </w:tc>
      </w:tr>
      <w:tr w:rsidR="00303E89" w14:paraId="65121B71" w14:textId="77777777" w:rsidTr="5CE66923">
        <w:tc>
          <w:tcPr>
            <w:tcW w:w="1702" w:type="dxa"/>
            <w:vMerge/>
          </w:tcPr>
          <w:p w14:paraId="711047CA" w14:textId="77777777" w:rsidR="00303E89" w:rsidRPr="00773CD3" w:rsidRDefault="00303E89" w:rsidP="00303E89">
            <w:pPr>
              <w:spacing w:before="120" w:after="120"/>
              <w:ind w:firstLine="0"/>
              <w:rPr>
                <w:rFonts w:cs="Arial"/>
                <w:b/>
                <w:bCs/>
                <w:iCs/>
              </w:rPr>
            </w:pPr>
          </w:p>
        </w:tc>
        <w:tc>
          <w:tcPr>
            <w:tcW w:w="2426" w:type="dxa"/>
          </w:tcPr>
          <w:p w14:paraId="189F0BCB" w14:textId="4CB8246B" w:rsidR="00303E89" w:rsidRPr="00773CD3" w:rsidRDefault="00303E89" w:rsidP="00303E89">
            <w:pPr>
              <w:spacing w:before="120" w:after="120"/>
              <w:ind w:firstLine="0"/>
              <w:rPr>
                <w:rFonts w:cs="Arial"/>
                <w:b/>
                <w:bCs/>
                <w:iCs/>
              </w:rPr>
            </w:pPr>
            <w:r>
              <w:rPr>
                <w:rFonts w:cs="Arial"/>
                <w:b/>
                <w:bCs/>
                <w:iCs/>
              </w:rPr>
              <w:t>Pill intake history</w:t>
            </w:r>
          </w:p>
        </w:tc>
        <w:tc>
          <w:tcPr>
            <w:tcW w:w="2590" w:type="dxa"/>
          </w:tcPr>
          <w:p w14:paraId="28942484" w14:textId="4F59F8CF" w:rsidR="00303E89" w:rsidRDefault="00303E89" w:rsidP="00303E89">
            <w:pPr>
              <w:spacing w:before="120" w:after="120"/>
              <w:ind w:firstLine="0"/>
              <w:rPr>
                <w:rFonts w:cs="Arial"/>
                <w:iCs/>
              </w:rPr>
            </w:pPr>
            <w:r>
              <w:rPr>
                <w:rFonts w:cs="Arial"/>
                <w:iCs/>
              </w:rPr>
              <w:t>Stable pill intake regimen over the last six months</w:t>
            </w:r>
          </w:p>
        </w:tc>
        <w:tc>
          <w:tcPr>
            <w:tcW w:w="2298" w:type="dxa"/>
          </w:tcPr>
          <w:p w14:paraId="5649B784" w14:textId="49AAF22B" w:rsidR="00303E89" w:rsidRDefault="00303E89" w:rsidP="00303E89">
            <w:pPr>
              <w:spacing w:before="120" w:after="120"/>
              <w:ind w:firstLine="0"/>
              <w:rPr>
                <w:rFonts w:cs="Arial"/>
                <w:iCs/>
              </w:rPr>
            </w:pPr>
            <w:r>
              <w:rPr>
                <w:rFonts w:cs="Arial"/>
                <w:iCs/>
              </w:rPr>
              <w:t>Self-report</w:t>
            </w:r>
          </w:p>
        </w:tc>
      </w:tr>
    </w:tbl>
    <w:p w14:paraId="592E05CB" w14:textId="3974FF2C" w:rsidR="00303E89" w:rsidRDefault="00423307" w:rsidP="00423307">
      <w:pPr>
        <w:pStyle w:val="figure-legend"/>
      </w:pPr>
      <w:r>
        <w:t xml:space="preserve">Table </w:t>
      </w:r>
      <w:r w:rsidR="00303E89">
        <w:t>3</w:t>
      </w:r>
      <w:r>
        <w:t>. Inclusion criteria specific to the NC group</w:t>
      </w:r>
      <w:r w:rsidR="00303E89">
        <w:t xml:space="preserve"> and the MCOC group</w:t>
      </w:r>
      <w:r>
        <w:t xml:space="preserve">. Abbreviation: RSQ, Reproductive Status Questionnaire </w:t>
      </w:r>
      <w:r>
        <w:fldChar w:fldCharType="begin"/>
      </w:r>
      <w:r w:rsidR="00DA4730">
        <w:instrText xml:space="preserve"> ADDIN ZOTERO_ITEM CSL_CITATION {"citationID":"q5rM61tg","properties":{"formattedCitation":"(Schmalenberger et al., 2021)","plainCitation":"(Schmalenberger et al., 2021)","dontUpdate":true,"noteIndex":0},"citationItems":[{"id":"pFCzBSob/BCJzJhtF","uris":["http://zotero.org/users/11330488/items/4W4B7LVN"],"itemData":{"id":177,"type":"article-journal","abstract":"Despite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and sampling strategy, managing demand characteristics, identifying a sample of naturally-cycling individuals, and measuring menstrual bleeding dates, ovarian hormones, and ovulation. We proceed with suggestions for (4) data preparation and coding of cycle day and phases, as well as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replicable.","container-title":"Psychoneuroendocrinology","DOI":"10.1016/j.psyneuen.2020.104895","ISSN":"1873-3360","journalAbbreviation":"Psychoneuroendocrinology","language":"eng","note":"PMID: 33113391\nPMCID: PMC8363181","page":"104895","source":"PubMed","title":"How to study the menstrual cycle: Practical tools and recommendations","title-short":"How to study the menstrual cycle","volume":"123","author":[{"family":"Schmalenberger","given":"Katja M."},{"family":"Tauseef","given":"Hafsah A."},{"family":"Barone","given":"Jordan C."},{"family":"Owens","given":"Sarah A."},{"family":"Lieberman","given":"Lynne"},{"family":"Jarczok","given":"Marc N."},{"family":"Girdler","given":"Susan S."},{"family":"Kiesner","given":"Jeff"},{"family":"Ditzen","given":"Beate"},{"family":"Eisenlohr-Moul","given":"Tory A."}],"issued":{"date-parts":[["2021",1]]}}}],"schema":"https://github.com/citation-style-language/schema/raw/master/csl-citation.json"} </w:instrText>
      </w:r>
      <w:r>
        <w:fldChar w:fldCharType="separate"/>
      </w:r>
      <w:r w:rsidR="00B552B8" w:rsidRPr="00B552B8">
        <w:rPr>
          <w:rFonts w:cs="Arial"/>
        </w:rPr>
        <w:t>(Schmalenberger et al., 2021</w:t>
      </w:r>
      <w:r w:rsidR="00303E89">
        <w:rPr>
          <w:rFonts w:cs="Arial"/>
        </w:rPr>
        <w:t>, modified in that questions covered by other questionnaires were removed</w:t>
      </w:r>
      <w:r w:rsidR="00B552B8" w:rsidRPr="00B552B8">
        <w:rPr>
          <w:rFonts w:cs="Arial"/>
        </w:rPr>
        <w:t>)</w:t>
      </w:r>
      <w:r>
        <w:fldChar w:fldCharType="end"/>
      </w:r>
      <w:r>
        <w:t>.</w:t>
      </w:r>
    </w:p>
    <w:p w14:paraId="55C21BE8" w14:textId="77777777" w:rsidR="00423307" w:rsidRPr="008421D6" w:rsidRDefault="00423307" w:rsidP="00423307">
      <w:pPr>
        <w:pStyle w:val="Heading4"/>
      </w:pPr>
      <w:r w:rsidRPr="008421D6">
        <w:t xml:space="preserve">Principles for adjusting the inclusion/exclusion criteria of the study </w:t>
      </w:r>
    </w:p>
    <w:p w14:paraId="25A9B3F2" w14:textId="45A0B4D0" w:rsidR="00E6053D" w:rsidRDefault="5CE66923" w:rsidP="5CE66923">
      <w:pPr>
        <w:rPr>
          <w:rFonts w:cs="Arial"/>
        </w:rPr>
      </w:pPr>
      <w:r>
        <w:t>We are aware that our inclusion/exclusion criteria for the NC and MCOC groups may be stringent. For this reason, we cannot predict whether our target sample size for these two groups can be reached. In case recruitment of participants is not successful and n</w:t>
      </w:r>
      <w:r w:rsidRPr="5CE66923">
        <w:rPr>
          <w:rFonts w:cs="Arial"/>
        </w:rPr>
        <w:t>≥5 NC group participants</w:t>
      </w:r>
      <w:r>
        <w:t xml:space="preserve"> have been excluded solely due to the criteria for cycle information, cycle regularity, cycle variation, and last use of hormonal contraceptives, we will adjust the inclusion criteria. Similarly, </w:t>
      </w:r>
      <w:r w:rsidRPr="5CE66923">
        <w:rPr>
          <w:rFonts w:cs="Arial"/>
        </w:rPr>
        <w:t xml:space="preserve">after n≥5 MCOC group individuals have been excluded solely due to the criteria for pill formulation and pill intake history, we will adjust the inclusion criteria. Strategies for criteria adjustments in both participant groups are shown in Table 4.  </w:t>
      </w:r>
    </w:p>
    <w:tbl>
      <w:tblPr>
        <w:tblStyle w:val="TableGrid"/>
        <w:tblW w:w="0" w:type="auto"/>
        <w:tblLook w:val="04A0" w:firstRow="1" w:lastRow="0" w:firstColumn="1" w:lastColumn="0" w:noHBand="0" w:noVBand="1"/>
      </w:tblPr>
      <w:tblGrid>
        <w:gridCol w:w="1770"/>
        <w:gridCol w:w="2458"/>
        <w:gridCol w:w="2394"/>
        <w:gridCol w:w="2394"/>
      </w:tblGrid>
      <w:tr w:rsidR="00D37247" w14:paraId="09848A99" w14:textId="77777777" w:rsidTr="00D37247">
        <w:tc>
          <w:tcPr>
            <w:tcW w:w="1770" w:type="dxa"/>
          </w:tcPr>
          <w:p w14:paraId="41A06559" w14:textId="64FA633E" w:rsidR="00D37247" w:rsidRPr="00773CD3" w:rsidRDefault="00D37247" w:rsidP="001D51A1">
            <w:pPr>
              <w:spacing w:before="120" w:after="120"/>
              <w:ind w:firstLine="0"/>
              <w:rPr>
                <w:rFonts w:cs="Arial"/>
                <w:b/>
                <w:bCs/>
                <w:iCs/>
              </w:rPr>
            </w:pPr>
            <w:r>
              <w:rPr>
                <w:rFonts w:cs="Arial"/>
                <w:b/>
                <w:bCs/>
                <w:iCs/>
              </w:rPr>
              <w:t>Group</w:t>
            </w:r>
          </w:p>
        </w:tc>
        <w:tc>
          <w:tcPr>
            <w:tcW w:w="2458" w:type="dxa"/>
          </w:tcPr>
          <w:p w14:paraId="5D336CC3" w14:textId="7B748F0A" w:rsidR="00D37247" w:rsidRPr="00773CD3" w:rsidRDefault="00D37247" w:rsidP="001D51A1">
            <w:pPr>
              <w:spacing w:before="120" w:after="120"/>
              <w:ind w:firstLine="0"/>
              <w:rPr>
                <w:rFonts w:cs="Arial"/>
                <w:b/>
                <w:bCs/>
                <w:iCs/>
              </w:rPr>
            </w:pPr>
            <w:r w:rsidRPr="00773CD3">
              <w:rPr>
                <w:rFonts w:cs="Arial"/>
                <w:b/>
                <w:bCs/>
                <w:iCs/>
              </w:rPr>
              <w:t>Domain</w:t>
            </w:r>
          </w:p>
        </w:tc>
        <w:tc>
          <w:tcPr>
            <w:tcW w:w="2394" w:type="dxa"/>
          </w:tcPr>
          <w:p w14:paraId="18E0611D" w14:textId="77777777" w:rsidR="00D37247" w:rsidRPr="00582709" w:rsidRDefault="00D37247" w:rsidP="001D51A1">
            <w:pPr>
              <w:spacing w:before="120" w:after="120"/>
              <w:ind w:firstLine="0"/>
              <w:rPr>
                <w:rFonts w:cs="Arial"/>
                <w:b/>
                <w:bCs/>
                <w:iCs/>
              </w:rPr>
            </w:pPr>
            <w:r>
              <w:rPr>
                <w:rFonts w:cs="Arial"/>
                <w:b/>
                <w:bCs/>
                <w:iCs/>
              </w:rPr>
              <w:t>Old c</w:t>
            </w:r>
            <w:r w:rsidRPr="00582709">
              <w:rPr>
                <w:rFonts w:cs="Arial"/>
                <w:b/>
                <w:bCs/>
                <w:iCs/>
              </w:rPr>
              <w:t>riterion</w:t>
            </w:r>
          </w:p>
        </w:tc>
        <w:tc>
          <w:tcPr>
            <w:tcW w:w="2394" w:type="dxa"/>
          </w:tcPr>
          <w:p w14:paraId="72FA5B11" w14:textId="77777777" w:rsidR="00D37247" w:rsidRPr="00582709" w:rsidRDefault="00D37247" w:rsidP="001D51A1">
            <w:pPr>
              <w:spacing w:before="120" w:after="120"/>
              <w:ind w:firstLine="0"/>
              <w:rPr>
                <w:rFonts w:cs="Arial"/>
                <w:b/>
                <w:bCs/>
                <w:iCs/>
              </w:rPr>
            </w:pPr>
            <w:r>
              <w:rPr>
                <w:rFonts w:cs="Arial"/>
                <w:b/>
                <w:bCs/>
                <w:iCs/>
              </w:rPr>
              <w:t>New criterion</w:t>
            </w:r>
          </w:p>
        </w:tc>
      </w:tr>
      <w:tr w:rsidR="00D37247" w14:paraId="2B4B0D70" w14:textId="77777777" w:rsidTr="00D37247">
        <w:tc>
          <w:tcPr>
            <w:tcW w:w="1770" w:type="dxa"/>
            <w:vMerge w:val="restart"/>
            <w:vAlign w:val="center"/>
          </w:tcPr>
          <w:p w14:paraId="23C12073" w14:textId="4B82A019" w:rsidR="00D37247" w:rsidRDefault="00D37247" w:rsidP="001D51A1">
            <w:pPr>
              <w:spacing w:before="120" w:after="120"/>
              <w:ind w:firstLine="0"/>
              <w:rPr>
                <w:rFonts w:cs="Arial"/>
                <w:b/>
                <w:bCs/>
                <w:iCs/>
              </w:rPr>
            </w:pPr>
            <w:r>
              <w:rPr>
                <w:rFonts w:cs="Arial"/>
                <w:b/>
                <w:bCs/>
                <w:iCs/>
              </w:rPr>
              <w:lastRenderedPageBreak/>
              <w:t>NC group</w:t>
            </w:r>
          </w:p>
        </w:tc>
        <w:tc>
          <w:tcPr>
            <w:tcW w:w="2458" w:type="dxa"/>
          </w:tcPr>
          <w:p w14:paraId="3CC5C6F4" w14:textId="415CE4C5" w:rsidR="00D37247" w:rsidRPr="00773CD3" w:rsidRDefault="00D37247" w:rsidP="001D51A1">
            <w:pPr>
              <w:spacing w:before="120" w:after="120"/>
              <w:ind w:firstLine="0"/>
              <w:rPr>
                <w:rFonts w:cs="Arial"/>
                <w:b/>
                <w:bCs/>
                <w:iCs/>
              </w:rPr>
            </w:pPr>
            <w:r>
              <w:rPr>
                <w:rFonts w:cs="Arial"/>
                <w:b/>
                <w:bCs/>
                <w:iCs/>
              </w:rPr>
              <w:t>Cycle information</w:t>
            </w:r>
          </w:p>
        </w:tc>
        <w:tc>
          <w:tcPr>
            <w:tcW w:w="2394" w:type="dxa"/>
          </w:tcPr>
          <w:p w14:paraId="0A6E6166" w14:textId="3A271EE7" w:rsidR="00D37247" w:rsidRDefault="00D37247" w:rsidP="001D51A1">
            <w:pPr>
              <w:spacing w:before="120" w:after="120"/>
              <w:ind w:firstLine="0"/>
              <w:rPr>
                <w:rFonts w:cs="Arial"/>
                <w:iCs/>
              </w:rPr>
            </w:pPr>
            <w:r>
              <w:rPr>
                <w:rFonts w:cs="Arial"/>
                <w:iCs/>
              </w:rPr>
              <w:t>Records (start dates) of at least the last six cycles</w:t>
            </w:r>
          </w:p>
        </w:tc>
        <w:tc>
          <w:tcPr>
            <w:tcW w:w="2394" w:type="dxa"/>
          </w:tcPr>
          <w:p w14:paraId="479B48F7" w14:textId="246932E7" w:rsidR="00D37247" w:rsidRDefault="00D37247" w:rsidP="001D51A1">
            <w:pPr>
              <w:spacing w:before="120" w:after="120"/>
              <w:ind w:firstLine="0"/>
              <w:rPr>
                <w:rFonts w:cs="Arial"/>
                <w:iCs/>
              </w:rPr>
            </w:pPr>
            <w:r>
              <w:rPr>
                <w:rFonts w:cs="Arial"/>
                <w:iCs/>
              </w:rPr>
              <w:t>Records (start dates) of at least the last three cycles</w:t>
            </w:r>
          </w:p>
        </w:tc>
      </w:tr>
      <w:tr w:rsidR="00D37247" w14:paraId="0B0FAE75" w14:textId="77777777" w:rsidTr="00D37247">
        <w:tc>
          <w:tcPr>
            <w:tcW w:w="1770" w:type="dxa"/>
            <w:vMerge/>
          </w:tcPr>
          <w:p w14:paraId="727B0B31" w14:textId="77777777" w:rsidR="00D37247" w:rsidRDefault="00D37247" w:rsidP="001D51A1">
            <w:pPr>
              <w:spacing w:before="120" w:after="120"/>
              <w:ind w:firstLine="0"/>
              <w:rPr>
                <w:rFonts w:cs="Arial"/>
                <w:b/>
                <w:bCs/>
                <w:iCs/>
              </w:rPr>
            </w:pPr>
          </w:p>
        </w:tc>
        <w:tc>
          <w:tcPr>
            <w:tcW w:w="2458" w:type="dxa"/>
          </w:tcPr>
          <w:p w14:paraId="794F5621" w14:textId="4306AF2C" w:rsidR="00D37247" w:rsidRPr="00773CD3" w:rsidRDefault="00D37247" w:rsidP="001D51A1">
            <w:pPr>
              <w:spacing w:before="120" w:after="120"/>
              <w:ind w:firstLine="0"/>
              <w:rPr>
                <w:rFonts w:cs="Arial"/>
                <w:b/>
                <w:bCs/>
                <w:iCs/>
              </w:rPr>
            </w:pPr>
            <w:r>
              <w:rPr>
                <w:rFonts w:cs="Arial"/>
                <w:b/>
                <w:bCs/>
                <w:iCs/>
              </w:rPr>
              <w:t>Cycle regularity</w:t>
            </w:r>
          </w:p>
        </w:tc>
        <w:tc>
          <w:tcPr>
            <w:tcW w:w="2394" w:type="dxa"/>
          </w:tcPr>
          <w:p w14:paraId="73A82506" w14:textId="507E1D2B" w:rsidR="00D37247" w:rsidRDefault="00D37247" w:rsidP="001D51A1">
            <w:pPr>
              <w:spacing w:before="120" w:after="120"/>
              <w:ind w:firstLine="0"/>
              <w:rPr>
                <w:rFonts w:cs="Arial"/>
                <w:iCs/>
              </w:rPr>
            </w:pPr>
            <w:r>
              <w:rPr>
                <w:rFonts w:cs="Arial"/>
                <w:iCs/>
              </w:rPr>
              <w:t xml:space="preserve">Cycle length of the last </w:t>
            </w:r>
            <w:r w:rsidR="00BF3E40">
              <w:rPr>
                <w:rFonts w:cs="Arial"/>
                <w:iCs/>
              </w:rPr>
              <w:t xml:space="preserve">six </w:t>
            </w:r>
            <w:r>
              <w:rPr>
                <w:rFonts w:cs="Arial"/>
                <w:iCs/>
              </w:rPr>
              <w:t>cycles ≥26 days and ≤35 days</w:t>
            </w:r>
          </w:p>
        </w:tc>
        <w:tc>
          <w:tcPr>
            <w:tcW w:w="2394" w:type="dxa"/>
          </w:tcPr>
          <w:p w14:paraId="14A14CE5" w14:textId="05A851CE" w:rsidR="00D37247" w:rsidRDefault="00D37247" w:rsidP="001D51A1">
            <w:pPr>
              <w:spacing w:before="120" w:after="120"/>
              <w:ind w:firstLine="0"/>
              <w:rPr>
                <w:rFonts w:cs="Arial"/>
                <w:iCs/>
              </w:rPr>
            </w:pPr>
            <w:r>
              <w:rPr>
                <w:rFonts w:cs="Arial"/>
                <w:iCs/>
              </w:rPr>
              <w:t>Cycle length of the last three cycles ≥26 days and ≤35 days</w:t>
            </w:r>
          </w:p>
        </w:tc>
      </w:tr>
      <w:tr w:rsidR="00D37247" w14:paraId="44D7B6A3" w14:textId="77777777" w:rsidTr="00D37247">
        <w:tc>
          <w:tcPr>
            <w:tcW w:w="1770" w:type="dxa"/>
            <w:vMerge/>
          </w:tcPr>
          <w:p w14:paraId="60C94652" w14:textId="77777777" w:rsidR="00D37247" w:rsidRDefault="00D37247" w:rsidP="001D51A1">
            <w:pPr>
              <w:spacing w:before="120" w:after="120"/>
              <w:ind w:firstLine="0"/>
              <w:rPr>
                <w:rFonts w:cs="Arial"/>
                <w:b/>
                <w:bCs/>
                <w:iCs/>
              </w:rPr>
            </w:pPr>
          </w:p>
        </w:tc>
        <w:tc>
          <w:tcPr>
            <w:tcW w:w="2458" w:type="dxa"/>
          </w:tcPr>
          <w:p w14:paraId="748733D2" w14:textId="75693954" w:rsidR="00D37247" w:rsidRDefault="00D37247" w:rsidP="001D51A1">
            <w:pPr>
              <w:spacing w:before="120" w:after="120"/>
              <w:ind w:firstLine="0"/>
              <w:rPr>
                <w:rFonts w:cs="Arial"/>
                <w:b/>
                <w:bCs/>
                <w:iCs/>
              </w:rPr>
            </w:pPr>
            <w:r>
              <w:rPr>
                <w:rFonts w:cs="Arial"/>
                <w:b/>
                <w:bCs/>
                <w:iCs/>
              </w:rPr>
              <w:t>Cycle variation</w:t>
            </w:r>
          </w:p>
        </w:tc>
        <w:tc>
          <w:tcPr>
            <w:tcW w:w="2394" w:type="dxa"/>
          </w:tcPr>
          <w:p w14:paraId="01DBEAF7" w14:textId="2A7B026A" w:rsidR="00D37247" w:rsidRDefault="00D37247" w:rsidP="001D51A1">
            <w:pPr>
              <w:spacing w:before="120" w:after="120"/>
              <w:ind w:firstLine="0"/>
              <w:rPr>
                <w:rFonts w:cs="Arial"/>
                <w:iCs/>
              </w:rPr>
            </w:pPr>
            <w:r>
              <w:rPr>
                <w:rFonts w:cs="Arial"/>
                <w:iCs/>
              </w:rPr>
              <w:t>Variation in length of the last six cycles ≤6 days</w:t>
            </w:r>
          </w:p>
        </w:tc>
        <w:tc>
          <w:tcPr>
            <w:tcW w:w="2394" w:type="dxa"/>
          </w:tcPr>
          <w:p w14:paraId="6CD1B9F4" w14:textId="63FE02DA" w:rsidR="00D37247" w:rsidRDefault="00D37247" w:rsidP="001D51A1">
            <w:pPr>
              <w:spacing w:before="120" w:after="120"/>
              <w:ind w:firstLine="0"/>
              <w:rPr>
                <w:rFonts w:cs="Arial"/>
                <w:iCs/>
              </w:rPr>
            </w:pPr>
            <w:r>
              <w:rPr>
                <w:rFonts w:cs="Arial"/>
                <w:iCs/>
              </w:rPr>
              <w:t>Variation in length of the last six cycles ≤8 days</w:t>
            </w:r>
          </w:p>
        </w:tc>
      </w:tr>
      <w:tr w:rsidR="00D37247" w14:paraId="2838F312" w14:textId="77777777" w:rsidTr="00D37247">
        <w:tc>
          <w:tcPr>
            <w:tcW w:w="1770" w:type="dxa"/>
            <w:vMerge/>
          </w:tcPr>
          <w:p w14:paraId="0344F017" w14:textId="77777777" w:rsidR="00D37247" w:rsidRDefault="00D37247" w:rsidP="001D51A1">
            <w:pPr>
              <w:spacing w:before="120" w:after="120"/>
              <w:ind w:firstLine="0"/>
              <w:rPr>
                <w:rFonts w:cs="Arial"/>
                <w:b/>
                <w:bCs/>
                <w:iCs/>
              </w:rPr>
            </w:pPr>
          </w:p>
        </w:tc>
        <w:tc>
          <w:tcPr>
            <w:tcW w:w="2458" w:type="dxa"/>
          </w:tcPr>
          <w:p w14:paraId="73A479FF" w14:textId="249BACE7" w:rsidR="00D37247" w:rsidRPr="00773CD3" w:rsidRDefault="00D37247" w:rsidP="001D51A1">
            <w:pPr>
              <w:spacing w:before="120" w:after="120"/>
              <w:ind w:firstLine="0"/>
              <w:rPr>
                <w:rFonts w:cs="Arial"/>
                <w:b/>
                <w:bCs/>
                <w:iCs/>
              </w:rPr>
            </w:pPr>
            <w:r>
              <w:rPr>
                <w:rFonts w:cs="Arial"/>
                <w:b/>
                <w:bCs/>
                <w:iCs/>
              </w:rPr>
              <w:t>Last use of hormonal contraceptives</w:t>
            </w:r>
          </w:p>
        </w:tc>
        <w:tc>
          <w:tcPr>
            <w:tcW w:w="2394" w:type="dxa"/>
          </w:tcPr>
          <w:p w14:paraId="07E90E05" w14:textId="3CE49FFF" w:rsidR="00D37247" w:rsidRDefault="00D37247" w:rsidP="001D51A1">
            <w:pPr>
              <w:spacing w:before="120" w:after="120"/>
              <w:ind w:firstLine="0"/>
              <w:rPr>
                <w:rFonts w:cs="Arial"/>
                <w:iCs/>
              </w:rPr>
            </w:pPr>
            <w:r>
              <w:rPr>
                <w:rFonts w:cs="Arial"/>
                <w:iCs/>
              </w:rPr>
              <w:t>Last use of any hormonal contraceptives ≥6</w:t>
            </w:r>
            <w:r w:rsidRPr="00582709">
              <w:rPr>
                <w:rFonts w:cs="Arial"/>
                <w:iCs/>
              </w:rPr>
              <w:t xml:space="preserve"> menstrual cycles</w:t>
            </w:r>
          </w:p>
        </w:tc>
        <w:tc>
          <w:tcPr>
            <w:tcW w:w="2394" w:type="dxa"/>
          </w:tcPr>
          <w:p w14:paraId="12CB9C54" w14:textId="77777777" w:rsidR="00D37247" w:rsidRDefault="00D37247" w:rsidP="001D51A1">
            <w:pPr>
              <w:spacing w:before="120" w:after="120"/>
              <w:ind w:firstLine="0"/>
              <w:rPr>
                <w:rFonts w:cs="Arial"/>
                <w:iCs/>
              </w:rPr>
            </w:pPr>
            <w:r>
              <w:rPr>
                <w:rFonts w:cs="Arial"/>
                <w:iCs/>
              </w:rPr>
              <w:t>Last use of any hormonal contraceptives ≥3</w:t>
            </w:r>
            <w:r w:rsidRPr="00582709">
              <w:rPr>
                <w:rFonts w:cs="Arial"/>
                <w:iCs/>
              </w:rPr>
              <w:t xml:space="preserve"> menstrual cycles</w:t>
            </w:r>
          </w:p>
        </w:tc>
      </w:tr>
      <w:tr w:rsidR="00D37247" w14:paraId="4014CD44" w14:textId="77777777" w:rsidTr="00D37247">
        <w:tc>
          <w:tcPr>
            <w:tcW w:w="1770" w:type="dxa"/>
            <w:vMerge w:val="restart"/>
            <w:vAlign w:val="center"/>
          </w:tcPr>
          <w:p w14:paraId="5B31E58D" w14:textId="3C2A67B2" w:rsidR="00D37247" w:rsidRDefault="00D37247" w:rsidP="00303E89">
            <w:pPr>
              <w:spacing w:before="120" w:after="120"/>
              <w:ind w:firstLine="0"/>
              <w:rPr>
                <w:rFonts w:cs="Arial"/>
                <w:b/>
                <w:bCs/>
                <w:iCs/>
              </w:rPr>
            </w:pPr>
            <w:r>
              <w:rPr>
                <w:rFonts w:cs="Arial"/>
                <w:b/>
                <w:bCs/>
                <w:iCs/>
              </w:rPr>
              <w:t>MCOC group</w:t>
            </w:r>
          </w:p>
        </w:tc>
        <w:tc>
          <w:tcPr>
            <w:tcW w:w="2458" w:type="dxa"/>
          </w:tcPr>
          <w:p w14:paraId="6814345E" w14:textId="06BB517D" w:rsidR="00D37247" w:rsidRDefault="00D37247" w:rsidP="00303E89">
            <w:pPr>
              <w:spacing w:before="120" w:after="120"/>
              <w:ind w:firstLine="0"/>
              <w:rPr>
                <w:rFonts w:cs="Arial"/>
                <w:b/>
                <w:bCs/>
                <w:iCs/>
              </w:rPr>
            </w:pPr>
            <w:r>
              <w:rPr>
                <w:rFonts w:cs="Arial"/>
                <w:b/>
                <w:bCs/>
                <w:iCs/>
              </w:rPr>
              <w:t>Pill formulation</w:t>
            </w:r>
          </w:p>
        </w:tc>
        <w:tc>
          <w:tcPr>
            <w:tcW w:w="2394" w:type="dxa"/>
          </w:tcPr>
          <w:p w14:paraId="6A29EA17" w14:textId="5829956E" w:rsidR="00D37247" w:rsidRDefault="00D37247" w:rsidP="00303E89">
            <w:pPr>
              <w:spacing w:before="120" w:after="120"/>
              <w:ind w:firstLine="0"/>
              <w:rPr>
                <w:rFonts w:cs="Arial"/>
                <w:iCs/>
              </w:rPr>
            </w:pPr>
            <w:r>
              <w:rPr>
                <w:rFonts w:cs="Arial"/>
                <w:iCs/>
              </w:rPr>
              <w:t xml:space="preserve">0.03 mg </w:t>
            </w:r>
            <w:proofErr w:type="spellStart"/>
            <w:r>
              <w:rPr>
                <w:rFonts w:cs="Arial"/>
                <w:iCs/>
              </w:rPr>
              <w:t>eth</w:t>
            </w:r>
            <w:r w:rsidR="0029634B">
              <w:rPr>
                <w:rFonts w:cs="Arial"/>
                <w:iCs/>
              </w:rPr>
              <w:t>i</w:t>
            </w:r>
            <w:r>
              <w:rPr>
                <w:rFonts w:cs="Arial"/>
                <w:iCs/>
              </w:rPr>
              <w:t>nylestradiol</w:t>
            </w:r>
            <w:proofErr w:type="spellEnd"/>
            <w:r>
              <w:rPr>
                <w:rFonts w:cs="Arial"/>
                <w:iCs/>
              </w:rPr>
              <w:t xml:space="preserve"> and 2 mg </w:t>
            </w:r>
            <w:proofErr w:type="spellStart"/>
            <w:r>
              <w:rPr>
                <w:rFonts w:cs="Arial"/>
                <w:iCs/>
              </w:rPr>
              <w:t>dienogest</w:t>
            </w:r>
            <w:proofErr w:type="spellEnd"/>
            <w:r>
              <w:rPr>
                <w:rFonts w:cs="Arial"/>
                <w:iCs/>
              </w:rPr>
              <w:t xml:space="preserve"> formulation (anti-androgenic)</w:t>
            </w:r>
          </w:p>
        </w:tc>
        <w:tc>
          <w:tcPr>
            <w:tcW w:w="2394" w:type="dxa"/>
          </w:tcPr>
          <w:p w14:paraId="65065C6E" w14:textId="5B35CE0D" w:rsidR="00D37247" w:rsidRDefault="00D37247" w:rsidP="00303E89">
            <w:pPr>
              <w:spacing w:before="120" w:after="120"/>
              <w:ind w:firstLine="0"/>
              <w:rPr>
                <w:rFonts w:cs="Arial"/>
                <w:iCs/>
              </w:rPr>
            </w:pPr>
            <w:r>
              <w:rPr>
                <w:rFonts w:cs="Arial"/>
                <w:iCs/>
              </w:rPr>
              <w:t>Any monophasic and anti-androgenic pill formulation</w:t>
            </w:r>
          </w:p>
        </w:tc>
      </w:tr>
      <w:tr w:rsidR="00D37247" w14:paraId="11A4F10B" w14:textId="77777777" w:rsidTr="00D37247">
        <w:tc>
          <w:tcPr>
            <w:tcW w:w="1770" w:type="dxa"/>
            <w:vMerge/>
          </w:tcPr>
          <w:p w14:paraId="519B4149" w14:textId="77777777" w:rsidR="00D37247" w:rsidRDefault="00D37247" w:rsidP="00303E89">
            <w:pPr>
              <w:spacing w:before="120" w:after="120"/>
              <w:ind w:firstLine="0"/>
              <w:rPr>
                <w:rFonts w:cs="Arial"/>
                <w:b/>
                <w:bCs/>
                <w:iCs/>
              </w:rPr>
            </w:pPr>
          </w:p>
        </w:tc>
        <w:tc>
          <w:tcPr>
            <w:tcW w:w="2458" w:type="dxa"/>
          </w:tcPr>
          <w:p w14:paraId="6D344A19" w14:textId="24404B73" w:rsidR="00D37247" w:rsidRDefault="00D37247" w:rsidP="00303E89">
            <w:pPr>
              <w:spacing w:before="120" w:after="120"/>
              <w:ind w:firstLine="0"/>
              <w:rPr>
                <w:rFonts w:cs="Arial"/>
                <w:b/>
                <w:bCs/>
                <w:iCs/>
              </w:rPr>
            </w:pPr>
            <w:r>
              <w:rPr>
                <w:rFonts w:cs="Arial"/>
                <w:b/>
                <w:bCs/>
                <w:iCs/>
              </w:rPr>
              <w:t>Pill intake history</w:t>
            </w:r>
          </w:p>
        </w:tc>
        <w:tc>
          <w:tcPr>
            <w:tcW w:w="2394" w:type="dxa"/>
          </w:tcPr>
          <w:p w14:paraId="0A0B9C6B" w14:textId="295EA8A7" w:rsidR="00D37247" w:rsidRDefault="00D37247" w:rsidP="00303E89">
            <w:pPr>
              <w:spacing w:before="120" w:after="120"/>
              <w:ind w:firstLine="0"/>
              <w:rPr>
                <w:rFonts w:cs="Arial"/>
                <w:iCs/>
              </w:rPr>
            </w:pPr>
            <w:r>
              <w:rPr>
                <w:rFonts w:cs="Arial"/>
                <w:iCs/>
              </w:rPr>
              <w:t>Stable pill intake regimen over the last six months</w:t>
            </w:r>
          </w:p>
        </w:tc>
        <w:tc>
          <w:tcPr>
            <w:tcW w:w="2394" w:type="dxa"/>
          </w:tcPr>
          <w:p w14:paraId="7A7C67BF" w14:textId="2F78C943" w:rsidR="00D37247" w:rsidRDefault="00D37247" w:rsidP="00303E89">
            <w:pPr>
              <w:spacing w:before="120" w:after="120"/>
              <w:ind w:firstLine="0"/>
              <w:rPr>
                <w:rFonts w:cs="Arial"/>
                <w:iCs/>
              </w:rPr>
            </w:pPr>
            <w:r>
              <w:rPr>
                <w:rFonts w:cs="Arial"/>
                <w:iCs/>
              </w:rPr>
              <w:t>Stable pill intake regimen over the last three months</w:t>
            </w:r>
          </w:p>
        </w:tc>
      </w:tr>
    </w:tbl>
    <w:p w14:paraId="7DB1FE74" w14:textId="5C99A697" w:rsidR="00423307" w:rsidRPr="00D37A07" w:rsidRDefault="00AD5B00" w:rsidP="00AD5B00">
      <w:pPr>
        <w:pStyle w:val="figure-legend"/>
      </w:pPr>
      <w:r>
        <w:t xml:space="preserve">Table </w:t>
      </w:r>
      <w:r w:rsidR="00D37247">
        <w:t>4</w:t>
      </w:r>
      <w:r>
        <w:t xml:space="preserve">. Adjusted inclusion criteria for the MCOC group. </w:t>
      </w:r>
    </w:p>
    <w:p w14:paraId="640CD551" w14:textId="03E43AB9" w:rsidR="00E14EF1" w:rsidRPr="00E14EF1" w:rsidRDefault="00423307" w:rsidP="00E14EF1">
      <w:pPr>
        <w:rPr>
          <w:rFonts w:cs="Arial"/>
        </w:rPr>
      </w:pPr>
      <w:r w:rsidRPr="00D90C30">
        <w:rPr>
          <w:rFonts w:cs="Arial"/>
        </w:rPr>
        <w:t>In case the inclusion and exclusion criteria are prohibitive and do not lead to successful recruitment of our sample size, we will review the criteria and make adjustments. Any such adjustments or protocol deviations will be reported as part of future publications.</w:t>
      </w:r>
    </w:p>
    <w:p w14:paraId="3C635CD4" w14:textId="3735541E" w:rsidR="008E50C6" w:rsidRDefault="00181394" w:rsidP="008E50C6">
      <w:pPr>
        <w:pStyle w:val="Heading3"/>
      </w:pPr>
      <w:r>
        <w:t>Sample size</w:t>
      </w:r>
    </w:p>
    <w:p w14:paraId="76456C33" w14:textId="0C965029" w:rsidR="0009673B" w:rsidRDefault="5CE66923" w:rsidP="00B366EF">
      <w:r>
        <w:t xml:space="preserve">A summary of effect sizes calculated from existing literature on sex- and hormone-related differences in non-visual effects of light is reported in the </w:t>
      </w:r>
      <w:r w:rsidRPr="5CE66923">
        <w:rPr>
          <w:i/>
          <w:iCs/>
        </w:rPr>
        <w:t>Supplementary materials</w:t>
      </w:r>
      <w:r>
        <w:t xml:space="preserve"> (Figure S1 and Figure S2), indicating a range of typical sample sizes between N=6 and N=55. </w:t>
      </w:r>
      <w:r w:rsidR="00EC0D2E">
        <w:t xml:space="preserve">For the present study, we used </w:t>
      </w:r>
      <w:r>
        <w:t xml:space="preserve">Bayes Factor Design Analysis (BFDA; </w:t>
      </w:r>
      <w:r w:rsidR="000A52AD">
        <w:fldChar w:fldCharType="begin"/>
      </w:r>
      <w:r w:rsidR="0092047F">
        <w:instrText xml:space="preserve"> ADDIN ZOTERO_ITEM CSL_CITATION {"citationID":"KwN8hCJR","properties":{"formattedCitation":"(Sch\\uc0\\u246{}nbrodt &amp; Wagenmakers, 2018)","plainCitation":"(Schönbrodt &amp; Wagenmakers, 2018)","dontUpdate":true,"noteIndex":0},"citationItems":[{"id":8759,"uris":["http://zotero.org/users/11330488/items/4VXJXSZ9"],"itemData":{"id":8759,"type":"article-journal","abstract":"A sizeable literature exists on the use of frequentist power analysis in the null-hypothesis significance testing (NHST) paradigm to facilitate the design of informative experiments. In contrast, there is almost no literature that discusses the design of experiments when Bayes factors (BFs) are used as a measure of evidence. Here we explore Bayes Factor Design Analysis (BFDA) as a useful tool to design studies for maximum efficiency and informativeness. We elaborate on three possible BF designs, (a) a fixed-n design, (b) an open-ended Sequential Bayes Factor (SBF) design, where researchers can test after each participant and can stop data collection whenever there is strong evidence for either $\\mathcal {H}_{1}$or $\\mathcal {H}_{0}$, and (c) a modified SBF design that defines a maximal sample size where data collection is stopped regardless of the current state of evidence. We demonstrate how the properties of each design (i.e., expected strength of evidence, expected sample size, expected probability of misleading evidence, expected probability of weak evidence) can be evaluated using Monte Carlo simulations and equip researchers with the necessary information to compute their own Bayesian design analyses.","container-title":"Psychonomic Bulletin &amp; Review","DOI":"10.3758/s13423-017-1230-y","ISSN":"1531-5320","issue":"1","journalAbbreviation":"Psychon Bull Rev","language":"en","page":"128-142","source":"Springer Link","title":"Bayes factor design analysis: Planning for compelling evidence","title-short":"Bayes factor design analysis","volume":"25","author":[{"family":"Schönbrodt","given":"Felix D."},{"family":"Wagenmakers","given":"Eric-Jan"}],"issued":{"date-parts":[["2018",2,1]]}}}],"schema":"https://github.com/citation-style-language/schema/raw/master/csl-citation.json"} </w:instrText>
      </w:r>
      <w:r w:rsidR="000A52AD">
        <w:fldChar w:fldCharType="separate"/>
      </w:r>
      <w:r w:rsidRPr="5CE66923">
        <w:rPr>
          <w:rFonts w:cs="Arial"/>
        </w:rPr>
        <w:t>Schönbrodt &amp; Wagenmakers, 2018)</w:t>
      </w:r>
      <w:r w:rsidR="000A52AD">
        <w:fldChar w:fldCharType="end"/>
      </w:r>
      <w:r>
        <w:t xml:space="preserve"> for a fixed-n design</w:t>
      </w:r>
      <w:r w:rsidR="00A9044E">
        <w:t xml:space="preserve"> </w:t>
      </w:r>
      <w:r w:rsidR="00EC0D2E">
        <w:t>to evaluate the expected evidence strength</w:t>
      </w:r>
      <w:r w:rsidR="00160CFB">
        <w:t xml:space="preserve"> of our design with n=12 </w:t>
      </w:r>
      <w:r w:rsidR="00160CFB">
        <w:lastRenderedPageBreak/>
        <w:t>participants for each group</w:t>
      </w:r>
      <w:r w:rsidR="00EC0D2E">
        <w:t xml:space="preserve">. The choice of n=12 for each participant group is based on </w:t>
      </w:r>
      <w:r w:rsidR="000D3A4B">
        <w:t>resources and time constraints of the current study</w:t>
      </w:r>
      <w:r w:rsidR="00160CFB">
        <w:t>,</w:t>
      </w:r>
      <w:r w:rsidR="000D3A4B">
        <w:t xml:space="preserve"> </w:t>
      </w:r>
      <w:r w:rsidR="00EC0D2E">
        <w:t>as we estimate that data collection for n=36</w:t>
      </w:r>
      <w:r w:rsidR="00160CFB">
        <w:t xml:space="preserve"> (</w:t>
      </w:r>
      <w:proofErr w:type="gramStart"/>
      <w:r w:rsidR="00160CFB">
        <w:t>i.e.</w:t>
      </w:r>
      <w:proofErr w:type="gramEnd"/>
      <w:r w:rsidR="00160CFB">
        <w:t xml:space="preserve"> N=12 participants for each of the three groups)</w:t>
      </w:r>
      <w:r w:rsidR="00EC0D2E">
        <w:t xml:space="preserve"> will take approximately 18 months.</w:t>
      </w:r>
    </w:p>
    <w:p w14:paraId="21555387" w14:textId="320DFA9F" w:rsidR="00FA6F91" w:rsidRDefault="00EC0D2E" w:rsidP="0011675F">
      <w:r>
        <w:t xml:space="preserve">BFDA was conducted specifically for hypothesis CH3a, which tests the effect of endogenous hormones on melatonin suppression in the NC group. </w:t>
      </w:r>
      <w:r w:rsidR="5CE66923">
        <w:t xml:space="preserve">Since linear mixed-effects models (LMMs) represent the statistical modelling approach for all analyses, BFDA for LMMs </w:t>
      </w:r>
      <w:r>
        <w:t>was</w:t>
      </w:r>
      <w:r w:rsidR="5CE66923">
        <w:t xml:space="preserve"> used to estimate the strength of evidence for </w:t>
      </w:r>
      <w:r w:rsidR="005E060A">
        <w:t>the full model (</w:t>
      </w:r>
      <w:r w:rsidR="5CE66923">
        <w:t>CH3a</w:t>
      </w:r>
      <w:r w:rsidR="5CE66923" w:rsidRPr="5CE66923">
        <w:rPr>
          <w:vertAlign w:val="subscript"/>
        </w:rPr>
        <w:t>Full</w:t>
      </w:r>
      <w:r w:rsidR="005E060A">
        <w:t>)</w:t>
      </w:r>
      <w:r w:rsidR="5CE66923">
        <w:t xml:space="preserve">. </w:t>
      </w:r>
      <w:r w:rsidR="0092047F">
        <w:t xml:space="preserve">First, due to the lack of </w:t>
      </w:r>
      <w:r>
        <w:t xml:space="preserve">reported </w:t>
      </w:r>
      <w:r w:rsidR="0092047F">
        <w:t xml:space="preserve">effect sizes for the influence of endogenous hormones on melatonin suppression, we used a previous dataset </w:t>
      </w:r>
      <w:r>
        <w:t xml:space="preserve">of melatonin suppression using a comparable protocol </w:t>
      </w:r>
      <w:r w:rsidR="0092047F">
        <w:fldChar w:fldCharType="begin"/>
      </w:r>
      <w:r w:rsidR="000E5575">
        <w:instrText xml:space="preserve"> ADDIN ZOTERO_ITEM CSL_CITATION {"citationID":"KvHlNRIJ","properties":{"formattedCitation":"(Fernandez-Alonso &amp; Spitschan, 2025a)","plainCitation":"(Fernandez-Alonso &amp; Spitschan, 2025a)","dontUpdate":true,"noteIndex":0},"citationItems":[{"id":9940,"uris":["http://zotero.org/users/11330488/items/Q8XBBQKZ"],"itemData":{"id":9940,"type":"article-journal","abstract":"Light influences human physiology profoundly, affecting the circadian clock and suppressing the endogenous hormone melatonin. Experimental studies often employ either homogenous full-field stimulation, or overhead illumination, which are hard to standardize across studies and laboratories. Here, we present a novel technique to examine nonvisual responses to light using virtual-reality (VR) head-mounted displays (HMDs) for delivering standardized and calibrated light stimuli to observers in a reproducible and controlled manner. We find that VR HMDs are well-suited for delivering standardized stimuli defined in luminance and across time, with excellent properties up to 10 Hz. We examine melatonin suppression to continuous luminance-defined light stimuli in a sample of healthy participants (n = 32, mean ± SD age: 27.2 ± 5.6), and find robust melatonin suppression in 24 out of 32 participants (75% of the sample). Our findings demonstrate that VR HMDs are well-suited for studying the mechanisms underlying human nonvisual photoreception in a reproducible and standardized fashion.","container-title":"Journal of Pineal Research","DOI":"10.1111/jpi.70051","ISSN":"1600-079X","issue":"4","language":"en","license":"© 2025 The Author(s). Journal of Pineal Research published by John Wiley &amp; Sons Ltd.","note":"_eprint: https://onlinelibrary.wiley.com/doi/pdf/10.1111/jpi.70051","page":"e70051","source":"Wiley Online Library","title":"Standardized and Calibrated Light Stimuli via Head-Mounted Displays for Investigating the Nonvisual Effects of Light","volume":"77","author":[{"family":"Fernandez-Alonso","given":"Maydel"},{"family":"Spitschan","given":"Manuel"}],"issued":{"date-parts":[["2025"]]}}}],"schema":"https://github.com/citation-style-language/schema/raw/master/csl-citation.json"} </w:instrText>
      </w:r>
      <w:r w:rsidR="0092047F">
        <w:fldChar w:fldCharType="separate"/>
      </w:r>
      <w:r w:rsidR="000E5575" w:rsidRPr="000E5575">
        <w:rPr>
          <w:rFonts w:cs="Arial"/>
        </w:rPr>
        <w:t>(Fernandez-Alonso &amp; Spitschan, 2025)</w:t>
      </w:r>
      <w:r w:rsidR="0092047F">
        <w:fldChar w:fldCharType="end"/>
      </w:r>
      <w:r w:rsidR="0092047F">
        <w:t xml:space="preserve"> to identify which effect sizes </w:t>
      </w:r>
      <w:r w:rsidR="0009673B">
        <w:t xml:space="preserve">for E2 and P4 </w:t>
      </w:r>
      <w:r w:rsidR="0092047F">
        <w:t>yield</w:t>
      </w:r>
      <w:r w:rsidR="00BC1120">
        <w:t>ed</w:t>
      </w:r>
      <w:r w:rsidR="0092047F">
        <w:t xml:space="preserve"> </w:t>
      </w:r>
      <w:r w:rsidR="0009673B">
        <w:t xml:space="preserve">the </w:t>
      </w:r>
      <w:r w:rsidR="00BC1120">
        <w:t>physiologically plausible</w:t>
      </w:r>
      <w:r w:rsidR="0092047F">
        <w:t xml:space="preserve"> melatonin suppression data. </w:t>
      </w:r>
      <w:r w:rsidR="0011675F">
        <w:t>This dataset contains melatonin suppression values for n=27 participants (mean</w:t>
      </w:r>
      <w:r w:rsidR="0011675F">
        <w:rPr>
          <w:rFonts w:cs="Arial"/>
        </w:rPr>
        <w:t>±</w:t>
      </w:r>
      <w:r w:rsidR="0011675F">
        <w:t>1SD=49</w:t>
      </w:r>
      <w:r w:rsidR="0011675F">
        <w:rPr>
          <w:rFonts w:cs="Arial"/>
        </w:rPr>
        <w:t>±27.7%)</w:t>
      </w:r>
      <w:r w:rsidR="00AC3406">
        <w:rPr>
          <w:rFonts w:cs="Arial"/>
        </w:rPr>
        <w:t xml:space="preserve">. </w:t>
      </w:r>
      <w:r w:rsidR="00FA6F91">
        <w:t>The results indicated that effect sizes for E2 and P4</w:t>
      </w:r>
      <w:r w:rsidR="00160CFB">
        <w:t xml:space="preserve"> ranging from -0.5 to 0.5 at 0.1 steps and intercept values from -0.9 to 0.9 at 0.3 steps</w:t>
      </w:r>
      <w:r w:rsidR="00BC1120">
        <w:t xml:space="preserve"> </w:t>
      </w:r>
      <w:r w:rsidR="00FA6F91">
        <w:t>yielded</w:t>
      </w:r>
      <w:r w:rsidR="00BC1120">
        <w:t xml:space="preserve"> values within the 2.5</w:t>
      </w:r>
      <w:r w:rsidR="00BC1120" w:rsidRPr="00BC1120">
        <w:rPr>
          <w:vertAlign w:val="superscript"/>
        </w:rPr>
        <w:t>th</w:t>
      </w:r>
      <w:r w:rsidR="00BC1120">
        <w:t xml:space="preserve"> and 97.5</w:t>
      </w:r>
      <w:r w:rsidR="00BC1120" w:rsidRPr="00BC1120">
        <w:rPr>
          <w:vertAlign w:val="superscript"/>
        </w:rPr>
        <w:t>th</w:t>
      </w:r>
      <w:r w:rsidR="00BC1120">
        <w:t xml:space="preserve"> percentile</w:t>
      </w:r>
      <w:r w:rsidR="00AC3406">
        <w:t>s (1.4% and 90%)</w:t>
      </w:r>
      <w:r w:rsidR="00BC1120">
        <w:t xml:space="preserve"> of our known melatonin suppression data.</w:t>
      </w:r>
      <w:r w:rsidR="00FA6F91">
        <w:t xml:space="preserve"> </w:t>
      </w:r>
      <w:r w:rsidR="0092047F">
        <w:t>Once these effect sizes combinations (n=847) were identified,</w:t>
      </w:r>
      <w:r w:rsidR="0009673B">
        <w:t xml:space="preserve"> we performed </w:t>
      </w:r>
      <w:r w:rsidR="5CE66923">
        <w:t xml:space="preserve">BFDA simulations using the </w:t>
      </w:r>
      <w:proofErr w:type="spellStart"/>
      <w:r w:rsidR="5CE66923" w:rsidRPr="5CE66923">
        <w:rPr>
          <w:i/>
          <w:iCs/>
        </w:rPr>
        <w:t>lmBF</w:t>
      </w:r>
      <w:proofErr w:type="spellEnd"/>
      <w:r w:rsidR="5CE66923" w:rsidRPr="5CE66923">
        <w:rPr>
          <w:i/>
          <w:iCs/>
        </w:rPr>
        <w:t xml:space="preserve"> </w:t>
      </w:r>
      <w:r w:rsidR="5CE66923">
        <w:t xml:space="preserve">function from the </w:t>
      </w:r>
      <w:proofErr w:type="spellStart"/>
      <w:r w:rsidR="5CE66923" w:rsidRPr="5CE66923">
        <w:rPr>
          <w:i/>
          <w:iCs/>
        </w:rPr>
        <w:t>BayesFactor</w:t>
      </w:r>
      <w:proofErr w:type="spellEnd"/>
      <w:r w:rsidR="5CE66923">
        <w:t xml:space="preserve"> R package </w:t>
      </w:r>
      <w:r w:rsidR="00047A74">
        <w:fldChar w:fldCharType="begin"/>
      </w:r>
      <w:r w:rsidR="000E5575">
        <w:instrText xml:space="preserve"> ADDIN ZOTERO_ITEM CSL_CITATION {"citationID":"RKSLCc8i","properties":{"formattedCitation":"(Morey, 2023)","plainCitation":"(Morey, 2023)","dontUpdate":true,"noteIndex":0},"citationItems":[{"id":9624,"uris":["http://zotero.org/users/11330488/items/WLE95WBX"],"itemData":{"id":9624,"type":"software","title":"BayesFactor: Computation of Bayes Factor for Common Designs","URL":"https://cran.r-project.org/web/packages/BayesFactor/index.html","version":"0.9.12-4.7","author":[{"family":"Morey","given":"Richard"}],"accessed":{"date-parts":[["2025",4,4]]},"issued":{"date-parts":[["2023"]]}}}],"schema":"https://github.com/citation-style-language/schema/raw/master/csl-citation.json"} </w:instrText>
      </w:r>
      <w:r w:rsidR="00047A74">
        <w:fldChar w:fldCharType="separate"/>
      </w:r>
      <w:r w:rsidR="5CE66923" w:rsidRPr="5CE66923">
        <w:rPr>
          <w:rFonts w:cs="Arial"/>
        </w:rPr>
        <w:t>(Morey, 2023</w:t>
      </w:r>
      <w:r w:rsidR="0009673B">
        <w:rPr>
          <w:rFonts w:cs="Arial"/>
        </w:rPr>
        <w:t>, version 0.9.12-2</w:t>
      </w:r>
      <w:r w:rsidR="5CE66923" w:rsidRPr="5CE66923">
        <w:rPr>
          <w:rFonts w:cs="Arial"/>
        </w:rPr>
        <w:t>)</w:t>
      </w:r>
      <w:r w:rsidR="00047A74">
        <w:fldChar w:fldCharType="end"/>
      </w:r>
      <w:r w:rsidR="5CE66923">
        <w:t xml:space="preserve">, using a default prior distribution (Cauchy prior distribution with scale parameter r = </w:t>
      </w:r>
      <w:r w:rsidR="5CE66923" w:rsidRPr="5CE66923">
        <w:rPr>
          <w:rFonts w:cs="Arial"/>
        </w:rPr>
        <w:t>√(</w:t>
      </w:r>
      <w:r w:rsidR="5CE66923">
        <w:t>2)/2) and performing 100 iterations</w:t>
      </w:r>
      <w:r w:rsidR="0009673B">
        <w:t xml:space="preserve"> over each of the 847 effect sizes combinations</w:t>
      </w:r>
      <w:r w:rsidR="5CE66923">
        <w:t>.</w:t>
      </w:r>
      <w:r w:rsidR="0009673B">
        <w:t xml:space="preserve"> </w:t>
      </w:r>
      <w:r>
        <w:t xml:space="preserve">The full model included melatonin suppression as the outcome, E2 and P4 as fixed effects, and random intercepts and slopes for E2 and P4 by participant. The null model included only a random intercept for each participant. </w:t>
      </w:r>
      <w:r w:rsidR="00FA6F91">
        <w:t xml:space="preserve">The </w:t>
      </w:r>
      <w:r w:rsidR="00160CFB">
        <w:t xml:space="preserve">BF resulting </w:t>
      </w:r>
      <w:r w:rsidR="00BC1120">
        <w:t>from the</w:t>
      </w:r>
      <w:r w:rsidR="00160CFB">
        <w:t xml:space="preserve"> ratio of the</w:t>
      </w:r>
      <w:r w:rsidR="00BC1120">
        <w:t xml:space="preserve"> full</w:t>
      </w:r>
      <w:r w:rsidR="00160CFB">
        <w:t xml:space="preserve"> model over the </w:t>
      </w:r>
      <w:r w:rsidR="00BC1120">
        <w:t>null model</w:t>
      </w:r>
      <w:r w:rsidR="00FA6F91">
        <w:t xml:space="preserve"> was then calculated for each iteration. </w:t>
      </w:r>
      <w:r w:rsidR="0009673B">
        <w:t>For each parameter combination, we determined the true positive rate (TPR) as the proportion of BF</w:t>
      </w:r>
      <w:r w:rsidR="00FA6F91">
        <w:t xml:space="preserve">&gt;3 among the 100 iterations for that parameter combination. </w:t>
      </w:r>
    </w:p>
    <w:p w14:paraId="33050357" w14:textId="1616CDEB" w:rsidR="008041E8" w:rsidRPr="00EC0D2E" w:rsidRDefault="00FA6F91" w:rsidP="00B366EF">
      <w:r>
        <w:t>Our results showed that</w:t>
      </w:r>
      <w:r w:rsidR="00EC0D2E">
        <w:t xml:space="preserve"> higher absolute values (</w:t>
      </w:r>
      <w:r w:rsidR="00EC0D2E">
        <w:rPr>
          <w:rFonts w:cs="Arial"/>
        </w:rPr>
        <w:t>±</w:t>
      </w:r>
      <w:r w:rsidR="00EC0D2E">
        <w:t xml:space="preserve">0.5) of </w:t>
      </w:r>
      <w:r w:rsidR="00BC1120">
        <w:t>E2 and P4 yielded higher TPRs</w:t>
      </w:r>
      <w:r w:rsidR="00EC0D2E">
        <w:t>, while varying intercept values had a negligible impact on the TPR (</w:t>
      </w:r>
      <w:r w:rsidR="00EC0D2E" w:rsidRPr="00160CFB">
        <w:rPr>
          <w:i/>
          <w:iCs/>
        </w:rPr>
        <w:t>Supplementary materials Figure S3</w:t>
      </w:r>
      <w:r w:rsidR="00EC0D2E">
        <w:t>), consistent with expectations since E2 and P4 were the predictors of interest.</w:t>
      </w:r>
      <w:r w:rsidR="00354C5B">
        <w:t xml:space="preserve"> Out of n=847 parameter combinations, only n=157</w:t>
      </w:r>
      <w:r w:rsidR="00BC1120">
        <w:t xml:space="preserve"> </w:t>
      </w:r>
      <w:r w:rsidR="00354C5B">
        <w:t xml:space="preserve">yielded a </w:t>
      </w:r>
      <w:r w:rsidR="00BC1120">
        <w:t>TPR</w:t>
      </w:r>
      <w:r w:rsidR="00BC1120">
        <w:rPr>
          <w:rFonts w:cs="Arial"/>
        </w:rPr>
        <w:t>≥</w:t>
      </w:r>
      <w:r w:rsidR="00BC1120">
        <w:t>0.8</w:t>
      </w:r>
      <w:r w:rsidR="00354C5B">
        <w:t xml:space="preserve">. For E2, 51.2% of these values were generated </w:t>
      </w:r>
      <w:r w:rsidR="00C162B9">
        <w:t xml:space="preserve">from either an effect size of -0.5 </w:t>
      </w:r>
      <w:r w:rsidR="00592691">
        <w:t>or 0.5, while the remaining 49.8% were</w:t>
      </w:r>
      <w:r w:rsidR="00C162B9">
        <w:t xml:space="preserve"> generated by smaller effect sizes. </w:t>
      </w:r>
      <w:r w:rsidR="00A261DE">
        <w:t>Similarly, f</w:t>
      </w:r>
      <w:r w:rsidR="00C162B9">
        <w:t>or P4, 54.8% of the n=157 TPR</w:t>
      </w:r>
      <w:r w:rsidR="00C162B9">
        <w:rPr>
          <w:rFonts w:cs="Arial"/>
        </w:rPr>
        <w:t>≥</w:t>
      </w:r>
      <w:r w:rsidR="00C162B9">
        <w:t>0.8 values were generated from effect sizes of -0.5 or 0.5</w:t>
      </w:r>
      <w:r w:rsidR="00160CFB">
        <w:t xml:space="preserve">, while the remaining 49.8% were generated by smaller effect sizes. </w:t>
      </w:r>
      <w:r w:rsidR="00A261DE">
        <w:t>When simulating data under the null model (E2 and P4 effect sizes equal to 0)</w:t>
      </w:r>
      <w:r w:rsidR="00592691">
        <w:t>,</w:t>
      </w:r>
      <w:r w:rsidR="00A261DE">
        <w:t xml:space="preserve"> the average false positive rate (FPR) calculated under the seven possible intercept values was </w:t>
      </w:r>
      <w:r w:rsidR="00A261DE" w:rsidRPr="00A261DE">
        <w:t>0.1</w:t>
      </w:r>
      <w:r w:rsidR="00592691">
        <w:t>2</w:t>
      </w:r>
      <w:r w:rsidR="00592691">
        <w:rPr>
          <w:rFonts w:cs="Arial"/>
        </w:rPr>
        <w:t>±</w:t>
      </w:r>
      <w:r w:rsidR="00592691" w:rsidRPr="00592691">
        <w:rPr>
          <w:rFonts w:cs="Arial"/>
        </w:rPr>
        <w:t>0.02</w:t>
      </w:r>
      <w:r w:rsidR="00592691">
        <w:rPr>
          <w:rFonts w:cs="Arial"/>
        </w:rPr>
        <w:t>7 (mean±1SD).</w:t>
      </w:r>
      <w:r w:rsidR="00C162B9">
        <w:t xml:space="preserve"> </w:t>
      </w:r>
      <w:r w:rsidR="00C37625">
        <w:t>These results highlight that if the true effect sizes of E2 and P4 (</w:t>
      </w:r>
      <w:proofErr w:type="gramStart"/>
      <w:r w:rsidR="00C37625">
        <w:t>i.e.</w:t>
      </w:r>
      <w:proofErr w:type="gramEnd"/>
      <w:r w:rsidR="00C37625">
        <w:t xml:space="preserve"> those collected in our study) are moderate to large, then there is a high probability </w:t>
      </w:r>
      <w:r w:rsidR="00C37625">
        <w:lastRenderedPageBreak/>
        <w:t>that the study will yield strong evidence for those effects, even with the limited sample size of n=12. On the other hand, for smaller effect sizes (</w:t>
      </w:r>
      <w:proofErr w:type="gramStart"/>
      <w:r w:rsidR="00C37625">
        <w:t>e.g.</w:t>
      </w:r>
      <w:proofErr w:type="gramEnd"/>
      <w:r w:rsidR="00C37625">
        <w:t xml:space="preserve"> </w:t>
      </w:r>
      <w:r w:rsidR="00C37625">
        <w:rPr>
          <w:rFonts w:cs="Arial"/>
        </w:rPr>
        <w:t>±</w:t>
      </w:r>
      <w:r w:rsidR="00C37625">
        <w:t xml:space="preserve">0.3 or </w:t>
      </w:r>
      <w:r w:rsidR="00C37625">
        <w:rPr>
          <w:rFonts w:cs="Arial"/>
        </w:rPr>
        <w:t>±</w:t>
      </w:r>
      <w:r w:rsidR="00C37625">
        <w:t xml:space="preserve">0.2), the current sample size might be insufficient to detect these effects. </w:t>
      </w:r>
      <w:r w:rsidR="006A5FDD">
        <w:t>We believe that these findings justify the chosen sample size under the practical resource and time constraints. V</w:t>
      </w:r>
      <w:r w:rsidR="00EC0D2E">
        <w:t xml:space="preserve">isualisations of </w:t>
      </w:r>
      <w:r w:rsidR="006A5FDD">
        <w:t>the BFDA results</w:t>
      </w:r>
      <w:r w:rsidR="00EC0D2E">
        <w:t xml:space="preserve"> are reported in the </w:t>
      </w:r>
      <w:r w:rsidR="00EC0D2E" w:rsidRPr="00EC0D2E">
        <w:rPr>
          <w:i/>
          <w:iCs/>
        </w:rPr>
        <w:t>Supplementary materials</w:t>
      </w:r>
      <w:r w:rsidR="00EC0D2E">
        <w:rPr>
          <w:i/>
          <w:iCs/>
        </w:rPr>
        <w:t xml:space="preserve"> (Figure </w:t>
      </w:r>
      <w:r w:rsidR="00EC0D2E" w:rsidRPr="0016770F">
        <w:t>S3</w:t>
      </w:r>
      <w:r w:rsidR="0016770F">
        <w:t xml:space="preserve"> </w:t>
      </w:r>
      <w:r w:rsidR="00C174C7" w:rsidRPr="0016770F">
        <w:t>and</w:t>
      </w:r>
      <w:r w:rsidR="00C174C7">
        <w:rPr>
          <w:i/>
          <w:iCs/>
        </w:rPr>
        <w:t xml:space="preserve"> S</w:t>
      </w:r>
      <w:r w:rsidR="0016770F">
        <w:rPr>
          <w:i/>
          <w:iCs/>
        </w:rPr>
        <w:t>4</w:t>
      </w:r>
      <w:r w:rsidR="00EC0D2E">
        <w:rPr>
          <w:i/>
          <w:iCs/>
        </w:rPr>
        <w:t xml:space="preserve">). </w:t>
      </w:r>
      <w:r w:rsidR="00EC0D2E">
        <w:t>A</w:t>
      </w:r>
      <w:r w:rsidR="000E5575">
        <w:t>nalysis code and files for the</w:t>
      </w:r>
      <w:r w:rsidR="00EC0D2E">
        <w:t xml:space="preserve"> BFDA </w:t>
      </w:r>
      <w:r w:rsidR="000E5575">
        <w:t xml:space="preserve">simulations are </w:t>
      </w:r>
      <w:r w:rsidR="00EC0D2E">
        <w:t>provided in the GitHub repository</w:t>
      </w:r>
      <w:r w:rsidR="000E5575">
        <w:t xml:space="preserve"> associated with this manuscript (</w:t>
      </w:r>
      <w:hyperlink r:id="rId10" w:history="1">
        <w:r w:rsidR="000E5575" w:rsidRPr="006B1472">
          <w:rPr>
            <w:rStyle w:val="Hyperlink"/>
          </w:rPr>
          <w:t>https://github.com/tscnlab/GuidolinEtAl_PCIRRStage1_2025/tree/main/bfda</w:t>
        </w:r>
      </w:hyperlink>
      <w:r w:rsidR="000E5575">
        <w:t>).</w:t>
      </w:r>
      <w:r w:rsidR="00EC0D2E">
        <w:t xml:space="preserve"> </w:t>
      </w:r>
    </w:p>
    <w:p w14:paraId="3154AAE9" w14:textId="77777777" w:rsidR="00E0208E" w:rsidRPr="00A06A1C" w:rsidRDefault="00E0208E" w:rsidP="00A06A1C">
      <w:pPr>
        <w:pStyle w:val="Heading2"/>
        <w:rPr>
          <w:rFonts w:eastAsiaTheme="minorEastAsia" w:cs="Arial"/>
        </w:rPr>
      </w:pPr>
      <w:r w:rsidRPr="00A06A1C">
        <w:rPr>
          <w:rFonts w:eastAsiaTheme="minorEastAsia" w:cs="Arial"/>
        </w:rPr>
        <w:t>Design</w:t>
      </w:r>
    </w:p>
    <w:p w14:paraId="182D8404" w14:textId="77777777" w:rsidR="00E0208E" w:rsidRPr="00A06A1C" w:rsidRDefault="00E0208E" w:rsidP="00A06A1C">
      <w:pPr>
        <w:pStyle w:val="Heading3"/>
      </w:pPr>
      <w:r w:rsidRPr="00A06A1C">
        <w:t>Participant scheduling</w:t>
      </w:r>
    </w:p>
    <w:p w14:paraId="252E38FD" w14:textId="475BC14A" w:rsidR="00E0208E" w:rsidRPr="008041E8" w:rsidRDefault="5CE66923" w:rsidP="5CE66923">
      <w:r>
        <w:t>This study will use a repeated-measures within-subject design, with melatonin suppression and melanopsin sensitivity measured at four time points across the menstrual cycle (NC group), pill cycle (MCOC group) and across a corresponding time period of 28 days (HM group). Participants will also undergo an additional experimental session, in which melatonin concentration will be measured without light exposure (dim light control session). Experimental sessions will be scheduled so that a maximum of five participants can participate during the same evening. Participants will not interact during the experimental blocks</w:t>
      </w:r>
      <w:r w:rsidR="00A9044E">
        <w:t>, and each of them will sit in individual experimental booths,</w:t>
      </w:r>
      <w:r>
        <w:t xml:space="preserve"> which are separated from each other by partition screens or walls. Two experimental sessions will be planned for each week, spaced no more than three days apart, excluding weekend days (</w:t>
      </w:r>
      <w:proofErr w:type="gramStart"/>
      <w:r>
        <w:t>i.e.</w:t>
      </w:r>
      <w:proofErr w:type="gramEnd"/>
      <w:r>
        <w:t xml:space="preserve"> Monday and Thursday or Tuesday and Friday). This frequency is chosen for feasibility due to staff and resource constraints. Furthermore, this strategy is expected to guarantee coverage of menstrual phase</w:t>
      </w:r>
      <w:r w:rsidR="00A9044E">
        <w:t>s</w:t>
      </w:r>
      <w:r>
        <w:t xml:space="preserve"> of the NC group, ensuring that a given menstrual phase falls within at least one of the two scheduled weekly sessions. Aligning the MCOC and HM groups to these same sessions as the NC group allows efficient data collection during the same evenings. In the following paragraphs, we outline scheduling principles for the experimental sessions for all three participant groups. </w:t>
      </w:r>
      <w:r w:rsidR="00087DEA">
        <w:t xml:space="preserve">Stopping criteria are also outlined in the </w:t>
      </w:r>
      <w:r w:rsidR="00087DEA" w:rsidRPr="00087DEA">
        <w:rPr>
          <w:i/>
          <w:iCs/>
        </w:rPr>
        <w:t>Supplementary materials</w:t>
      </w:r>
      <w:r w:rsidR="00087DEA">
        <w:rPr>
          <w:i/>
          <w:iCs/>
        </w:rPr>
        <w:t xml:space="preserve"> (Table S2).</w:t>
      </w:r>
    </w:p>
    <w:p w14:paraId="794D09D7" w14:textId="77777777" w:rsidR="00E0208E" w:rsidRPr="00A06A1C" w:rsidRDefault="00E0208E" w:rsidP="00A06A1C">
      <w:pPr>
        <w:pStyle w:val="Heading4"/>
      </w:pPr>
      <w:r w:rsidRPr="00A06A1C">
        <w:t xml:space="preserve">Naturally cycling individuals </w:t>
      </w:r>
    </w:p>
    <w:p w14:paraId="1B7F6555" w14:textId="77777777" w:rsidR="00E0208E" w:rsidRDefault="00E0208E" w:rsidP="00A06A1C">
      <w:r>
        <w:t>In order to capture different hormonal profiles across the menstrual cycle, we will schedule naturally cycling individuals to visit the laboratory during four menstrual phases with distinct hormonal levels: peri-ovulatory phase (rising E2, low P4), mid-luteal phase (high and stable E2 and P4), peri-menstrual phase (falling and low E2 and P4), and mid-follicular phase (slight rise in E2, low P4). The criteria to schedule the participants across the cycle are as follows (Figure 1A):</w:t>
      </w:r>
    </w:p>
    <w:p w14:paraId="015F3AD6" w14:textId="77777777" w:rsidR="00E0208E" w:rsidRDefault="00E0208E" w:rsidP="00E0208E">
      <w:pPr>
        <w:pStyle w:val="ListParagraph"/>
        <w:numPr>
          <w:ilvl w:val="0"/>
          <w:numId w:val="33"/>
        </w:numPr>
      </w:pPr>
      <w:r>
        <w:lastRenderedPageBreak/>
        <w:t>Peri-ovulatory phase (scheduled based on calendar method prediction and presence of at least one day of positive E2 test, and performed latest on day +1 from LH positive test, where day 0 indicates positive LH test)</w:t>
      </w:r>
    </w:p>
    <w:p w14:paraId="3D60C5C3" w14:textId="77777777" w:rsidR="00E0208E" w:rsidRDefault="00E0208E" w:rsidP="00E0208E">
      <w:pPr>
        <w:pStyle w:val="ListParagraph"/>
        <w:numPr>
          <w:ilvl w:val="0"/>
          <w:numId w:val="33"/>
        </w:numPr>
      </w:pPr>
      <w:r>
        <w:t>Mid-luteal phase (day +6 to day +10 following LH test, where day 0 indicates positive LH test)</w:t>
      </w:r>
    </w:p>
    <w:p w14:paraId="448F8F26" w14:textId="77777777" w:rsidR="00E0208E" w:rsidRDefault="00E0208E" w:rsidP="00E0208E">
      <w:pPr>
        <w:pStyle w:val="ListParagraph"/>
        <w:numPr>
          <w:ilvl w:val="0"/>
          <w:numId w:val="33"/>
        </w:numPr>
      </w:pPr>
      <w:r>
        <w:t>Peri-menstrual phase (day +12 to day +16 following positive LH test, where day 0 indicates positive LH test)</w:t>
      </w:r>
    </w:p>
    <w:p w14:paraId="52738AC8" w14:textId="77777777" w:rsidR="00E0208E" w:rsidRDefault="00E0208E" w:rsidP="00E0208E">
      <w:pPr>
        <w:pStyle w:val="ListParagraph"/>
        <w:numPr>
          <w:ilvl w:val="0"/>
          <w:numId w:val="33"/>
        </w:numPr>
      </w:pPr>
      <w:r>
        <w:t>Mid-follicular phase (day +4 to day +8 of the next menstrual cycle, where cycle day +1 indicates the day of menses onset)</w:t>
      </w:r>
    </w:p>
    <w:p w14:paraId="359FFCAA" w14:textId="13635229" w:rsidR="00E0208E" w:rsidRDefault="00E0208E" w:rsidP="00A50B2C">
      <w:r>
        <w:t xml:space="preserve">Compared to the recommended phasing criteria for the peri-ovulatory phase detailed in </w:t>
      </w:r>
      <w:proofErr w:type="spellStart"/>
      <w:r>
        <w:t>Schmalenberger</w:t>
      </w:r>
      <w:proofErr w:type="spellEnd"/>
      <w:r>
        <w:t xml:space="preserve"> et al. </w:t>
      </w:r>
      <w:r>
        <w:fldChar w:fldCharType="begin"/>
      </w:r>
      <w:r w:rsidR="00DA4730">
        <w:instrText xml:space="preserve"> ADDIN ZOTERO_ITEM CSL_CITATION {"citationID":"Cw1JTpdP","properties":{"formattedCitation":"(Schmalenberger et al., 2021a)","plainCitation":"(Schmalenberger et al., 2021a)","dontUpdate":true,"noteIndex":0},"citationItems":[{"id":"pFCzBSob/BCJzJhtF","uris":["http://zotero.org/users/11330488/items/4W4B7LVN"],"itemData":{"id":177,"type":"article-journal","abstract":"Despite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and sampling strategy, managing demand characteristics, identifying a sample of naturally-cycling individuals, and measuring menstrual bleeding dates, ovarian hormones, and ovulation. We proceed with suggestions for (4) data preparation and coding of cycle day and phases, as well as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replicable.","container-title":"Psychoneuroendocrinology","DOI":"10.1016/j.psyneuen.2020.104895","ISSN":"1873-3360","journalAbbreviation":"Psychoneuroendocrinology","language":"eng","note":"PMID: 33113391\nPMCID: PMC8363181","page":"104895","source":"PubMed","title":"How to study the menstrual cycle: Practical tools and recommendations","title-short":"How to study the menstrual cycle","volume":"123","author":[{"family":"Schmalenberger","given":"Katja M."},{"family":"Tauseef","given":"Hafsah A."},{"family":"Barone","given":"Jordan C."},{"family":"Owens","given":"Sarah A."},{"family":"Lieberman","given":"Lynne"},{"family":"Jarczok","given":"Marc N."},{"family":"Girdler","given":"Susan S."},{"family":"Kiesner","given":"Jeff"},{"family":"Ditzen","given":"Beate"},{"family":"Eisenlohr-Moul","given":"Tory A."}],"issued":{"date-parts":[["2021",1]]}}}],"schema":"https://github.com/citation-style-language/schema/raw/master/csl-citation.json"} </w:instrText>
      </w:r>
      <w:r>
        <w:fldChar w:fldCharType="separate"/>
      </w:r>
      <w:r w:rsidRPr="00697862">
        <w:rPr>
          <w:rFonts w:cs="Arial"/>
        </w:rPr>
        <w:t>(2021)</w:t>
      </w:r>
      <w:r>
        <w:fldChar w:fldCharType="end"/>
      </w:r>
      <w:r>
        <w:t xml:space="preserve"> (-2 days prior to LH test to day +1 from positive LH test, where positive LH test is day 0), we choose to apply slightly less strict criteria for feasibility reasons. Relying solely on at-home LH testing would necessitate scheduling experimental sessions on very short notice, posing logistical challenges. To address this, we will use the Clearblue Advanced Digital ovulation tests (Clearblue, Swiss Precision Diagnostics, GmbH, Geneva, Switzerland; details in </w:t>
      </w:r>
      <w:r w:rsidRPr="00F66880">
        <w:rPr>
          <w:i/>
          <w:iCs/>
        </w:rPr>
        <w:t>Luteinising hormone (LH) testing and logging</w:t>
      </w:r>
      <w:r>
        <w:t>). These tests detect both the rise in E2 preceding ovulation and the subsequent LH surge. This dual detection allows for greater flexibility in scheduling the peri-ovulatory session, as the E2-positive result typically precedes the LH-positive result by several days. However, because E2-positive duration is unpredictable and varies across individuals, we will combine calendar projections with hormone test results to schedule peri-ovulatory visits as follows:</w:t>
      </w:r>
    </w:p>
    <w:p w14:paraId="55ACCFB6" w14:textId="77777777" w:rsidR="00E0208E" w:rsidRDefault="00E0208E" w:rsidP="00E0208E">
      <w:pPr>
        <w:pStyle w:val="ListParagraph"/>
        <w:numPr>
          <w:ilvl w:val="0"/>
          <w:numId w:val="45"/>
        </w:numPr>
      </w:pPr>
      <w:r>
        <w:t xml:space="preserve">First, we will calculate the next expected menses onset based on the participant’s average cycle length from the past six cycles. </w:t>
      </w:r>
    </w:p>
    <w:p w14:paraId="61A95DAB" w14:textId="77777777" w:rsidR="00E0208E" w:rsidRDefault="00E0208E" w:rsidP="00E0208E">
      <w:pPr>
        <w:pStyle w:val="ListParagraph"/>
        <w:numPr>
          <w:ilvl w:val="0"/>
          <w:numId w:val="45"/>
        </w:numPr>
      </w:pPr>
      <w:r>
        <w:t>Then, we will estimate the day of the LH positive test by subtracting 14 days (</w:t>
      </w:r>
      <w:proofErr w:type="gramStart"/>
      <w:r>
        <w:t>i.e.</w:t>
      </w:r>
      <w:proofErr w:type="gramEnd"/>
      <w:r>
        <w:t xml:space="preserve"> the typical duration of the luteal phase) from this calculated next menses onset. The provisional peri-ovulatory session will be scheduled as close as possible to this predicted day. For instance, if the estimated LH-positive day is a Wednesday and a session is already scheduled for Thursday, participants will be provisionally invited for that Thursday. </w:t>
      </w:r>
    </w:p>
    <w:p w14:paraId="397B602F" w14:textId="77777777" w:rsidR="00E0208E" w:rsidRDefault="00E0208E" w:rsidP="00E0208E">
      <w:pPr>
        <w:pStyle w:val="ListParagraph"/>
        <w:numPr>
          <w:ilvl w:val="0"/>
          <w:numId w:val="45"/>
        </w:numPr>
      </w:pPr>
      <w:r>
        <w:t>To confirm this session, participants must have at least one E2-positive test result.</w:t>
      </w:r>
    </w:p>
    <w:p w14:paraId="4D25B69A" w14:textId="311CF24D" w:rsidR="00E0208E" w:rsidRDefault="00E0208E" w:rsidP="00E0208E">
      <w:pPr>
        <w:pStyle w:val="ListParagraph"/>
        <w:numPr>
          <w:ilvl w:val="0"/>
          <w:numId w:val="45"/>
        </w:numPr>
      </w:pPr>
      <w:r>
        <w:t>If an E2-positive result occurs &gt;9 days before the</w:t>
      </w:r>
      <w:r w:rsidR="00856FF5">
        <w:t xml:space="preserve"> provisionally</w:t>
      </w:r>
      <w:r>
        <w:t xml:space="preserve"> scheduled session, the visit will be rescheduled earlier. This adjustment ensures the session does not occur more than one day after the LH-positive test in case the participant is having a shorter than expected follicular phase (i.e., not beyond day +1). </w:t>
      </w:r>
    </w:p>
    <w:p w14:paraId="3ADB0F62" w14:textId="77777777" w:rsidR="00E0208E" w:rsidRDefault="00E0208E" w:rsidP="00A06A1C">
      <w:r>
        <w:lastRenderedPageBreak/>
        <w:t xml:space="preserve">We believe this approach enables the reliable capture of rising and high E2 levels, which includes both the late follicular rise and the peri-ovulatory peak in E2. We will reassess this method after the first five participants complete all sessions to ensure the peri-ovulatory sampling window remains </w:t>
      </w:r>
      <w:r w:rsidRPr="00A50B2C">
        <w:rPr>
          <w:rFonts w:cs="Arial"/>
        </w:rPr>
        <w:t>≤</w:t>
      </w:r>
      <w:r>
        <w:t xml:space="preserve">5 days across individuals. Furthermore, compared to </w:t>
      </w:r>
      <w:proofErr w:type="spellStart"/>
      <w:r>
        <w:t>Schmalenberger</w:t>
      </w:r>
      <w:proofErr w:type="spellEnd"/>
      <w:r>
        <w:t xml:space="preserve"> and colleagues (2021), we extend the upper limit of the mid-follicular phase window from day +7 to day +8. This extension provides greater flexibility in scheduling mid-follicular sessions at a longer interval from the peri-menstrual visit. </w:t>
      </w:r>
    </w:p>
    <w:p w14:paraId="00E9E97D" w14:textId="6FE16F1B" w:rsidR="00E0208E" w:rsidRDefault="5CE66923" w:rsidP="00A06A1C">
      <w:r>
        <w:t>Participant in-person screening will occur during the first menstrual cycle</w:t>
      </w:r>
      <w:r w:rsidR="00856FF5">
        <w:t xml:space="preserve"> (“cycle 0”)</w:t>
      </w:r>
      <w:r w:rsidR="006263F1">
        <w:t xml:space="preserve"> </w:t>
      </w:r>
      <w:r>
        <w:t xml:space="preserve">upon successful confirmation of eligibility and inclusion </w:t>
      </w:r>
      <w:r w:rsidR="00856FF5">
        <w:t>from the online screening</w:t>
      </w:r>
      <w:r w:rsidR="006263F1">
        <w:t>. During the in-person screening, final eligibility and inclusion will be confirmed.</w:t>
      </w:r>
      <w:r w:rsidR="00856FF5">
        <w:t xml:space="preserve"> </w:t>
      </w:r>
      <w:r>
        <w:t xml:space="preserve">The specific phase in the cycle at which participants undergo in-person screening will not be predetermined but will instead depend on availability. Between five and seven days from the in-person screening day, participants will complete the dim light control experimental session. This strategy will ensure that the dim light control will be performed at a random cycle phase for each participant. This dim light control session </w:t>
      </w:r>
      <w:r w:rsidR="006263F1">
        <w:t xml:space="preserve">serves </w:t>
      </w:r>
      <w:r>
        <w:t xml:space="preserve">as a control for all experimental sessions with bright light exposure </w:t>
      </w:r>
      <w:r w:rsidR="006263F1">
        <w:t xml:space="preserve">and prevents the need for </w:t>
      </w:r>
      <w:r>
        <w:t xml:space="preserve">dim light control sessions for each cycle phase, which we deem too burdensome on the participants. The next menstrual cycle (“cycle 1”) will be the cycle in which experimental sessions with bright light exposure will be scheduled. Sampling will follow the same order for all participants and will start from the peri-ovulatory phase, as this phase can be predicted using E2 and LH tests, and end at the mid-follicular phase of the following cycle. This scheduling method implies that the experimental sessions will span two menstrual cycles: the experimental sessions for the peri-ovulatory and mid-luteal phases will occur during the first cycle (cycle 1), while the experimental session for the mid-follicular phase will occur during the following cycle (“cycle 2”). The experimental session for the peri-menstrual phase will fall either at the end of cycle 1 or at the beginning of cycle 2 (since the peri-menstrual phase spans between -3 days before menses onset to cycle day +2 menses onset, where cycle day +1 is the day of menses onset). A calendar visualisation of our scheduling system across two menstrual cycles is available in </w:t>
      </w:r>
      <w:r w:rsidR="0016770F">
        <w:t xml:space="preserve">the </w:t>
      </w:r>
      <w:r w:rsidR="0016770F">
        <w:rPr>
          <w:i/>
          <w:iCs/>
        </w:rPr>
        <w:t>Supplementary materials (</w:t>
      </w:r>
      <w:r w:rsidRPr="0016770F">
        <w:rPr>
          <w:i/>
          <w:iCs/>
        </w:rPr>
        <w:t xml:space="preserve">Figure </w:t>
      </w:r>
      <w:r w:rsidR="0016770F" w:rsidRPr="0016770F">
        <w:rPr>
          <w:i/>
          <w:iCs/>
        </w:rPr>
        <w:t>S</w:t>
      </w:r>
      <w:r w:rsidR="00105E83">
        <w:rPr>
          <w:i/>
          <w:iCs/>
        </w:rPr>
        <w:t>5</w:t>
      </w:r>
      <w:r w:rsidR="0016770F">
        <w:t>)</w:t>
      </w:r>
      <w:r>
        <w:t xml:space="preserve">. </w:t>
      </w:r>
    </w:p>
    <w:p w14:paraId="28AF0D72" w14:textId="04254F22" w:rsidR="00E0208E" w:rsidRPr="00F66880" w:rsidRDefault="5CE66923" w:rsidP="5CE66923">
      <w:pPr>
        <w:rPr>
          <w:b/>
          <w:bCs/>
          <w:i/>
          <w:iCs/>
        </w:rPr>
      </w:pPr>
      <w:r>
        <w:t>Participants will test for E2 and LH at home starting four days prior to their earliest estimated possible ovulation day. The earliest possible ovulation day is calculated by subtracting 14 days (</w:t>
      </w:r>
      <w:proofErr w:type="gramStart"/>
      <w:r>
        <w:t>i.e.</w:t>
      </w:r>
      <w:proofErr w:type="gramEnd"/>
      <w:r>
        <w:t xml:space="preserve"> typical luteal phase duration) from the shortest cycle length of their last six menstrual cycles. Once the test detects a rise in E2, the pre-scheduled peri-ovulatory experimental session will be confirmed. Participants will continue to test until obtaining a positive LH result to verify an ovulatory cycle. Following this, the mid-luteal session is </w:t>
      </w:r>
      <w:r>
        <w:lastRenderedPageBreak/>
        <w:t xml:space="preserve">scheduled between days +6 to +10 and the peri-menstrual session between days +12 to +16, where day 0 is the LH-positive day. If the peri-menstrual session falls on day +1 of the cycle and the participant is experiencing dysmenorrhea (based on entries on </w:t>
      </w:r>
      <w:r w:rsidRPr="5CE66923">
        <w:rPr>
          <w:i/>
          <w:iCs/>
        </w:rPr>
        <w:t>Pill intake and menses onset logging</w:t>
      </w:r>
      <w:r>
        <w:t xml:space="preserve">, details in </w:t>
      </w:r>
      <w:r w:rsidRPr="5CE66923">
        <w:rPr>
          <w:i/>
          <w:iCs/>
        </w:rPr>
        <w:t>Continuous measurements</w:t>
      </w:r>
      <w:r>
        <w:t xml:space="preserve">) to an extent that makes participation unpleasant, the peri-menstrual experimental session will be rescheduled. Participants will also report the onset of their next menses (start date of cycle 2, entries on the </w:t>
      </w:r>
      <w:r w:rsidRPr="5CE66923">
        <w:rPr>
          <w:i/>
          <w:iCs/>
        </w:rPr>
        <w:t>Pill intake and menses onset logging</w:t>
      </w:r>
      <w:r>
        <w:t>), and the mid-follicular phase will be scheduled between days +4 to +</w:t>
      </w:r>
      <w:r w:rsidR="00114295">
        <w:t>8</w:t>
      </w:r>
      <w:r>
        <w:t xml:space="preserve"> days from menses onset (menses onset = day +1). Participants then repeat ovulation testing in cycle 2 to confirm it is ovulatory, as an anovulatory cycle could affect mid-follicular hormone levels </w:t>
      </w:r>
      <w:r w:rsidR="00E0208E">
        <w:fldChar w:fldCharType="begin"/>
      </w:r>
      <w:r w:rsidR="0092047F">
        <w:instrText xml:space="preserve"> ADDIN ZOTERO_ITEM CSL_CITATION {"citationID":"doavGtbJ","properties":{"formattedCitation":"(Hambridge et al., 2013)","plainCitation":"(Hambridge et al., 2013)","noteIndex":0},"citationItems":[{"id":9158,"uris":["http://zotero.org/users/11330488/items/U35I85JC"],"itemData":{"id":9158,"type":"article-journal","abstract":"STUDY QUESTION\nDo ovulatory hormone profiles among healthy premenopausal women differ between women with and without sporadic anovulation?\n\nSUMMARY ANSWER\nWomen with one anovulatory cycle tended to have lower estradiol, progesterone and LH peak levels during their ovulatory cycle.\n\nWHAT IS KNOWN ALREADY\nAnovulation occurs sporadically in healthy premenopausal women, but the influence of hormones in a preceding cycle and the impact on a subsequent cycle's hormone levels is unknown.\n\nSTUDY DESIGN, SIZE, DURATION\nThe BioCycle Study was a prospective cohort including 250 healthy regularly menstruating women, 18–44 years of age, from Western New York with no history of menstrual or ovulation disorders. The women were followed with up to eight study visits per cycle for two cycles, most of which were consecutive.\n\nPARTICIPANTS/MATERIALS, SETTING AND METHODS\nAll study visits were timed to menstrual cycle phase using fertility monitors and located at the University at Buffalo women's health research center from 2005 to 2007. The main outcomes measured were estradiol, progesterone, LH and follicle-stimulating hormone levels in serum at up to 16 visits over two cycles. Anovulation was defined as peak serum progesterone concentrations ≤5 ng/ml and no serum LH peak detected during the mid- or late-luteal phase visit.\n\nMAIN RESULTS AND THE ROLE OF CHANCE\nReproductive hormone concentrations were lower during anovulatory cycles, but significant reductions were also observed in estradiol (−25%, P = 0.003) and progesterone (−22%, P = 0.001) during the ovulatory cycles of women with one anovulatory cycle compared with women with two ovulatory cycles. LH peak concentrations were decreased in the ovulatory cycle of women with an anovulatory cycle (significant amplitude effect, P = 0.004; geometric mean levels 38% lower, P &lt; 0.05).\n\nLIMITATIONS, REASONS FOR CAUTION\nFollow-up was limited to two menstrual cycles, and no ultrasound assessment of ovulation was available. Data were missing for a total of 168 of a possible 4072 cycle visits (4.1%), though all women had at least five visits per cycle (94% had seven or more per cycle).\n\nWIDER IMPLICATIONS OF THE FINDINGS\nThese results suggest a possible underlying cause of anovulation, such as a longer-term subclinical follicular, ovarian or hypothalamic/pituitary dysfunction, even among healthy, regularly menstruating women.\n\nSTUDY FUNDING/COMPETING INTERESTS\nThis work was supported by the Intramural Research Program of the Eunice Kennedy Shriver National Institute of Child Health and Human Development, National Institutes of Health, Bethesda, MD (Contract no. HHSN275200403394C). The authors have no potential competing interests.","container-title":"Human Reproduction (Oxford, England)","DOI":"10.1093/humrep/det090","ISSN":"0268-1161","issue":"6","journalAbbreviation":"Hum Reprod","note":"PMID: 23589536\nPMCID: PMC3657125","page":"1687-1694","source":"PubMed Central","title":"The influence of sporadic anovulation on hormone levels in ovulatory cycles","volume":"28","author":[{"family":"Hambridge","given":"H.L."},{"family":"Mumford","given":"S.L."},{"family":"Mattison","given":"D.R."},{"family":"Ye","given":"A."},{"family":"Pollack","given":"A.Z."},{"family":"Bloom","given":"M.S."},{"family":"Mendola","given":"P."},{"family":"Lynch","given":"K.L."},{"family":"Wactawski-Wende","given":"J."},{"family":"Schisterman","given":"E.F."}],"issued":{"date-parts":[["2013",6]]}}}],"schema":"https://github.com/citation-style-language/schema/raw/master/csl-citation.json"} </w:instrText>
      </w:r>
      <w:r w:rsidR="00E0208E">
        <w:fldChar w:fldCharType="separate"/>
      </w:r>
      <w:r w:rsidRPr="5CE66923">
        <w:rPr>
          <w:rFonts w:cs="Arial"/>
        </w:rPr>
        <w:t>(Hambridge et al., 2013)</w:t>
      </w:r>
      <w:r w:rsidR="00E0208E">
        <w:fldChar w:fldCharType="end"/>
      </w:r>
      <w:r>
        <w:t xml:space="preserve">. Finally, participants report the onset of their next menses (start of cycle 3) to complete cycle tracking. </w:t>
      </w:r>
    </w:p>
    <w:p w14:paraId="5EA38842" w14:textId="77777777" w:rsidR="00E0208E" w:rsidRPr="00A06A1C" w:rsidRDefault="00E0208E" w:rsidP="00A06A1C">
      <w:pPr>
        <w:pStyle w:val="Heading4"/>
      </w:pPr>
      <w:r w:rsidRPr="00A06A1C">
        <w:t>Oral contraceptive (MCOC) group and males (HM) group</w:t>
      </w:r>
    </w:p>
    <w:p w14:paraId="42AF3A02" w14:textId="7C30874D" w:rsidR="00E0208E" w:rsidRDefault="00E0208E" w:rsidP="00A06A1C">
      <w:r>
        <w:t xml:space="preserve">At screening, participants </w:t>
      </w:r>
      <w:r w:rsidR="00105E83">
        <w:t xml:space="preserve">in the MCOC and HM groups </w:t>
      </w:r>
      <w:r>
        <w:t>will be allowed to choose one day of the week for the experimental session to take place out of a choice of two (</w:t>
      </w:r>
      <w:proofErr w:type="gramStart"/>
      <w:r>
        <w:t>e.g.</w:t>
      </w:r>
      <w:proofErr w:type="gramEnd"/>
      <w:r>
        <w:t xml:space="preserve"> either Mondays or Thursdays). Once a day of the week has been selected, they will come to the laboratory once a week for five consecutive weeks on this chosen day (one dim light control and four experimental sessions). The first experimental session will be scheduled at least five days from the in-person screening. For the MCOC group, since the pill cycle has a length of 28 days, we will be able to capture a whole pill cycle, including three experimental sessions during the active phase (</w:t>
      </w:r>
      <w:proofErr w:type="gramStart"/>
      <w:r>
        <w:t>i.e.</w:t>
      </w:r>
      <w:proofErr w:type="gramEnd"/>
      <w:r>
        <w:t xml:space="preserve"> oral contraceptive pill intake), and one during the inactive phase (i.e. placebo pill intake) (Figure 1B).</w:t>
      </w:r>
    </w:p>
    <w:p w14:paraId="575141C8" w14:textId="49E39B6A" w:rsidR="00E0208E" w:rsidRPr="00A06A1C" w:rsidRDefault="00E0208E" w:rsidP="00A06A1C">
      <w:pPr>
        <w:pStyle w:val="figure-legend"/>
      </w:pPr>
      <w:r>
        <w:rPr>
          <w:noProof/>
        </w:rPr>
        <w:lastRenderedPageBreak/>
        <w:drawing>
          <wp:inline distT="0" distB="0" distL="0" distR="0" wp14:anchorId="185C168D" wp14:editId="3AE37091">
            <wp:extent cx="5728999" cy="48780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8999" cy="4878000"/>
                    </a:xfrm>
                    <a:prstGeom prst="rect">
                      <a:avLst/>
                    </a:prstGeom>
                  </pic:spPr>
                </pic:pic>
              </a:graphicData>
            </a:graphic>
          </wp:inline>
        </w:drawing>
      </w:r>
      <w:r w:rsidRPr="00A06A1C">
        <w:br/>
        <w:t xml:space="preserve">Figure 1: Bright light experimental sessions for NC and MCOC groups. </w:t>
      </w:r>
      <w:r w:rsidRPr="00114295">
        <w:rPr>
          <w:b/>
          <w:bCs/>
        </w:rPr>
        <w:t>(A)</w:t>
      </w:r>
      <w:r w:rsidRPr="00A06A1C">
        <w:t xml:space="preserve"> Example experimental sessions for an NC group participant. Experimental sessions will be scheduled starting from the peri-ovulatory phase (1). A provisional date for this session will be scheduled in advance based on the calendar method and confirmed by at least one day of a positive E2 test. The experimental session will take place latest on day +1 from a positive LH test. The day of the positive LH test will determine the date for the mid-luteal phase session (2) and the peri-menstrual session (3). Once menses onset (day +1 of cycle 2) is confirmed by the participant, the mid-follicular phase will be scheduled (4). </w:t>
      </w:r>
      <w:r w:rsidRPr="00114295">
        <w:rPr>
          <w:b/>
          <w:bCs/>
        </w:rPr>
        <w:t>(B)</w:t>
      </w:r>
      <w:r w:rsidRPr="00A06A1C">
        <w:t xml:space="preserve"> Example experimental sessions for </w:t>
      </w:r>
      <w:r w:rsidR="00114295">
        <w:t>an</w:t>
      </w:r>
      <w:r w:rsidR="00114295" w:rsidRPr="00A06A1C">
        <w:t xml:space="preserve"> </w:t>
      </w:r>
      <w:r w:rsidRPr="00A06A1C">
        <w:t xml:space="preserve">MCOC group participant. Experimental sessions will be scheduled starting at a random point in their pill cycle (here: starting during the first active phase week). Experimental sessions will be scheduled weekly on the same day during three weeks of </w:t>
      </w:r>
      <w:r w:rsidR="00114295">
        <w:t xml:space="preserve">the </w:t>
      </w:r>
      <w:r w:rsidRPr="00A06A1C">
        <w:t xml:space="preserve">active phase (1, 2 and 3), and during the inactive phase (4). </w:t>
      </w:r>
      <w:r>
        <w:t xml:space="preserve">This exemplary figure was made using BioRender.com. </w:t>
      </w:r>
    </w:p>
    <w:p w14:paraId="63557470" w14:textId="77777777" w:rsidR="00E0208E" w:rsidRPr="00A06A1C" w:rsidRDefault="00E0208E" w:rsidP="00A06A1C">
      <w:pPr>
        <w:pStyle w:val="Heading4"/>
      </w:pPr>
      <w:r w:rsidRPr="00A06A1C">
        <w:t>Randomisation of experimental sessions and blinding</w:t>
      </w:r>
    </w:p>
    <w:p w14:paraId="6060E445" w14:textId="4CD1F600" w:rsidR="00E0208E" w:rsidRPr="007A0923" w:rsidRDefault="00E0208E" w:rsidP="00A06A1C">
      <w:r>
        <w:t xml:space="preserve">This study comprises five experimental sessions: four experimental sessions with bright light exposure, and one dim light control session with no light exposure. The dim light control will always be the first experimental session for all groups. For the NC group, this will be performed at a random time point of menstrual cycle 0, as explained above (see </w:t>
      </w:r>
      <w:r>
        <w:rPr>
          <w:i/>
          <w:iCs/>
        </w:rPr>
        <w:t xml:space="preserve">Naturally </w:t>
      </w:r>
      <w:r w:rsidRPr="00B032C5">
        <w:rPr>
          <w:i/>
          <w:iCs/>
        </w:rPr>
        <w:t>cycling individuals</w:t>
      </w:r>
      <w:r>
        <w:t xml:space="preserve">). For the MCOC and HM groups, this will be performed as the first weekly experimental session out of the five sessions. The following four experimental sessions will be bright light exposure sessions (one for each target menstrual cycle and pill cycle phases for the NC and MCOC groups). While this system prevents the researcher from being blind to </w:t>
      </w:r>
      <w:r>
        <w:lastRenderedPageBreak/>
        <w:t xml:space="preserve">the experimental condition (dim light control or bright light exposure), it ensures that the dim light control occurs at a random menstrual and pill cycle phase for each participant of the NC and MCOC groups. This is important because it ensures that a specific hormonal profile does not influence the dim light control session, which could influence the melatonin suppression calculated for the bright light exposure sessions. </w:t>
      </w:r>
    </w:p>
    <w:p w14:paraId="00222760" w14:textId="77777777" w:rsidR="00E0208E" w:rsidRPr="00A06A1C" w:rsidRDefault="00E0208E" w:rsidP="00A06A1C">
      <w:pPr>
        <w:pStyle w:val="Heading3"/>
      </w:pPr>
      <w:r w:rsidRPr="00A06A1C">
        <w:t>Circadian stabilisation</w:t>
      </w:r>
    </w:p>
    <w:p w14:paraId="394D4E77" w14:textId="54E41BD7" w:rsidR="00E0208E" w:rsidRPr="00325E52" w:rsidRDefault="5CE66923" w:rsidP="00A06A1C">
      <w:pPr>
        <w:rPr>
          <w:i/>
          <w:iCs/>
        </w:rPr>
      </w:pPr>
      <w:r>
        <w:t xml:space="preserve">Participants will be asked to follow a regular sleep/wake cycle schedule (16 hours wake, 8 hours sleep, with </w:t>
      </w:r>
      <w:r w:rsidRPr="5CE66923">
        <w:rPr>
          <w:rFonts w:cs="Arial"/>
        </w:rPr>
        <w:t>±</w:t>
      </w:r>
      <w:r>
        <w:t xml:space="preserve">30 minutes deviation allowed) from at least five days prior to the first experimental session until the last experimental session. This sleep/wake schedule will be self-selected during the in-person screening. For the MCOC and HM groups, this one week of circadian stabilisation will be followed by five experimental weeks, with one experimental session for each week. For the NC group, there will be a variable time between the first experimental session (dim light control during cycle 0) and the bright light experimental sessions, depending on when the in-person screening during cycle 0 will take place. Participants will keep a regular sleep/wake cycle for at least five days prior to the dim light control session, and then again at least five days prior to the earliest expected peri-ovulatory experimental session. Adherence to this schedule will be monitored continuously using self-reported sleep and wake times (see </w:t>
      </w:r>
      <w:r w:rsidRPr="5CE66923">
        <w:rPr>
          <w:i/>
          <w:iCs/>
        </w:rPr>
        <w:t>Morning sleep diary</w:t>
      </w:r>
      <w:r>
        <w:t xml:space="preserve">), as well as a visual check of actimetry, light exposure and skin temperature data prior to each experimental session. On the morning after an experimental session, participants will be allowed to sleep two hours longer than their self-selected schedule. </w:t>
      </w:r>
      <w:r w:rsidR="00325E52">
        <w:t>Stopping criteria for non-compliance with the selected sleep/wake schedule are outlined in</w:t>
      </w:r>
      <w:r w:rsidR="00105E83">
        <w:t xml:space="preserve"> the</w:t>
      </w:r>
      <w:r w:rsidR="00325E52">
        <w:t xml:space="preserve"> </w:t>
      </w:r>
      <w:r w:rsidR="00325E52">
        <w:rPr>
          <w:i/>
          <w:iCs/>
        </w:rPr>
        <w:t>Supplementary materials (Table S2).</w:t>
      </w:r>
    </w:p>
    <w:p w14:paraId="65C7F4BC" w14:textId="77777777" w:rsidR="00E0208E" w:rsidRPr="00A06A1C" w:rsidRDefault="00E0208E" w:rsidP="00A06A1C">
      <w:pPr>
        <w:pStyle w:val="Heading3"/>
      </w:pPr>
      <w:r w:rsidRPr="00A06A1C">
        <w:t>In-laboratory experimental procedure</w:t>
      </w:r>
    </w:p>
    <w:p w14:paraId="4304BFCA" w14:textId="2DDDF02B" w:rsidR="00E0208E" w:rsidRDefault="5CE66923">
      <w:r>
        <w:t xml:space="preserve">Participants will arrive at the laboratory seven hours prior to their habitual bedtime (HBT). After compliance with their self-selected sleep-wake schedule is verified, they will first undergo alcohol and tetrahydrocannabinol (THC) screening using a urine multidrug test (Drug-Screen Multi 5, </w:t>
      </w:r>
      <w:proofErr w:type="spellStart"/>
      <w:r>
        <w:t>nal</w:t>
      </w:r>
      <w:proofErr w:type="spellEnd"/>
      <w:r>
        <w:t xml:space="preserve"> von </w:t>
      </w:r>
      <w:proofErr w:type="spellStart"/>
      <w:r>
        <w:t>minden</w:t>
      </w:r>
      <w:proofErr w:type="spellEnd"/>
      <w:r>
        <w:t xml:space="preserve"> GmbH, Moers, Germany) and a breath analyser (Breathalyzer, ACE Instruments GmbH, </w:t>
      </w:r>
      <w:proofErr w:type="spellStart"/>
      <w:r>
        <w:t>Freilassing</w:t>
      </w:r>
      <w:proofErr w:type="spellEnd"/>
      <w:r>
        <w:t xml:space="preserve">, Germany), respectively. Then, participants will take turns to undergo pupillometry measurements with the </w:t>
      </w:r>
      <w:proofErr w:type="spellStart"/>
      <w:r>
        <w:t>retinaWISE</w:t>
      </w:r>
      <w:proofErr w:type="spellEnd"/>
      <w:r>
        <w:t xml:space="preserve"> instrument </w:t>
      </w:r>
      <w:r w:rsidR="00E0208E">
        <w:fldChar w:fldCharType="begin"/>
      </w:r>
      <w:r w:rsidR="0092047F">
        <w:instrText xml:space="preserve"> ADDIN ZOTERO_ITEM CSL_CITATION {"citationID":"wC1ZrAuU","properties":{"formattedCitation":"(Gibertoni et al., 2024)","plainCitation":"(Gibertoni et al., 2024)","noteIndex":0},"citationItems":[{"id":8180,"uris":["http://zotero.org/users/11330488/items/G5MZK7XR"],"itemData":{"id":8180,"type":"article-journal","abstract":"Recent advancements in clinical research have identified the need to combine pupillometry with a selective stimulation of the eye’s photoreceptor cell types to broaden retinal and neuroretinal health assessment opportunities. Our thorough analysis of the literature revealed the technological gaps that currently restrict and hinder the effective utilization of a method acknowledged to hold great potential. The available devices do not adequately stimulate the photoreceptor types with enough contrast and do not guarantee seamless device function integration, which would enable advanced data analysis. RetinaWISE is an advanced silencing pupillometry device that addresses these deficiencies. It combines a Maxwellian optical arrangement with advanced retinal stimulation, allowing for calibrated standard measurements to generate advanced and consistent results across multiple sites. The device holds a Class 1 CE marking under EU regulation 2017/745, thus facilitating clinical research progress.","container-title":"Diagnostics","DOI":"10.3390/diagnostics14171940","ISSN":"2075-4418","issue":"17","language":"en","license":"http://creativecommons.org/licenses/by/3.0/","note":"number: 17\npublisher: Multidisciplinary Digital Publishing Institute","page":"1940","source":"www.mdpi.com","title":"Development of an Innovative Pupillometer Able to Selectively Stimulate the Eye’s Fundus Photoreceptor Cells","volume":"14","author":[{"family":"Gibertoni","given":"Giovanni"},{"family":"Hromov","given":"Anton"},{"family":"Piffaretti","given":"Filippo"},{"family":"Geiser","given":"Martial H."}],"issued":{"date-parts":[["2024",1]]}}}],"schema":"https://github.com/citation-style-language/schema/raw/master/csl-citation.json"} </w:instrText>
      </w:r>
      <w:r w:rsidR="00E0208E">
        <w:fldChar w:fldCharType="separate"/>
      </w:r>
      <w:r w:rsidRPr="5CE66923">
        <w:rPr>
          <w:rFonts w:cs="Arial"/>
        </w:rPr>
        <w:t>(</w:t>
      </w:r>
      <w:proofErr w:type="spellStart"/>
      <w:r w:rsidRPr="5CE66923">
        <w:rPr>
          <w:rFonts w:cs="Arial"/>
        </w:rPr>
        <w:t>Gibertoni</w:t>
      </w:r>
      <w:proofErr w:type="spellEnd"/>
      <w:r w:rsidRPr="5CE66923">
        <w:rPr>
          <w:rFonts w:cs="Arial"/>
        </w:rPr>
        <w:t xml:space="preserve"> et al., 2024)</w:t>
      </w:r>
      <w:r w:rsidR="00E0208E">
        <w:fldChar w:fldCharType="end"/>
      </w:r>
      <w:r>
        <w:t xml:space="preserve"> in a custom-made dark experimental tent. Light levels in the tent during stimulus delivery via this instrument will be kept to a minimum (&lt;1 </w:t>
      </w:r>
      <w:proofErr w:type="spellStart"/>
      <w:r>
        <w:t>melanopic</w:t>
      </w:r>
      <w:proofErr w:type="spellEnd"/>
      <w:r>
        <w:t xml:space="preserve"> EDI lux). While waiting for their turn to undergo pupillometry measurements, participants will sit in a private, dimly lit booth (&lt;10 </w:t>
      </w:r>
      <w:proofErr w:type="spellStart"/>
      <w:r>
        <w:t>melanopic</w:t>
      </w:r>
      <w:proofErr w:type="spellEnd"/>
      <w:r>
        <w:t xml:space="preserve"> EDI lux) and consume a previously selected meal from </w:t>
      </w:r>
      <w:proofErr w:type="spellStart"/>
      <w:r>
        <w:t>Huel</w:t>
      </w:r>
      <w:proofErr w:type="spellEnd"/>
      <w:r>
        <w:t xml:space="preserve"> (choice between Chicken Mushroom Pasta flavour and Thai Green Curry flavour; Hot &amp; Savoury Pots, </w:t>
      </w:r>
      <w:proofErr w:type="spellStart"/>
      <w:r>
        <w:t>Huel</w:t>
      </w:r>
      <w:proofErr w:type="spellEnd"/>
      <w:r>
        <w:t xml:space="preserve"> Ltd., Tring, Hertfordshire, United Kingdom). The selected flavour will be kept constant </w:t>
      </w:r>
      <w:r>
        <w:lastRenderedPageBreak/>
        <w:t>throughout the five experimental sessions, and participants will rinse their mouths with water after finishing the meal. After having completed the pupillometry measurements, participants will stay in their private booth and be allowed to read, write, draw, or listen to podcasts or audiobooks through in-ear headphones. Four hours prior to HBT, the dim light exposure lasting 120 minutes will start. After 90 minutes of dim light exposure, participants’ pupils will be dilated using eye drops (</w:t>
      </w:r>
      <w:proofErr w:type="spellStart"/>
      <w:r>
        <w:t>Mydriaticum</w:t>
      </w:r>
      <w:proofErr w:type="spellEnd"/>
      <w:r>
        <w:t xml:space="preserve"> </w:t>
      </w:r>
      <w:proofErr w:type="spellStart"/>
      <w:r>
        <w:t>Stulln</w:t>
      </w:r>
      <w:proofErr w:type="spellEnd"/>
      <w:r w:rsidRPr="5CE66923">
        <w:rPr>
          <w:rFonts w:cs="Arial"/>
        </w:rPr>
        <w:t>®</w:t>
      </w:r>
      <w:r>
        <w:t xml:space="preserve">, Tropicamide 5 mg/1 ml, Pharma </w:t>
      </w:r>
      <w:proofErr w:type="spellStart"/>
      <w:r>
        <w:t>Stulln</w:t>
      </w:r>
      <w:proofErr w:type="spellEnd"/>
      <w:r>
        <w:t xml:space="preserve"> GmbH, </w:t>
      </w:r>
      <w:proofErr w:type="spellStart"/>
      <w:r>
        <w:t>Stulln</w:t>
      </w:r>
      <w:proofErr w:type="spellEnd"/>
      <w:r>
        <w:t xml:space="preserve">, Germany). Half an hour later, </w:t>
      </w:r>
      <w:proofErr w:type="gramStart"/>
      <w:r>
        <w:t>i.e.</w:t>
      </w:r>
      <w:proofErr w:type="gramEnd"/>
      <w:r>
        <w:t xml:space="preserve"> at two hours prior to HBT, a blood draw will be taken and immediately after, participants will wear a virtual reality (VR) headset to view either a bright light of </w:t>
      </w:r>
      <w:r w:rsidR="00325E52">
        <w:t xml:space="preserve">~90 </w:t>
      </w:r>
      <w:r>
        <w:t xml:space="preserve">lux </w:t>
      </w:r>
      <w:proofErr w:type="spellStart"/>
      <w:r>
        <w:t>melanopic</w:t>
      </w:r>
      <w:proofErr w:type="spellEnd"/>
      <w:r>
        <w:t xml:space="preserve"> EDI (n=4 experimental sessions) or a dark stimulus of &lt;1 lux </w:t>
      </w:r>
      <w:proofErr w:type="spellStart"/>
      <w:r>
        <w:t>melanopic</w:t>
      </w:r>
      <w:proofErr w:type="spellEnd"/>
      <w:r>
        <w:t xml:space="preserve"> EDI (n=1 dim light control session). At the end of these two hours (</w:t>
      </w:r>
      <w:proofErr w:type="gramStart"/>
      <w:r>
        <w:t>i.e.</w:t>
      </w:r>
      <w:proofErr w:type="gramEnd"/>
      <w:r>
        <w:t xml:space="preserve"> at HBT), participants will remove the headsets, undergo a second blood draw, and </w:t>
      </w:r>
      <w:r w:rsidR="00325E52">
        <w:t>sit in their experimental booth (</w:t>
      </w:r>
      <w:r>
        <w:t xml:space="preserve">&lt;10 lux </w:t>
      </w:r>
      <w:proofErr w:type="spellStart"/>
      <w:r>
        <w:t>melanopic</w:t>
      </w:r>
      <w:proofErr w:type="spellEnd"/>
      <w:r>
        <w:t xml:space="preserve"> EDI</w:t>
      </w:r>
      <w:r w:rsidR="00325E52">
        <w:t>)</w:t>
      </w:r>
      <w:r>
        <w:t>. After one hour in this condition, the experimental session will be finished, and participants can return home. For this, given the late time in the evening, a taxi service will be offered to them.</w:t>
      </w:r>
    </w:p>
    <w:p w14:paraId="283E8D03" w14:textId="2E2CB5C6" w:rsidR="00E0208E" w:rsidRPr="00F42FAA" w:rsidRDefault="5CE66923" w:rsidP="00A06A1C">
      <w:r>
        <w:t xml:space="preserve"> Salivary samples for melatonin analysis will be collected every 30 minutes throughout the experimental session, starting five hours prior to HBT. From four hours to two hours before HBT, the sampling schedule will be organised in 30</w:t>
      </w:r>
      <w:r w:rsidR="00105E83">
        <w:t>–</w:t>
      </w:r>
      <w:r>
        <w:t xml:space="preserve">minute “blocks” as follows (see Figure 1 inset A). Each block will start with a salivary sample, followed by three brief </w:t>
      </w:r>
      <w:proofErr w:type="spellStart"/>
      <w:r>
        <w:t>neurobehavioural</w:t>
      </w:r>
      <w:proofErr w:type="spellEnd"/>
      <w:r>
        <w:t xml:space="preserve"> questionnaires about participants’ alertness, mood and visual discomfort. After this, participants will have a short break during which they will be able to drink water and use the bathroom. The time spent providing the salivary samples, filling in the questionnaires, and having free time for the break will be 10 minutes, meaning that the exact break length will depend on how long participants take for the first two tasks. After the break, participants will remain in their private room in dim light, free to read, write, listen to music and podcasts via in-ear headphones for 20 minutes. From two hours prior to HBT to HBT, the same structure of this 30</w:t>
      </w:r>
      <w:r w:rsidR="00105E83">
        <w:t>–</w:t>
      </w:r>
      <w:r>
        <w:t>minute experimental block will be kept, with the only difference being that after the break, participants will wear the VR headset to be exposed to bright light (n=4 sessions), or the dim light control (n=1 session), for 20 minutes (Figure 1, inset B1 and B2, respectively). A total of four 20</w:t>
      </w:r>
      <w:r w:rsidR="00105E83">
        <w:t>–</w:t>
      </w:r>
      <w:r>
        <w:t xml:space="preserve">minute bright light exposures (n=4 sessions) or dim light exposures (n=1 session) will be achieved during these two hours. During this time, participants will be able to listen to music or podcasts using in-ear headphones. For the hour in dim light after HBT, the sampling schedule will be identical to that prior to the light exposure. Throughout the evening, participants will have no access to screens or light sources other than those included in the experimental protocol. They will be asked to keep their phones in their bags. Furthermore, based on the title, the researcher will confirm that the content of any podcast, music or books used by participants is not of a sexual, soporific, or horror nature at the beginning of each </w:t>
      </w:r>
      <w:r>
        <w:lastRenderedPageBreak/>
        <w:t xml:space="preserve">experimental session. If participants need to leave their private room during the break to use the bathrooms and/or drink, they will wear red-tinted glasses to limit light exposure. The light in the hallways and bathroom will be kept at &lt;10 lux </w:t>
      </w:r>
      <w:proofErr w:type="spellStart"/>
      <w:r>
        <w:t>melanopic</w:t>
      </w:r>
      <w:proofErr w:type="spellEnd"/>
      <w:r>
        <w:t xml:space="preserve"> EDI.</w:t>
      </w:r>
    </w:p>
    <w:p w14:paraId="02B483C3" w14:textId="106EC2A0" w:rsidR="00E0208E" w:rsidRPr="00A06A1C" w:rsidRDefault="00E0208E" w:rsidP="00973CE3">
      <w:pPr>
        <w:pStyle w:val="figure-legend"/>
      </w:pPr>
      <w:r>
        <w:rPr>
          <w:noProof/>
        </w:rPr>
        <w:drawing>
          <wp:inline distT="0" distB="0" distL="0" distR="0" wp14:anchorId="0526CFAA" wp14:editId="072FFB19">
            <wp:extent cx="5731510" cy="32562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3256280"/>
                    </a:xfrm>
                    <a:prstGeom prst="rect">
                      <a:avLst/>
                    </a:prstGeom>
                  </pic:spPr>
                </pic:pic>
              </a:graphicData>
            </a:graphic>
          </wp:inline>
        </w:drawing>
      </w:r>
      <w:r>
        <w:br/>
      </w:r>
      <w:r w:rsidR="5CE66923">
        <w:t xml:space="preserve">Figure 2. Experimental protocol for evening sessions. Participants will arrive in the laboratory 7 hours prior to HBT and end the experiment one hour after HBT. From 4 hours to 2 prior to HBT, the sampling schedule will be organised in </w:t>
      </w:r>
      <w:r w:rsidR="00105E83">
        <w:t>30–minute</w:t>
      </w:r>
      <w:r w:rsidR="5CE66923">
        <w:t xml:space="preserve"> blocks, starting with the salivary samples, </w:t>
      </w:r>
      <w:proofErr w:type="spellStart"/>
      <w:r w:rsidR="5CE66923">
        <w:t>neurobehavioural</w:t>
      </w:r>
      <w:proofErr w:type="spellEnd"/>
      <w:r w:rsidR="5CE66923">
        <w:t xml:space="preserve"> questionnaires, a short break, followed by 20 minutes in dim light (inset A). The same sampling schedule will be kept during bright light exposure; however, here, the salivary samples, questionnaires, and breaks will be followed by a </w:t>
      </w:r>
      <w:r w:rsidR="00105E83">
        <w:t>20–minute</w:t>
      </w:r>
      <w:r w:rsidR="5CE66923">
        <w:t xml:space="preserve"> delivery of the bright light stimulus via the VR headset (inset B1). Note that for the dim light control session (n=1), participants will wear the VR headset but receive a light stimulus of intensity &lt;1 lux (inset B2). </w:t>
      </w:r>
    </w:p>
    <w:p w14:paraId="622F70E2" w14:textId="600901D2" w:rsidR="00E0208E" w:rsidRPr="00A06A1C" w:rsidRDefault="5CE66923" w:rsidP="00A06A1C">
      <w:pPr>
        <w:pStyle w:val="Heading3"/>
      </w:pPr>
      <w:r>
        <w:t xml:space="preserve">Light exposure stimuli </w:t>
      </w:r>
    </w:p>
    <w:p w14:paraId="510A6BEA" w14:textId="7E6C3AAF" w:rsidR="00E0208E" w:rsidRDefault="5CE66923" w:rsidP="5CE66923">
      <w:r>
        <w:t xml:space="preserve">Light exposure will be delivered at the vertical plane using a VR head-mounted display (HTC </w:t>
      </w:r>
      <w:proofErr w:type="spellStart"/>
      <w:r>
        <w:t>Vive</w:t>
      </w:r>
      <w:proofErr w:type="spellEnd"/>
      <w:r>
        <w:t xml:space="preserve"> Pro Eye, HTC, Taiwan). This device comprises a binocular display with an in-built eye tracking technology (</w:t>
      </w:r>
      <w:proofErr w:type="spellStart"/>
      <w:r>
        <w:t>Tobii</w:t>
      </w:r>
      <w:proofErr w:type="spellEnd"/>
      <w:r>
        <w:t xml:space="preserve"> eye tracker, Sweden) for real-time pupillometry and eye-movement measurements. The distance between the display and participants’ eyes is variable as it depends on anatomical features. Furthermore, participants will need to adjust the height of the headset on the face and the interpupillary distance at the beginning of each experimental session as part of the in-built calibration procedure of the eye tracker. Light stimuli will be created using the licensed software Vizard 7 from </w:t>
      </w:r>
      <w:proofErr w:type="spellStart"/>
      <w:r>
        <w:t>WorldViz</w:t>
      </w:r>
      <w:proofErr w:type="spellEnd"/>
      <w:r>
        <w:t xml:space="preserve"> (Santa Barbara, CA, USA), which involves Python code for stimulus presentation. A detailed report on light stimuli delivery with this set-up and validation for melatonin suppression studies has been described by </w:t>
      </w:r>
      <w:r w:rsidR="00E0208E">
        <w:fldChar w:fldCharType="begin"/>
      </w:r>
      <w:r w:rsidR="00DA4730">
        <w:instrText xml:space="preserve"> ADDIN ZOTERO_ITEM CSL_CITATION {"citationID":"XXvbLAlh","properties":{"formattedCitation":"(Fernandez-Alonso &amp; Spitschan, 2025)","plainCitation":"(Fernandez-Alonso &amp; Spitschan, 2025)","dontUpdate":true,"noteIndex":0},"citationItems":[{"id":9940,"uris":["http://zotero.org/users/11330488/items/Q8XBBQKZ"],"itemData":{"id":9940,"type":"article-journal","abstract":"Light influences human physiology profoundly, affecting the circadian clock and suppressing the endogenous hormone melatonin. Experimental studies often employ either homogenous full-field stimulation, or overhead illumination, which are hard to standardize across studies and laboratories. Here, we present a novel technique to examine nonvisual responses to light using virtual-reality (VR) head-mounted displays (HMDs) for delivering standardized and calibrated light stimuli to observers in a reproducible and controlled manner. We find that VR HMDs are well-suited for delivering standardized stimuli defined in luminance and across time, with excellent properties up to 10 Hz. We examine melatonin suppression to continuous luminance-defined light stimuli in a sample of healthy participants (n = 32, mean ± SD age: 27.2 ± 5.6), and find robust melatonin suppression in 24 out of 32 participants (75% of the sample). Our findings demonstrate that VR HMDs are well-suited for studying the mechanisms underlying human nonvisual photoreception in a reproducible and standardized fashion.","container-title":"Journal of Pineal Research","DOI":"10.1111/jpi.70051","ISSN":"1600-079X","issue":"4","language":"en","license":"© 2025 The Author(s). Journal of Pineal Research published by John Wiley &amp; Sons Ltd.","note":"_eprint: https://onlinelibrary.wiley.com/doi/pdf/10.1111/jpi.70051","page":"e70051","source":"Wiley Online Library","title":"Standardized and Calibrated Light Stimuli via Head-Mounted Displays for Investigating the Nonvisual Effects of Light","volume":"77","author":[{"family":"Fernandez-Alonso","given":"Maydel"},{"family":"Spitschan","given":"Manuel"}],"issued":{"date-parts":[["2025"]]}}}],"schema":"https://github.com/citation-style-language/schema/raw/master/csl-citation.json"} </w:instrText>
      </w:r>
      <w:r w:rsidR="00E0208E">
        <w:fldChar w:fldCharType="separate"/>
      </w:r>
      <w:r w:rsidR="000E5575" w:rsidRPr="000E5575">
        <w:rPr>
          <w:rFonts w:cs="Arial"/>
        </w:rPr>
        <w:t>Fernandez-Alonso &amp; Spitschan</w:t>
      </w:r>
      <w:r w:rsidR="000E5575">
        <w:rPr>
          <w:rFonts w:cs="Arial"/>
        </w:rPr>
        <w:t xml:space="preserve"> (</w:t>
      </w:r>
      <w:r w:rsidR="000E5575" w:rsidRPr="000E5575">
        <w:rPr>
          <w:rFonts w:cs="Arial"/>
        </w:rPr>
        <w:t>2025)</w:t>
      </w:r>
      <w:r w:rsidR="00E0208E">
        <w:fldChar w:fldCharType="end"/>
      </w:r>
      <w:r>
        <w:t xml:space="preserve">. The light stimulus for the control condition (dim light) consists of a constant background, with intensity set to zero, yielding &lt;0.01 lux </w:t>
      </w:r>
      <w:proofErr w:type="spellStart"/>
      <w:r>
        <w:t>melanopic</w:t>
      </w:r>
      <w:proofErr w:type="spellEnd"/>
      <w:r>
        <w:t xml:space="preserve"> EDI (</w:t>
      </w:r>
      <w:proofErr w:type="spellStart"/>
      <w:r>
        <w:t>mean±SD</w:t>
      </w:r>
      <w:proofErr w:type="spellEnd"/>
      <w:r>
        <w:t xml:space="preserve"> across five VR headsets: 0.0076±0.0046 lux </w:t>
      </w:r>
      <w:proofErr w:type="spellStart"/>
      <w:r>
        <w:t>melanopic</w:t>
      </w:r>
      <w:proofErr w:type="spellEnd"/>
      <w:r>
        <w:t xml:space="preserve"> EDI). The light </w:t>
      </w:r>
      <w:r>
        <w:lastRenderedPageBreak/>
        <w:t xml:space="preserve">stimulus for the bright light experimental sessions consists of a constant full-field polychromatic white light, generated by setting the red, green and blue channels to equal values at 50% intensity, yielding ~90 lux </w:t>
      </w:r>
      <w:proofErr w:type="spellStart"/>
      <w:r>
        <w:t>melanopic</w:t>
      </w:r>
      <w:proofErr w:type="spellEnd"/>
      <w:r>
        <w:t xml:space="preserve"> EDI (</w:t>
      </w:r>
      <w:proofErr w:type="spellStart"/>
      <w:r>
        <w:t>mean±SD</w:t>
      </w:r>
      <w:proofErr w:type="spellEnd"/>
      <w:r>
        <w:t xml:space="preserve"> across five VR headsets: 90.94±0.28 lux </w:t>
      </w:r>
      <w:proofErr w:type="spellStart"/>
      <w:r>
        <w:t>melanopic</w:t>
      </w:r>
      <w:proofErr w:type="spellEnd"/>
      <w:r>
        <w:t xml:space="preserve"> EDI). Stimuli are presented </w:t>
      </w:r>
      <w:proofErr w:type="spellStart"/>
      <w:r>
        <w:t>dichoptically</w:t>
      </w:r>
      <w:proofErr w:type="spellEnd"/>
      <w:r>
        <w:t xml:space="preserve"> (to both eyes) using the VR headset, meaning that each VR lens will be set to approximately 90 lux </w:t>
      </w:r>
      <w:proofErr w:type="spellStart"/>
      <w:r>
        <w:t>melanopic</w:t>
      </w:r>
      <w:proofErr w:type="spellEnd"/>
      <w:r>
        <w:t xml:space="preserve"> EDI. Furthermore, the manufacturer reports a field of view of 110 degrees. To calibrate the VR headsets, light intensities expressed in </w:t>
      </w:r>
      <w:proofErr w:type="spellStart"/>
      <w:r>
        <w:t>melanopic</w:t>
      </w:r>
      <w:proofErr w:type="spellEnd"/>
      <w:r>
        <w:t xml:space="preserve"> EDI and photopic illuminance were measured for the left and right lenses of all five available VR head-mounted displays at gradually increasing intensity levels (from 0 to 1 at 0.1 steps), using a spectroradiometer (</w:t>
      </w:r>
      <w:bookmarkStart w:id="1" w:name="_Hlk197527643"/>
      <w:proofErr w:type="spellStart"/>
      <w:r>
        <w:t>Jeti</w:t>
      </w:r>
      <w:proofErr w:type="spellEnd"/>
      <w:r>
        <w:t xml:space="preserve"> </w:t>
      </w:r>
      <w:proofErr w:type="spellStart"/>
      <w:r>
        <w:t>spectraval</w:t>
      </w:r>
      <w:proofErr w:type="spellEnd"/>
      <w:r>
        <w:t xml:space="preserve"> 1511-HiRes, Jena </w:t>
      </w:r>
      <w:proofErr w:type="spellStart"/>
      <w:r>
        <w:t>Technische</w:t>
      </w:r>
      <w:proofErr w:type="spellEnd"/>
      <w:r>
        <w:t xml:space="preserve"> </w:t>
      </w:r>
      <w:proofErr w:type="spellStart"/>
      <w:r>
        <w:t>Instrumente</w:t>
      </w:r>
      <w:proofErr w:type="spellEnd"/>
      <w:r>
        <w:t>, Jena, Germany</w:t>
      </w:r>
      <w:bookmarkEnd w:id="1"/>
      <w:r>
        <w:t xml:space="preserve">). Spectral power distributions for these measurements are available as CSV files in the GitHub repository </w:t>
      </w:r>
      <w:r w:rsidR="000E5575">
        <w:t>associated to this manuscript (</w:t>
      </w:r>
      <w:hyperlink r:id="rId13" w:history="1">
        <w:r w:rsidR="000E5575">
          <w:rPr>
            <w:rStyle w:val="Hyperlink"/>
          </w:rPr>
          <w:t>https://github.com/tscnlab/GuidolinEtAl_PCIRRStage1_2025/tree/main/vr_calibration</w:t>
        </w:r>
      </w:hyperlink>
      <w:r w:rsidR="000E5575">
        <w:t>).</w:t>
      </w:r>
      <w:r>
        <w:t xml:space="preserve"> This calibration procedure showed that a 50% input intensity corresponded to approximately 90 lux </w:t>
      </w:r>
      <w:proofErr w:type="spellStart"/>
      <w:r>
        <w:t>melanopic</w:t>
      </w:r>
      <w:proofErr w:type="spellEnd"/>
      <w:r>
        <w:t xml:space="preserve"> EDI (see </w:t>
      </w:r>
      <w:r w:rsidRPr="5CE66923">
        <w:rPr>
          <w:i/>
          <w:iCs/>
        </w:rPr>
        <w:t>Supplementary materials</w:t>
      </w:r>
      <w:r>
        <w:t>, Table S</w:t>
      </w:r>
      <w:r w:rsidR="00810C4B">
        <w:t>3</w:t>
      </w:r>
      <w:r>
        <w:t xml:space="preserve">). We selected this light level for use in our experiment carefully, seeking an optimum point in the dose-response curve for melatonin suppression. We based our selection on the computational model developed by </w:t>
      </w:r>
      <w:r w:rsidR="00E0208E">
        <w:fldChar w:fldCharType="begin"/>
      </w:r>
      <w:r w:rsidR="0092047F">
        <w:instrText xml:space="preserve"> ADDIN ZOTERO_ITEM CSL_CITATION {"citationID":"l2mg1iSc","properties":{"formattedCitation":"(Gim\\uc0\\u233{}nez et al., 2022)","plainCitation":"(Giménez et al., 2022)","dontUpdate":true,"noteIndex":0},"citationItems":[{"id":8388,"uris":["http://zotero.org/users/11330488/items/2PSLYT4C"],"itemData":{"id":8388,"type":"article-journal","abstract":"Light-induced melatonin suppression data from 29 peer-reviewed publications was analysed by means of a machine-learning approach to establish which light exposure characteristics (ie photopic illuminance, five α-opic equivalent daylight illuminances [EDIs], duration and timing of the light exposure, and the dichotomous variables pharmacological pupil dilation and narrowband light source) are the main determinants of melatonin suppression. Melatonin suppression in the data set was dominated by four light exposure characteristics: (1) melanopic EDI, (2) light exposure duration, (3) pupil dilation and (4) S-cone-opic EDI. A logistic model was used to evaluate the influence of each of these parameters on the melatonin suppression response. The final logistic model was only based on the first three parameters, since melanopic EDI was the best single (photoreceptor) predictor that was only outperformed by S-cone-opic EDI for (photopic) illuminances below 21 lux. This confirms and extends findings on the importance of the metric melanopic EDI for predicting biological effects of light in integrative (human-centric) lighting applications. The model provides initial and general guidance to lighting practitioners on how to combine spectrum, duration and amount of light exposure when controlling non-visual responses to light, especially melatonin suppression. The model is a starting tool for developing hypotheses on photoreceptors’ contributions to light's non-visual responses and helps identifying areas where more data are needed, like on the S-cone contribution at low illuminances.","container-title":"Journal of Pineal Research","DOI":"10.1111/jpi.12786","ISSN":"1600-079X","issue":"2","language":"en","license":"© 2022 The Authors. Journal of Pineal Research published by John Wiley &amp; Sons Ltd.","note":"_eprint: https://onlinelibrary.wiley.com/doi/pdf/10.1111/jpi.12786","page":"e12786","source":"Wiley Online Library","title":"Predicting melatonin suppression by light in humans: Unifying photoreceptor-based equivalent daylight illuminances, spectral composition, timing and duration of light exposure","title-short":"Predicting melatonin suppression by light in humans","volume":"72","author":[{"family":"Giménez","given":"Marina C."},{"family":"Stefani","given":"Oliver"},{"family":"Cajochen","given":"Christian"},{"family":"Lang","given":"Dieter"},{"family":"Deuring","given":"Gunnar"},{"family":"Schlangen","given":"Luc J. M."}],"issued":{"date-parts":[["2022"]]}}}],"schema":"https://github.com/citation-style-language/schema/raw/master/csl-citation.json"} </w:instrText>
      </w:r>
      <w:r w:rsidR="00E0208E">
        <w:fldChar w:fldCharType="separate"/>
      </w:r>
      <w:r w:rsidRPr="5CE66923">
        <w:rPr>
          <w:rFonts w:cs="Arial"/>
        </w:rPr>
        <w:t>Giménez and colleagues (2022)</w:t>
      </w:r>
      <w:r w:rsidR="00E0208E">
        <w:fldChar w:fldCharType="end"/>
      </w:r>
      <w:r>
        <w:t xml:space="preserve">, which summarises empirical melatonin suppression data from 29 studies, and fits a simple heuristic prediction model for melatonin suppression as a function of </w:t>
      </w:r>
      <w:proofErr w:type="spellStart"/>
      <w:r>
        <w:t>melanopic</w:t>
      </w:r>
      <w:proofErr w:type="spellEnd"/>
      <w:r>
        <w:t xml:space="preserve"> EDI and pupil dilation. For our maximally achievable </w:t>
      </w:r>
      <w:proofErr w:type="spellStart"/>
      <w:r>
        <w:t>melanopic</w:t>
      </w:r>
      <w:proofErr w:type="spellEnd"/>
      <w:r>
        <w:t xml:space="preserve"> EDI of ~90 lux and a dilated pupil, the model predicts a melatonin suppression of 57.90%, which we consider to be a suitable response to avoid extrema of the dose response curves. </w:t>
      </w:r>
      <w:r w:rsidR="007D786F">
        <w:t xml:space="preserve">A filled-in copy of the ENLIGHT Checklist </w:t>
      </w:r>
      <w:r w:rsidR="00DA4730">
        <w:fldChar w:fldCharType="begin"/>
      </w:r>
      <w:r w:rsidR="00DA4730">
        <w:instrText xml:space="preserve"> ADDIN ZOTERO_ITEM CSL_CITATION {"citationID":"xDhXlzGe","properties":{"formattedCitation":"(Spitschan et al., 2023)","plainCitation":"(Spitschan et al., 2023)","noteIndex":0},"citationItems":[{"id":9934,"uris":["http://zotero.org/users/11330488/items/GGJ7V462"],"itemData":{"id":9934,"type":"article-journal","container-title":"eBioMedicine","DOI":"10.1016/j.ebiom.2023.104889","ISSN":"2352-3964","journalAbbreviation":"eBioMedicine","language":"English","note":"publisher: Elsevier\nPMID: 38043137","source":"www.thelancet.com","title":"ENLIGHT: A consensus checklist for reporting laboratory-based studies on the non-visual effects of light in humans","title-short":"ENLIGHT","URL":"https://www.thelancet.com/journals/ebiom/article/PIIS2352-3964(23)00455-3/fulltext","volume":"98","author":[{"family":"Spitschan","given":"Manuel"},{"family":"Kervezee","given":"Laura"},{"family":"Lok","given":"Renske"},{"family":"McGlashan","given":"Elise"},{"family":"Najjar","given":"Raymond P."},{"family":"Allen","given":"Annette E."},{"family":"Andersen","given":"Marilyne"},{"family":"Bará","given":"Salvador"},{"family":"Blattner","given":"Peter"},{"family":"Blume","given":"Christine"},{"family":"Boivin","given":"Diane B."},{"family":"Bonmatí-Carrión","given":"María-Ángeles"},{"family":"Broszio","given":"Kai"},{"family":"Brown","given":"Timothy M."},{"family":"Chellappa","given":"Sarah Laxhmi"},{"family":"Duffy","given":"Jeanne F."},{"family":"Eto","given":"Taisuke"},{"family":"Flynn-Evans","given":"Erin"},{"family":"Fotios","given":"Steve"},{"family":"Gabel","given":"Virginie"},{"family":"Garbazza","given":"Corrado"},{"family":"Glickman","given":"Gena"},{"family":"Gordijn","given":"Marijke C."},{"family":"Hanifin","given":"John P."},{"family":"Hartstein","given":"Lauren"},{"family":"Herf","given":"Michael"},{"family":"Higuchi","given":"Shigekazu"},{"family":"Hilditch","given":"Cassie J."},{"family":"Houser","given":"Kevin W."},{"family":"Hurlbert","given":"Anya"},{"family":"LeBourgeois","given":"Monique K."},{"family":"Lockley","given":"Steven"},{"family":"Lucas","given":"Robert"},{"family":"Moreno","given":"Claudia R. C."},{"family":"Münch","given":"Mirjam"},{"family":"Mure","given":"Ludovic S."},{"family":"Peirson","given":"Stuart"},{"family":"Rahman","given":"Shadab"},{"family":"Revell","given":"Victoria L."},{"family":"Rodriguez","given":"Roberto G."},{"family":"Roecklein","given":"Kathryn"},{"family":"Rukmini","given":"A. V."},{"family":"Sammarco","given":"John"},{"family":"Santhi","given":"Nayantara"},{"family":"Schlangen","given":"Luc J. M."},{"family":"Schöllhorn","given":"Isabel"},{"family":"Sharkey","given":"Katherine M."},{"family":"Skene","given":"Debra J."},{"family":"Sletten","given":"Tracey L."},{"family":"Smolders","given":"Karin C. H. J."},{"family":"Stefani","given":"Oliver"},{"family":"Stone","given":"Julia E."},{"family":"Teikari","given":"Petteri"},{"family":"Terman","given":"Michael"},{"family":"Quoc","given":"Khanh Tran"},{"family":"Tsubota","given":"Kazuo"},{"family":"Udovicic","given":"Ljiljana"},{"family":"Vandewalle","given":"Gilles"},{"family":"Veitch","given":"Jennifer A."},{"family":"CélineVetter","given":""},{"family":"Wu","given":"Lisa M."},{"family":"Zauner","given":"Johannes"},{"family":"Zeitzer","given":"Jamie"}],"accessed":{"date-parts":[["2025",6,10]]},"issued":{"date-parts":[["2023",12,1]]}}}],"schema":"https://github.com/citation-style-language/schema/raw/master/csl-citation.json"} </w:instrText>
      </w:r>
      <w:r w:rsidR="00DA4730">
        <w:fldChar w:fldCharType="separate"/>
      </w:r>
      <w:r w:rsidR="00DA4730" w:rsidRPr="00DA4730">
        <w:rPr>
          <w:rFonts w:cs="Arial"/>
        </w:rPr>
        <w:t>(Spitschan et al., 2023)</w:t>
      </w:r>
      <w:r w:rsidR="00DA4730">
        <w:fldChar w:fldCharType="end"/>
      </w:r>
      <w:r w:rsidR="00DA4730">
        <w:t xml:space="preserve"> </w:t>
      </w:r>
      <w:r w:rsidR="007D786F">
        <w:t xml:space="preserve">for reporting laboratory-based studies on the non-visual effects of light in humans </w:t>
      </w:r>
      <w:r w:rsidR="00243625">
        <w:t xml:space="preserve">is included in the </w:t>
      </w:r>
      <w:r w:rsidR="00243625" w:rsidRPr="00243625">
        <w:rPr>
          <w:i/>
          <w:iCs/>
        </w:rPr>
        <w:t>Supplemental materials</w:t>
      </w:r>
      <w:r w:rsidR="00243625">
        <w:t xml:space="preserve">. </w:t>
      </w:r>
    </w:p>
    <w:p w14:paraId="17DACA60" w14:textId="5AA37826" w:rsidR="00E0208E" w:rsidRPr="0092012D" w:rsidRDefault="00E0208E" w:rsidP="00A06A1C">
      <w:r>
        <w:t xml:space="preserve">During the light exposure delivery, to ensure that participants keep their eyes open and were awake at all times, a visual stimulus (coloured dot, red, blue, green, and yellow, size set to 0.15 in arbitrary units) will be presented in the centre of the visual field, and participants will be prompted to press a button on a response pad every time it changed colour (intervals set to 30 seconds). While reaction times for this response will be collected, this test will only serve to ensure participants keep awake during the light exposure, and the data collected will not be used for </w:t>
      </w:r>
      <w:r w:rsidR="74C7FB85">
        <w:t xml:space="preserve">the inferential </w:t>
      </w:r>
      <w:r>
        <w:t>analysis</w:t>
      </w:r>
      <w:r w:rsidR="00B51755">
        <w:t xml:space="preserve"> of this paper</w:t>
      </w:r>
      <w:r>
        <w:t xml:space="preserve">. </w:t>
      </w:r>
    </w:p>
    <w:p w14:paraId="3F927A99" w14:textId="77777777" w:rsidR="00E0208E" w:rsidRPr="00A06A1C" w:rsidRDefault="00E0208E" w:rsidP="00A06A1C">
      <w:pPr>
        <w:pStyle w:val="Heading3"/>
      </w:pPr>
      <w:r w:rsidRPr="00A06A1C">
        <w:t xml:space="preserve">Pupillometry measurements </w:t>
      </w:r>
    </w:p>
    <w:p w14:paraId="7176227C" w14:textId="216BF8D5" w:rsidR="00E0208E" w:rsidRDefault="00E0208E" w:rsidP="000176D3">
      <w:r>
        <w:t xml:space="preserve">Pupillometry measurements to measure melanopsin-mediated pupil response (i.e. melanopsin sensitivity) will be performed with the </w:t>
      </w:r>
      <w:proofErr w:type="spellStart"/>
      <w:r>
        <w:t>retinaWISE</w:t>
      </w:r>
      <w:proofErr w:type="spellEnd"/>
      <w:r>
        <w:t xml:space="preserve"> binocular pupillometer </w:t>
      </w:r>
      <w:r>
        <w:fldChar w:fldCharType="begin"/>
      </w:r>
      <w:r w:rsidR="0092047F">
        <w:instrText xml:space="preserve"> ADDIN ZOTERO_ITEM CSL_CITATION {"citationID":"PdxOOsGp","properties":{"formattedCitation":"(Gibertoni et al., 2024)","plainCitation":"(Gibertoni et al., 2024)","dontUpdate":true,"noteIndex":0},"citationItems":[{"id":8180,"uris":["http://zotero.org/users/11330488/items/G5MZK7XR"],"itemData":{"id":8180,"type":"article-journal","abstract":"Recent advancements in clinical research have identified the need to combine pupillometry with a selective stimulation of the eye’s photoreceptor cell types to broaden retinal and neuroretinal health assessment opportunities. Our thorough analysis of the literature revealed the technological gaps that currently restrict and hinder the effective utilization of a method acknowledged to hold great potential. The available devices do not adequately stimulate the photoreceptor types with enough contrast and do not guarantee seamless device function integration, which would enable advanced data analysis. RetinaWISE is an advanced silencing pupillometry device that addresses these deficiencies. It combines a Maxwellian optical arrangement with advanced retinal stimulation, allowing for calibrated standard measurements to generate advanced and consistent results across multiple sites. The device holds a Class 1 CE marking under EU regulation 2017/745, thus facilitating clinical research progress.","container-title":"Diagnostics","DOI":"10.3390/diagnostics14171940","ISSN":"2075-4418","issue":"17","language":"en","license":"http://creativecommons.org/licenses/by/3.0/","note":"number: 17\npublisher: Multidisciplinary Digital Publishing Institute","page":"1940","source":"www.mdpi.com","title":"Development of an Innovative Pupillometer Able to Selectively Stimulate the Eye’s Fundus Photoreceptor Cells","volume":"14","author":[{"family":"Gibertoni","given":"Giovanni"},{"family":"Hromov","given":"Anton"},{"family":"Piffaretti","given":"Filippo"},{"family":"Geiser","given":"Martial H."}],"issued":{"date-parts":[["2024",1]]}}}],"schema":"https://github.com/citation-style-language/schema/raw/master/csl-citation.json"} </w:instrText>
      </w:r>
      <w:r>
        <w:fldChar w:fldCharType="separate"/>
      </w:r>
      <w:r w:rsidRPr="00803FAF">
        <w:rPr>
          <w:rFonts w:cs="Arial"/>
        </w:rPr>
        <w:t>(</w:t>
      </w:r>
      <w:proofErr w:type="spellStart"/>
      <w:r w:rsidRPr="00803FAF">
        <w:rPr>
          <w:rFonts w:cs="Arial"/>
        </w:rPr>
        <w:t>Gibertoni</w:t>
      </w:r>
      <w:proofErr w:type="spellEnd"/>
      <w:r w:rsidRPr="00803FAF">
        <w:rPr>
          <w:rFonts w:cs="Arial"/>
        </w:rPr>
        <w:t xml:space="preserve"> et al., 2024</w:t>
      </w:r>
      <w:r>
        <w:rPr>
          <w:rFonts w:cs="Arial"/>
        </w:rPr>
        <w:t xml:space="preserve">; </w:t>
      </w:r>
      <w:r w:rsidRPr="000D31A9">
        <w:rPr>
          <w:rFonts w:cs="Arial"/>
        </w:rPr>
        <w:t>Oculox Technologies, Muzzano, Switzerland</w:t>
      </w:r>
      <w:r w:rsidRPr="00803FAF">
        <w:rPr>
          <w:rFonts w:cs="Arial"/>
        </w:rPr>
        <w:t>)</w:t>
      </w:r>
      <w:r>
        <w:fldChar w:fldCharType="end"/>
      </w:r>
      <w:r>
        <w:t xml:space="preserve">. This device delivers light </w:t>
      </w:r>
      <w:r>
        <w:lastRenderedPageBreak/>
        <w:t xml:space="preserve">stimuli using six calibrated light emitting diodes (LEDs) and can be used in combination with the </w:t>
      </w:r>
      <w:proofErr w:type="spellStart"/>
      <w:r>
        <w:t>retinaWISE</w:t>
      </w:r>
      <w:proofErr w:type="spellEnd"/>
      <w:r>
        <w:t xml:space="preserve"> software to target specific photoreceptors of interest, including melanopsin. Specific protocols delivering light stimuli of interest can be developed and delivered through this system, the measured outcome being the participant’s pupil diameter throughout a given trial. Thus, the device enables delivery of silent substitution stimuli, which can change the activation of one or more photoreceptors while keeping other photoreceptors equally activated </w:t>
      </w:r>
      <w:r>
        <w:fldChar w:fldCharType="begin"/>
      </w:r>
      <w:r w:rsidR="0092047F">
        <w:instrText xml:space="preserve"> ADDIN ZOTERO_ITEM CSL_CITATION {"citationID":"POTlR3I8","properties":{"formattedCitation":"(Spitschan &amp; Woelders, 2018)","plainCitation":"(Spitschan &amp; Woelders, 2018)","noteIndex":0},"citationItems":[{"id":7180,"uris":["http://zotero.org/users/11330488/items/NYAXILYQ"],"itemData":{"id":7180,"type":"article-journal","abstract":"&lt;p&gt;The human pupillary light response is driven by all classes of photoreceptors in the human eye—the three classes of cones, the rods, and the intrinsically photosensitive retinal ganglion cells (ipRGCs) expressing the photopigment melanopsin. These photoreceptor classes have distinct but overlapping spectral tuning, and even a monochromatic light with a wavelength matched to the peak spectral sensitivity of a given photoreceptor will stimulate all photoreceptors. The method of silent substitution uses pairs of lights (“metamers”) to selectively stimulate a given class of photoreceptors while keeping the activation of all others constant. In this primer, we describe the method of silent substitution and provide an overview of studies that have used it to examine inputs to the human pupillary light response.&lt;/p&gt;","container-title":"Frontiers in Neurology","DOI":"10.3389/fneur.2018.00941","ISSN":"1664-2295","journalAbbreviation":"Front. Neurol.","language":"English","note":"publisher: Frontiers","source":"Frontiers","title":"The Method of Silent Substitution for Examining Melanopsin Contributions to Pupil Control","URL":"https://www.frontiersin.org/journals/neurology/articles/10.3389/fneur.2018.00941/full","volume":"9","author":[{"family":"Spitschan","given":"Manuel"},{"family":"Woelders","given":"Tom"}],"accessed":{"date-parts":[["2024",7,19]]},"issued":{"date-parts":[["2018",11,27]]}}}],"schema":"https://github.com/citation-style-language/schema/raw/master/csl-citation.json"} </w:instrText>
      </w:r>
      <w:r>
        <w:fldChar w:fldCharType="separate"/>
      </w:r>
      <w:r w:rsidRPr="000176D3">
        <w:rPr>
          <w:rFonts w:cs="Arial"/>
        </w:rPr>
        <w:t>(Spitschan &amp; Woelders, 2018)</w:t>
      </w:r>
      <w:r>
        <w:fldChar w:fldCharType="end"/>
      </w:r>
      <w:r>
        <w:t xml:space="preserve">. In the current study, we will create three protocols aimed at measuring 1) the post-illumination pupillary response (PIPR), and 2) LMS stimulation (silent substitution stimuli for joint modulation of L, M and S cones and constant activation of melanopsin), and 3) melanopsin stimulation (silent substitution stimuli for selective modulation of melanopsin and constant activation of L, M and S cones). The light stimuli will be delivered to the participants’ right eye through a 10-30° field stop to achieve annular stimulation. For the PIPR protocol, six narrowband short-wavelength and six narrowband long-wavelength stimuli will be presented alternately. As part of the LMS-directed and melanopsin-directed sequences, the protocol will start with a 4-minute adaptation to the background spectrum to achieve light adaptation, followed by 16 pulses of LMS-directed and melanopsin-directed contrast, respectively. For all three protocols, the stimulus consists of a 3-second pulse of light windowed by a half cosine ramp (500ms on each side). Furthermore, the stimulus is accompanied by a 1-second pre-stimulus baseline and a 16-second post-stimulus measurement period. </w:t>
      </w:r>
    </w:p>
    <w:p w14:paraId="5C15E642" w14:textId="639DC77C" w:rsidR="00E0208E" w:rsidRDefault="00E0208E" w:rsidP="00A06A1C">
      <w:r>
        <w:t xml:space="preserve">The </w:t>
      </w:r>
      <w:proofErr w:type="spellStart"/>
      <w:r>
        <w:t>retinaWISE</w:t>
      </w:r>
      <w:proofErr w:type="spellEnd"/>
      <w:r>
        <w:t xml:space="preserve"> device will be placed in a black photography tent (Pop-Up Darkroom, ILFORD, Harman Technology Ltd., UK) to minimise external light exposure during the experiment. Before the start of pupillometry data collection, participants will be instructed on how to adjust the chair and chin rest to sit comfortably while stimuli will be delivered through the </w:t>
      </w:r>
      <w:proofErr w:type="spellStart"/>
      <w:r>
        <w:t>retinaWISE</w:t>
      </w:r>
      <w:proofErr w:type="spellEnd"/>
      <w:r>
        <w:t xml:space="preserve"> system. Then, participant alignment will follow using a test stimulus (green annular field</w:t>
      </w:r>
      <w:r w:rsidR="489B6F46">
        <w:t>, 523nm wavelength and</w:t>
      </w:r>
      <w:r w:rsidR="1B424228">
        <w:t xml:space="preserve"> </w:t>
      </w:r>
      <w:r w:rsidR="000E4568">
        <w:t xml:space="preserve">5% intensity, corresponding to </w:t>
      </w:r>
      <w:r w:rsidR="00810C4B">
        <w:t>12.5 lux</w:t>
      </w:r>
      <w:r>
        <w:t>) to ensure that the participant can fully see the stimulus with their right eye. Once alignment is achieved (</w:t>
      </w:r>
      <w:proofErr w:type="gramStart"/>
      <w:r>
        <w:t>i.e.</w:t>
      </w:r>
      <w:proofErr w:type="gramEnd"/>
      <w:r>
        <w:t xml:space="preserve"> the device detects participants’ right pupil, indicated by a </w:t>
      </w:r>
      <w:r w:rsidR="000E4568">
        <w:t xml:space="preserve">red circle </w:t>
      </w:r>
      <w:r>
        <w:t xml:space="preserve">around the pupil’s diameter), participants will sit back for a dark adaptation period of 10 minutes. Afterwards, they will place their chin on the chin rest, alignment will be checked again by the experimenter, and the three protocols will be run one after the other, in the following order: PIPR, LMS stimulation, and melanopsin stimulation. In between each stimulation, participants will be allowed to take a short break if needed, during which they can sit back but not leave the experimental tent. Throughout the experiment, participants will be asked to keep their gaze straight and limit head movements. To ensure this, an elastic headband attached to the device and strapped behind participants’ heads will be used. </w:t>
      </w:r>
    </w:p>
    <w:p w14:paraId="4F2F4B84" w14:textId="4492879E" w:rsidR="00E0208E" w:rsidRPr="000E2529" w:rsidRDefault="5CE66923">
      <w:pPr>
        <w:rPr>
          <w:i/>
          <w:iCs/>
        </w:rPr>
      </w:pPr>
      <w:r>
        <w:lastRenderedPageBreak/>
        <w:t xml:space="preserve">The </w:t>
      </w:r>
      <w:proofErr w:type="spellStart"/>
      <w:r>
        <w:t>retinaWISE</w:t>
      </w:r>
      <w:proofErr w:type="spellEnd"/>
      <w:r>
        <w:t xml:space="preserve"> device will be spectrally calibrated using a spectroradiometer (</w:t>
      </w:r>
      <w:proofErr w:type="spellStart"/>
      <w:r>
        <w:t>Jeti</w:t>
      </w:r>
      <w:proofErr w:type="spellEnd"/>
      <w:r>
        <w:t xml:space="preserve"> </w:t>
      </w:r>
      <w:proofErr w:type="spellStart"/>
      <w:r>
        <w:t>spectraval</w:t>
      </w:r>
      <w:proofErr w:type="spellEnd"/>
      <w:r>
        <w:t xml:space="preserve"> 1511-HiRes, Jena </w:t>
      </w:r>
      <w:proofErr w:type="spellStart"/>
      <w:r>
        <w:t>Technische</w:t>
      </w:r>
      <w:proofErr w:type="spellEnd"/>
      <w:r>
        <w:t xml:space="preserve"> </w:t>
      </w:r>
      <w:proofErr w:type="spellStart"/>
      <w:r>
        <w:t>Instrumente</w:t>
      </w:r>
      <w:proofErr w:type="spellEnd"/>
      <w:r>
        <w:t xml:space="preserve">, Jena, Germany). The light from the </w:t>
      </w:r>
      <w:proofErr w:type="spellStart"/>
      <w:r>
        <w:t>retinaWISE</w:t>
      </w:r>
      <w:proofErr w:type="spellEnd"/>
      <w:r>
        <w:t xml:space="preserve"> device will be projected on a glass diffuser disc (diameter: 25.4 mm, DG10-220-A, Thorlabs, Ely, UK) positioned at the corneal plane. </w:t>
      </w:r>
    </w:p>
    <w:p w14:paraId="6470E31D" w14:textId="77777777" w:rsidR="00E0208E" w:rsidRPr="00A06A1C" w:rsidRDefault="00E0208E" w:rsidP="00A06A1C">
      <w:pPr>
        <w:pStyle w:val="Heading4"/>
      </w:pPr>
      <w:r w:rsidRPr="00A06A1C">
        <w:t>Salivary samples</w:t>
      </w:r>
    </w:p>
    <w:p w14:paraId="59C5B968" w14:textId="5D6A6968" w:rsidR="00E0208E" w:rsidRPr="00790828" w:rsidRDefault="00E0208E" w:rsidP="00515511">
      <w:r>
        <w:t xml:space="preserve">Salivary samples for melatonin analysis will be collected every 30 minutes, starting 5 hours prior to 1 hour after participants’ HBT, using </w:t>
      </w:r>
      <w:proofErr w:type="spellStart"/>
      <w:r>
        <w:t>Salivettes</w:t>
      </w:r>
      <w:proofErr w:type="spellEnd"/>
      <w:r>
        <w:t xml:space="preserve"> (</w:t>
      </w:r>
      <w:proofErr w:type="spellStart"/>
      <w:r>
        <w:t>Sarstedt</w:t>
      </w:r>
      <w:proofErr w:type="spellEnd"/>
      <w:r>
        <w:t xml:space="preserve">, </w:t>
      </w:r>
      <w:proofErr w:type="spellStart"/>
      <w:r>
        <w:t>Nümbrecht</w:t>
      </w:r>
      <w:proofErr w:type="spellEnd"/>
      <w:r>
        <w:t>, Germany). Samples (</w:t>
      </w:r>
      <w:r>
        <w:rPr>
          <w:rFonts w:cs="Arial"/>
        </w:rPr>
        <w:t>≥</w:t>
      </w:r>
      <w:r>
        <w:t xml:space="preserve">1mL) will be centrifuged immediately after collection and stored at -20°C. The samples will be analysed for melatonin concentration using enzyme-linked </w:t>
      </w:r>
      <w:proofErr w:type="spellStart"/>
      <w:r>
        <w:t>immunoabsorbent</w:t>
      </w:r>
      <w:proofErr w:type="spellEnd"/>
      <w:r>
        <w:t xml:space="preserve"> assay (ELISA) by </w:t>
      </w:r>
      <w:proofErr w:type="spellStart"/>
      <w:r>
        <w:t>NovoLytiX</w:t>
      </w:r>
      <w:proofErr w:type="spellEnd"/>
      <w:r>
        <w:t xml:space="preserve"> GmbH, Switzerland, with typical specifications (</w:t>
      </w:r>
      <w:r w:rsidRPr="00515511">
        <w:t xml:space="preserve">limit of quantification 0.5–50 </w:t>
      </w:r>
      <w:proofErr w:type="spellStart"/>
      <w:r w:rsidRPr="00515511">
        <w:t>pg</w:t>
      </w:r>
      <w:proofErr w:type="spellEnd"/>
      <w:r w:rsidRPr="00515511">
        <w:t xml:space="preserve">/mL, detection limit 0.5 </w:t>
      </w:r>
      <w:proofErr w:type="spellStart"/>
      <w:r w:rsidRPr="00515511">
        <w:t>pg</w:t>
      </w:r>
      <w:proofErr w:type="spellEnd"/>
      <w:r w:rsidRPr="00515511">
        <w:t>/mL, mean intra-assay precision: 7.8%, mean inter-assay precision 10.0%).</w:t>
      </w:r>
    </w:p>
    <w:p w14:paraId="1166BDE0" w14:textId="77777777" w:rsidR="00E0208E" w:rsidRPr="00A06A1C" w:rsidRDefault="00E0208E" w:rsidP="00A06A1C">
      <w:pPr>
        <w:pStyle w:val="Heading3"/>
      </w:pPr>
      <w:proofErr w:type="spellStart"/>
      <w:r w:rsidRPr="00A06A1C">
        <w:t>Neurobehavioural</w:t>
      </w:r>
      <w:proofErr w:type="spellEnd"/>
      <w:r w:rsidRPr="00A06A1C">
        <w:t xml:space="preserve"> tests</w:t>
      </w:r>
    </w:p>
    <w:p w14:paraId="2D8EEDDA" w14:textId="4FB9DE7B" w:rsidR="00E0208E" w:rsidRPr="00663BB7" w:rsidRDefault="00E0208E" w:rsidP="00A06A1C">
      <w:r>
        <w:t>As part of each experimental block, participants will be filling in three questionnaires to measure their mood, visual comfort and alertness. These will be delivered using tablets available in each participant’s experimental booth (</w:t>
      </w:r>
      <w:proofErr w:type="gramStart"/>
      <w:r>
        <w:t>i.e.</w:t>
      </w:r>
      <w:proofErr w:type="gramEnd"/>
      <w:r>
        <w:t xml:space="preserve"> one </w:t>
      </w:r>
      <w:r w:rsidR="000E4568">
        <w:t xml:space="preserve">tablet </w:t>
      </w:r>
      <w:r>
        <w:t xml:space="preserve">for each participant). </w:t>
      </w:r>
      <w:r w:rsidR="0A5AD3E0">
        <w:t>The data from these questionnaires will not be used for the confirmatory analyses presented here, but will be collected for exploratory analyses.</w:t>
      </w:r>
    </w:p>
    <w:p w14:paraId="5F4795DE" w14:textId="77777777" w:rsidR="00E0208E" w:rsidRPr="00A06A1C" w:rsidRDefault="00E0208E" w:rsidP="00A06A1C">
      <w:pPr>
        <w:pStyle w:val="Heading4"/>
      </w:pPr>
      <w:r w:rsidRPr="00A06A1C">
        <w:t>Mood</w:t>
      </w:r>
    </w:p>
    <w:p w14:paraId="584D3F09" w14:textId="5A468D25" w:rsidR="00E0208E" w:rsidRDefault="00E0208E" w:rsidP="00A06A1C">
      <w:r>
        <w:t xml:space="preserve">Participants will be asked to report their current mood using the International Positive and Negative Affect questionnaire Short Form (I-PANAS-SF; </w:t>
      </w:r>
      <w:r>
        <w:fldChar w:fldCharType="begin"/>
      </w:r>
      <w:r w:rsidR="0092047F">
        <w:instrText xml:space="preserve"> ADDIN ZOTERO_ITEM CSL_CITATION {"citationID":"pGhmhLcK","properties":{"formattedCitation":"(Thompson, 2007)","plainCitation":"(Thompson, 2007)","dontUpdate":true,"noteIndex":0},"citationItems":[{"id":9517,"uris":["http://zotero.org/users/11330488/items/4IY5N6CT"],"itemData":{"id":9517,"type":"article-journal","abstract":"This article reports the development and validation of a 10-item international Positive and Negative Affect Schedule (PANAS) Short Form (I-PANAS-SF) in English. A qualitative study (N = 18) and then an exploratory quantitative study (N = 407), each using informants from a range of cultural backgrounds, were used to identify systematically which 10 of the original 20 PANAS items to retain or remove. A same-sample retest study (N = 163) was used in an initial examination of the new 10-item international PANAS's psychometric properties and to assess its correlation with the full, 20-item, original PANAS. In a series of further validation studies (N = 1,789), the cross-sample stability, internal reliability, temporal stability, cross-cultural factorial invariance, and convergent and criterion-related validities of the I-PANAS-SF were examined and found to be psychometrically acceptable.","container-title":"Journal of Cross-Cultural Psychology","DOI":"10.1177/0022022106297301","ISSN":"0022-0221","issue":"2","language":"EN","note":"publisher: SAGE Publications Inc","page":"227-242","source":"SAGE Journals","title":"Development and Validation of an Internationally Reliable Short-Form of the Positive and Negative Affect Schedule (PANAS)","volume":"38","author":[{"family":"Thompson","given":"Edmund R."}],"issued":{"date-parts":[["2007",3,1]]}}}],"schema":"https://github.com/citation-style-language/schema/raw/master/csl-citation.json"} </w:instrText>
      </w:r>
      <w:r>
        <w:fldChar w:fldCharType="separate"/>
      </w:r>
      <w:r w:rsidRPr="00FF337C">
        <w:rPr>
          <w:rFonts w:cs="Arial"/>
        </w:rPr>
        <w:t>Thompson, 2007)</w:t>
      </w:r>
      <w:r>
        <w:fldChar w:fldCharType="end"/>
      </w:r>
      <w:r>
        <w:t>. In this questionnaire, participants answer the question “</w:t>
      </w:r>
      <w:r w:rsidRPr="00D74F3C">
        <w:rPr>
          <w:i/>
          <w:iCs/>
        </w:rPr>
        <w:t>To what extent do you currently feel:</w:t>
      </w:r>
      <w:r>
        <w:t>” based on 10 mood components (</w:t>
      </w:r>
      <w:r w:rsidRPr="00D74F3C">
        <w:rPr>
          <w:i/>
          <w:iCs/>
        </w:rPr>
        <w:t>upset</w:t>
      </w:r>
      <w:r>
        <w:t xml:space="preserve">, </w:t>
      </w:r>
      <w:r w:rsidRPr="00D74F3C">
        <w:rPr>
          <w:i/>
          <w:iCs/>
        </w:rPr>
        <w:t>hostile</w:t>
      </w:r>
      <w:r>
        <w:t xml:space="preserve">, </w:t>
      </w:r>
      <w:r w:rsidRPr="00D74F3C">
        <w:rPr>
          <w:i/>
          <w:iCs/>
        </w:rPr>
        <w:t>alert</w:t>
      </w:r>
      <w:r>
        <w:t xml:space="preserve">, </w:t>
      </w:r>
      <w:r w:rsidRPr="00D74F3C">
        <w:rPr>
          <w:i/>
          <w:iCs/>
        </w:rPr>
        <w:t>ashamed</w:t>
      </w:r>
      <w:r>
        <w:t xml:space="preserve">, </w:t>
      </w:r>
      <w:r w:rsidRPr="00D74F3C">
        <w:rPr>
          <w:i/>
          <w:iCs/>
        </w:rPr>
        <w:t>inspired</w:t>
      </w:r>
      <w:r>
        <w:t xml:space="preserve">, </w:t>
      </w:r>
      <w:r w:rsidRPr="00D74F3C">
        <w:rPr>
          <w:i/>
          <w:iCs/>
        </w:rPr>
        <w:t>nervous</w:t>
      </w:r>
      <w:r>
        <w:t xml:space="preserve">, </w:t>
      </w:r>
      <w:r w:rsidRPr="00D74F3C">
        <w:rPr>
          <w:i/>
          <w:iCs/>
        </w:rPr>
        <w:t>determined</w:t>
      </w:r>
      <w:r>
        <w:t xml:space="preserve">, </w:t>
      </w:r>
      <w:r w:rsidRPr="00D74F3C">
        <w:rPr>
          <w:i/>
          <w:iCs/>
        </w:rPr>
        <w:t>attentive</w:t>
      </w:r>
      <w:r>
        <w:t xml:space="preserve">, </w:t>
      </w:r>
      <w:r w:rsidRPr="00D74F3C">
        <w:rPr>
          <w:i/>
          <w:iCs/>
        </w:rPr>
        <w:t>afraid</w:t>
      </w:r>
      <w:r>
        <w:t xml:space="preserve">, </w:t>
      </w:r>
      <w:r w:rsidRPr="00D74F3C">
        <w:rPr>
          <w:i/>
          <w:iCs/>
        </w:rPr>
        <w:t>active</w:t>
      </w:r>
      <w:r>
        <w:t>) using a five-point Likert-type item (“</w:t>
      </w:r>
      <w:r w:rsidRPr="0082235C">
        <w:rPr>
          <w:i/>
          <w:iCs/>
        </w:rPr>
        <w:t>Not at all</w:t>
      </w:r>
      <w:r>
        <w:rPr>
          <w:i/>
          <w:iCs/>
        </w:rPr>
        <w:t>”</w:t>
      </w:r>
      <w:r>
        <w:t xml:space="preserve"> – “</w:t>
      </w:r>
      <w:r w:rsidRPr="0082235C">
        <w:rPr>
          <w:i/>
          <w:iCs/>
        </w:rPr>
        <w:t>Extremely</w:t>
      </w:r>
      <w:r>
        <w:t xml:space="preserve">”). </w:t>
      </w:r>
    </w:p>
    <w:p w14:paraId="267830DC" w14:textId="77777777" w:rsidR="00E0208E" w:rsidRPr="00A06A1C" w:rsidRDefault="00E0208E" w:rsidP="00A06A1C">
      <w:pPr>
        <w:pStyle w:val="Heading4"/>
      </w:pPr>
      <w:r w:rsidRPr="00A06A1C">
        <w:t>Visual comfort</w:t>
      </w:r>
    </w:p>
    <w:p w14:paraId="6BF733AC" w14:textId="11AC7232" w:rsidR="00E0208E" w:rsidRPr="0082235C" w:rsidRDefault="00E0208E" w:rsidP="00A06A1C">
      <w:r>
        <w:t xml:space="preserve">Participants will be asked to rate the current intensity of their visual (dis)comfort symptoms across various dimensions using a custom-made five-point </w:t>
      </w:r>
      <w:r w:rsidR="41F71F73">
        <w:t xml:space="preserve">discrete visual analogue scale </w:t>
      </w:r>
      <w:r>
        <w:t>(“</w:t>
      </w:r>
      <w:r w:rsidRPr="12ACA069">
        <w:rPr>
          <w:i/>
          <w:iCs/>
        </w:rPr>
        <w:t>Please rate the intensity of these symptoms:</w:t>
      </w:r>
      <w:r>
        <w:t>”, ranging from “</w:t>
      </w:r>
      <w:r w:rsidRPr="12ACA069">
        <w:rPr>
          <w:i/>
          <w:iCs/>
        </w:rPr>
        <w:t>None”</w:t>
      </w:r>
      <w:r>
        <w:t xml:space="preserve"> to “</w:t>
      </w:r>
      <w:r w:rsidRPr="12ACA069">
        <w:rPr>
          <w:i/>
          <w:iCs/>
        </w:rPr>
        <w:t>Severe”</w:t>
      </w:r>
      <w:r>
        <w:t>). The choice of visual discomfort dimensions included in this questionnaire is based on common visual discomfort symptoms based on the literature (</w:t>
      </w:r>
      <w:r w:rsidRPr="12ACA069">
        <w:rPr>
          <w:i/>
          <w:iCs/>
        </w:rPr>
        <w:t>general discomfort</w:t>
      </w:r>
      <w:r>
        <w:t xml:space="preserve">, </w:t>
      </w:r>
      <w:r w:rsidRPr="12ACA069">
        <w:rPr>
          <w:i/>
          <w:iCs/>
        </w:rPr>
        <w:t>headache, blurry vision, double vision, eye strain, burning sensation in the eyes, watery eyes, increased sensitivity to light, nausea</w:t>
      </w:r>
      <w:r>
        <w:t xml:space="preserve">). </w:t>
      </w:r>
    </w:p>
    <w:p w14:paraId="05863FD4" w14:textId="77777777" w:rsidR="00E0208E" w:rsidRPr="00A06A1C" w:rsidRDefault="00E0208E" w:rsidP="00A06A1C">
      <w:pPr>
        <w:pStyle w:val="Heading4"/>
      </w:pPr>
      <w:r w:rsidRPr="00A06A1C">
        <w:lastRenderedPageBreak/>
        <w:t>Subjective sleepiness</w:t>
      </w:r>
    </w:p>
    <w:p w14:paraId="0A4B62B0" w14:textId="3E8C21A1" w:rsidR="00E0208E" w:rsidRDefault="00E0208E">
      <w:r>
        <w:t xml:space="preserve">Participants will rate their subjective sleepiness using the Karolinska Sleepiness Scale (KSS, </w:t>
      </w:r>
      <w:r>
        <w:fldChar w:fldCharType="begin"/>
      </w:r>
      <w:r w:rsidR="0092047F">
        <w:instrText xml:space="preserve"> ADDIN ZOTERO_ITEM CSL_CITATION {"citationID":"UGgJlGWD","properties":{"formattedCitation":"(Akerstedt &amp; Gillberg, 1990; Shahid et al., 2011)","plainCitation":"(Akerstedt &amp; Gillberg, 1990; Shahid et al., 2011)","dontUpdate":true,"noteIndex":0},"citationItems":[{"id":1,"uris":["http://zotero.org/users/11330488/items/T2I4TJUL"],"itemData":{"id":1,"type":"article-journal","abstract":"Eight subjects were kept awake and active overnight in a sleep lab isolated from environmental time cues. Ambulatory EEG and EOG were continuously recorded and sleepiness ratings carried out every two hours as was a short EEG test session with eyes open for 5 min and closed for 2 min. The EEG was subjected to spectral analysis and the EOG was visually scored for slow rolling eye movements (SEM). Intrusions of SEM and of alpha and theta power density during waking, open-eyed activity strongly differentiated between high and low subjective sleepiness (the differentiation was poorer for closed eyes) and the mean intraindividual correlations between subjective and objective sleepiness were very high. Still, the covariation was curvilinear; physiological indices of sleepiness did not occur reliably until subjective perceptions fell between \"sleepy\" and \"extremely sleepy-fighting sleep\"; i.e. physiological changes due to sleepiness are not likely to occur until extreme sleepiness is encountered. The results support the notion that ambulatory EEG/EOG changes may be used to quantify sleepiness.","container-title":"The International Journal of Neuroscience","DOI":"10.3109/00207459008994241","ISSN":"0020-7454","issue":"1-2","journalAbbreviation":"Int J Neurosci","language":"eng","note":"PMID: 2265922","page":"29-37","source":"PubMed","title":"Subjective and objective sleepiness in the active individual","volume":"52","author":[{"family":"Akerstedt","given":"T."},{"family":"Gillberg","given":"M."}],"issued":{"date-parts":[["1990",5]]}},"label":"page"},{"id":4170,"uris":["http://zotero.org/groups/4906431/items/2KECL4IS"],"itemData":{"id":4170,"type":"chapter","container-title":"STOP, THAT and One Hundred Other Sleep Scales","event-place":"New York, NY","ISBN":"978-1-4419-9892-7","language":"en","note":"DOI: 10.1007/978-1-4419-9893-4_47","page":"209-210","publisher":"Springer New York","publisher-place":"New York, NY","source":"DOI.org (Crossref)","title":"Karolinska Sleepiness Scale (KSS)","URL":"https://link.springer.com/10.1007/978-1-4419-9893-4_47","editor":[{"family":"Shahid","given":"Azmeh"},{"family":"Wilkinson","given":"Kate"},{"family":"Marcu","given":"Shai"},{"family":"Shapiro","given":"Colin M"}],"author":[{"family":"Shahid","given":"Azmeh"},{"family":"Wilkinson","given":"Kate"},{"family":"Marcu","given":"Shai"},{"family":"Shapiro","given":"Colin M."}],"accessed":{"date-parts":[["2023",9,30]]},"issued":{"date-parts":[["2011"]]}}}],"schema":"https://github.com/citation-style-language/schema/raw/master/csl-citation.json"} </w:instrText>
      </w:r>
      <w:r>
        <w:fldChar w:fldCharType="separate"/>
      </w:r>
      <w:r w:rsidRPr="12ACA069">
        <w:rPr>
          <w:rFonts w:cs="Arial"/>
        </w:rPr>
        <w:t>Shahid et al., 2011)</w:t>
      </w:r>
      <w:r>
        <w:fldChar w:fldCharType="end"/>
      </w:r>
      <w:r>
        <w:t xml:space="preserve"> on a 10-point </w:t>
      </w:r>
      <w:r w:rsidR="510AF6D2">
        <w:t>ordered category</w:t>
      </w:r>
      <w:r>
        <w:t xml:space="preserve"> item “</w:t>
      </w:r>
      <w:r w:rsidRPr="12ACA069">
        <w:rPr>
          <w:i/>
          <w:iCs/>
        </w:rPr>
        <w:t>Please rate your sleepiness in the last 5 minutes</w:t>
      </w:r>
      <w:r>
        <w:t xml:space="preserve">”, with response options: </w:t>
      </w:r>
      <w:r w:rsidRPr="12ACA069">
        <w:rPr>
          <w:i/>
          <w:iCs/>
        </w:rPr>
        <w:t xml:space="preserve">“Extremely alert”, “Very alert”, “Alert”, “Rather alert”, “Neither alert nor sleepy”, </w:t>
      </w:r>
      <w:r>
        <w:t>“</w:t>
      </w:r>
      <w:r w:rsidRPr="12ACA069">
        <w:rPr>
          <w:i/>
          <w:iCs/>
        </w:rPr>
        <w:t xml:space="preserve">Some signs of sleepiness”, “Sleepy, but no effort to keep awake”, “Sleepy, but some effort to keep awake”, “Very sleepy, great effort to keep awake, fighting sleep”, </w:t>
      </w:r>
      <w:r>
        <w:t xml:space="preserve"> “</w:t>
      </w:r>
      <w:r w:rsidRPr="12ACA069">
        <w:rPr>
          <w:i/>
          <w:iCs/>
        </w:rPr>
        <w:t>Extremely sleepy, fighting sleep</w:t>
      </w:r>
      <w:r>
        <w:t>”.</w:t>
      </w:r>
    </w:p>
    <w:p w14:paraId="0915B609" w14:textId="77777777" w:rsidR="00E0208E" w:rsidRPr="00A06A1C" w:rsidRDefault="00E0208E" w:rsidP="00A06A1C">
      <w:pPr>
        <w:pStyle w:val="Heading3"/>
      </w:pPr>
      <w:r w:rsidRPr="00A06A1C">
        <w:t>Blood samples</w:t>
      </w:r>
    </w:p>
    <w:p w14:paraId="20F51E4F" w14:textId="630FBC73" w:rsidR="00E0208E" w:rsidRPr="0006377D" w:rsidRDefault="62A0425E" w:rsidP="000B454A">
      <w:r>
        <w:t xml:space="preserve">Blood samples will be collected twice during each experimental night: once immediately before bright light exposure (2 hours prior to HBT) and once immediately before the end of bright light exposure (at HBT). The first blood sample will be used for </w:t>
      </w:r>
      <w:r w:rsidR="000E4568">
        <w:t xml:space="preserve">analysis of </w:t>
      </w:r>
      <w:r>
        <w:t xml:space="preserve">sex steroid hormones. </w:t>
      </w:r>
      <w:r w:rsidR="2A381584">
        <w:t xml:space="preserve">The second blood sample </w:t>
      </w:r>
      <w:r w:rsidR="000E4568">
        <w:t>is collected</w:t>
      </w:r>
      <w:r w:rsidR="2A381584">
        <w:t xml:space="preserve"> for exploratory analyses looking at the effect of light exposure on metabolomics. </w:t>
      </w:r>
      <w:r>
        <w:t xml:space="preserve">During the dim-light control experimental session, blood samples will be collected at the same time points despite a lack of light exposure. At each time point, blood will be collected using two 2.7 ml </w:t>
      </w:r>
      <w:r w:rsidR="00560912" w:rsidRPr="00560912">
        <w:t>ethylenediaminetetraacetic acid</w:t>
      </w:r>
      <w:r w:rsidR="00560912">
        <w:t xml:space="preserve"> (</w:t>
      </w:r>
      <w:r>
        <w:t>EDTA</w:t>
      </w:r>
      <w:r w:rsidR="00560912">
        <w:t>)</w:t>
      </w:r>
      <w:r>
        <w:t xml:space="preserve"> tubes. The samples will immediately be centrifuged at room temperature </w:t>
      </w:r>
      <w:r w:rsidR="000E4568">
        <w:t xml:space="preserve">(10 minutes at 2750g) </w:t>
      </w:r>
      <w:r>
        <w:t>to separate plasma and serum</w:t>
      </w:r>
      <w:r w:rsidR="000E4568">
        <w:t xml:space="preserve">. </w:t>
      </w:r>
      <w:r>
        <w:t xml:space="preserve">After centrifugation, the plasma from both EDTA tubes will be mixed and aliquoted into 200 </w:t>
      </w:r>
      <w:r w:rsidRPr="26EC6AF4">
        <w:rPr>
          <w:rFonts w:cs="Arial"/>
        </w:rPr>
        <w:t>µ</w:t>
      </w:r>
      <w:r>
        <w:t>l Eppendorf tubes. These aliquots will then be snap-frozen in liquid nitrogen until the end of the experimental session and then stored at -80°C until analysis. Blood samples will be analysed for endogenous sex hormones (</w:t>
      </w:r>
      <w:proofErr w:type="spellStart"/>
      <w:r>
        <w:t>estradiol</w:t>
      </w:r>
      <w:proofErr w:type="spellEnd"/>
      <w:r>
        <w:t xml:space="preserve">, progesterone and testosterone) using </w:t>
      </w:r>
      <w:r w:rsidR="00560912" w:rsidRPr="26EC6AF4">
        <w:rPr>
          <w:lang w:val="en-US"/>
        </w:rPr>
        <w:t xml:space="preserve">liquid chromatography coupled to tandem mass spectrometry </w:t>
      </w:r>
      <w:r w:rsidR="00560912">
        <w:rPr>
          <w:lang w:val="en-US"/>
        </w:rPr>
        <w:t>(</w:t>
      </w:r>
      <w:r>
        <w:t>LC-MS</w:t>
      </w:r>
      <w:r w:rsidR="00560912">
        <w:t>/MS)</w:t>
      </w:r>
      <w:r>
        <w:t xml:space="preserve"> in all three groups. Furthermore, non-targeted LC-MS</w:t>
      </w:r>
      <w:r w:rsidR="00105E83">
        <w:t>/MS</w:t>
      </w:r>
      <w:r>
        <w:t xml:space="preserve"> will be used to detect synthetic hormones (</w:t>
      </w:r>
      <w:proofErr w:type="spellStart"/>
      <w:r>
        <w:t>eth</w:t>
      </w:r>
      <w:r w:rsidR="0029634B">
        <w:t>i</w:t>
      </w:r>
      <w:r>
        <w:t>nylestradiol</w:t>
      </w:r>
      <w:proofErr w:type="spellEnd"/>
      <w:r>
        <w:t xml:space="preserve"> and synthetic progestin) contained in the contraceptive pill. This analysis will be performed for all participants of the MCOC group, as well as for n=3 participants of the NC group and for n=3 participants of the HM group. As the concentration of exogenous hormones in the NC and HM groups is expected to be zero, analysis on a subset of participants (n=3/group as reported above) will serve as a control measure to ensure this.</w:t>
      </w:r>
      <w:r w:rsidRPr="26EC6AF4">
        <w:rPr>
          <w:rFonts w:ascii="Calibri" w:hAnsi="Calibri" w:cs="Calibri"/>
          <w:lang w:val="en-US"/>
        </w:rPr>
        <w:t xml:space="preserve"> </w:t>
      </w:r>
      <w:r w:rsidRPr="26EC6AF4">
        <w:rPr>
          <w:lang w:val="en-US"/>
        </w:rPr>
        <w:t>Steroids will be extracted from plasma using solid phase extraction and detected by liquid chromatography coupled to tandem mass spectrometry (LC-MS/MS) using the UHPLC-system LC-40D (Shimadzu, Duisburg, Germany) and a QTrap6500+ (</w:t>
      </w:r>
      <w:proofErr w:type="spellStart"/>
      <w:r w:rsidRPr="26EC6AF4">
        <w:rPr>
          <w:lang w:val="en-US"/>
        </w:rPr>
        <w:t>Sciex</w:t>
      </w:r>
      <w:proofErr w:type="spellEnd"/>
      <w:r w:rsidRPr="26EC6AF4">
        <w:rPr>
          <w:lang w:val="en-US"/>
        </w:rPr>
        <w:t xml:space="preserve">, Darmstadt, Germany). </w:t>
      </w:r>
    </w:p>
    <w:p w14:paraId="76988886" w14:textId="77777777" w:rsidR="00E0208E" w:rsidRPr="00A06A1C" w:rsidRDefault="00E0208E" w:rsidP="00A06A1C">
      <w:pPr>
        <w:pStyle w:val="Heading3"/>
      </w:pPr>
      <w:r w:rsidRPr="00A06A1C">
        <w:t>Continuous measurements</w:t>
      </w:r>
    </w:p>
    <w:p w14:paraId="54BA75FD" w14:textId="1FBC1987" w:rsidR="00E0208E" w:rsidRPr="006359FE" w:rsidRDefault="00E0208E" w:rsidP="00A06A1C">
      <w:r>
        <w:t xml:space="preserve">This study involves daily or multi-day monitoring of a variety of behavioural and biological outcomes, including self-reported ones. For these, participants will use the </w:t>
      </w:r>
      <w:proofErr w:type="spellStart"/>
      <w:r>
        <w:t>MyCap</w:t>
      </w:r>
      <w:proofErr w:type="spellEnd"/>
      <w:r>
        <w:t xml:space="preserve"> app </w:t>
      </w:r>
      <w:r>
        <w:fldChar w:fldCharType="begin"/>
      </w:r>
      <w:r w:rsidR="0092047F">
        <w:instrText xml:space="preserve"> ADDIN ZOTERO_ITEM CSL_CITATION {"citationID":"zFztQX1T","properties":{"formattedCitation":"(Harris et al., 2022)","plainCitation":"(Harris et al., 2022)","noteIndex":0},"citationItems":[{"id":287,"uris":["http://zotero.org/users/11330488/items/XQZUZX7C"],"itemData":{"id":287,"type":"article-journal","abstract":"This paper provides a description of the MyCap data collection platform, utilization metrics, and vignettes associated with use from diverse research institutions. MyCap is a participant-facing mobile application for survey data collection and the automated administration of active tasks (activities performed by participants using mobile device sensors under semi-controlled conditions). Launched in 2018, MyCap is a no-code solution for research teams conducting longitudinal studies, integrates tightly with REDCap and is available at no cost to research teams at academic, nonprofit, or government organizations. MyCap has been deployed at multiple research institutions with application usage logged across 135 countries in 2021. Vignettes demonstrate that MyCap empowered research teams to explore and implement novel methods of information collection and use. MyCap’s integration with REDCap provides a comprehensive data collection ecosystem and is best suited for longitudinal studies with frequent requests for information from participants.","container-title":"JAMIA Open","DOI":"10.1093/jamiaopen/ooac047","ISSN":"2574-2531","issue":"2","journalAbbreviation":"JAMIA Open","page":"ooac047","source":"Silverchair","title":"MyCap: a flexible and configurable platform for mobilizing the participant voice","title-short":"MyCap","volume":"5","author":[{"family":"Harris","given":"Paul A"},{"family":"Swafford","given":"Jonathan"},{"family":"Serdoz","given":"Emily S"},{"family":"Eidenmuller","given":"Jessica"},{"family":"Delacqua","given":"Giovanni"},{"family":"Jagtap","given":"Vaishali"},{"family":"Taylor","given":"Robert J"},{"family":"Gelbard","given":"Alexander"},{"family":"Cheng","given":"Alex C"},{"family":"Duda","given":"Stephany N"}],"issued":{"date-parts":[["2022",7,1]]}}}],"schema":"https://github.com/citation-style-language/schema/raw/master/csl-citation.json"} </w:instrText>
      </w:r>
      <w:r>
        <w:fldChar w:fldCharType="separate"/>
      </w:r>
      <w:r w:rsidRPr="006359FE">
        <w:rPr>
          <w:rFonts w:cs="Arial"/>
        </w:rPr>
        <w:t xml:space="preserve">(Harris </w:t>
      </w:r>
      <w:r w:rsidRPr="006359FE">
        <w:rPr>
          <w:rFonts w:cs="Arial"/>
        </w:rPr>
        <w:lastRenderedPageBreak/>
        <w:t>et al., 2022)</w:t>
      </w:r>
      <w:r>
        <w:fldChar w:fldCharType="end"/>
      </w:r>
      <w:r>
        <w:t xml:space="preserve"> on their smartphones to fill in questionnaires, which integrates with </w:t>
      </w:r>
      <w:proofErr w:type="spellStart"/>
      <w:r>
        <w:t>REDCap</w:t>
      </w:r>
      <w:proofErr w:type="spellEnd"/>
      <w:r>
        <w:t xml:space="preserve"> </w:t>
      </w:r>
      <w:r>
        <w:fldChar w:fldCharType="begin"/>
      </w:r>
      <w:r w:rsidR="00321333">
        <w:instrText xml:space="preserve"> ADDIN ZOTERO_ITEM CSL_CITATION {"citationID":"D37GChPT","properties":{"formattedCitation":"(Harris et al., 2009, 2019)","plainCitation":"(Harris et al., 2009, 2019)","noteIndex":0},"citationItems":[{"id":289,"uris":["http://zotero.org/users/11330488/items/39WX7AXL"],"itemData":{"id":289,"type":"article-journal","abstract":"Research electronic data capture (REDCap) is a novel workflow methodology and software solution designed for rapid development and deployment of electronic data capture tools to support clinical and translational research. We present: (1) a brief description of the REDCap metadata-driven software toolset; (2) detail concerning the capture and use of study-related metadata from scientific research teams; (3) measures of impact for REDCap; (4) details concerning a consortium network of domestic and international institutions collaborating on the project; and (5) strengths and limitations of the REDCap system. REDCap is currently supporting 286 translational research projects in a growing collaborative network including 27 active partner institutions.","container-title":"Journal of Biomedical Informatics","DOI":"10.1016/j.jbi.2008.08.010","ISSN":"1532-0464","issue":"2","journalAbbreviation":"Journal of Biomedical Informatics","page":"377-381","source":"ScienceDirect","title":"Research electronic data capture (REDCap)—A metadata-driven methodology and workflow process for providing translational research informatics support","volume":"42","author":[{"family":"Harris","given":"Paul A."},{"family":"Taylor","given":"Robert"},{"family":"Thielke","given":"Robert"},{"family":"Payne","given":"Jonathon"},{"family":"Gonzalez","given":"Nathaniel"},{"family":"Conde","given":"Jose G."}],"issued":{"date-parts":[["2009",4,1]]}}},{"id":9806,"uris":["http://zotero.org/users/11330488/items/KSWG9YRW"],"itemData":{"id":9806,"type":"article-journal","abstract":"The Research Electronic Data Capture (REDCap) data management platform was developed in 2004 to address an institutional need at Vanderbilt University, then shared with a limited number of adopting sites beginning in 2006. Given bi-directional benefit in early sharing experiments, we created a broader consortium sharing and support model for any academic, non-profit, or government partner wishing to adopt the software. Our sharing framework and consortium-based support model have evolved over time along with the size of the consortium (currently more than 3200 REDCap partners across 128 countries). While the “REDCap Consortium” model represents only one example of how to build and disseminate a software platform, lessons learned from our approach may assist other research institutions seeking to build and disseminate innovative technologies.","container-title":"Journal of Biomedical Informatics","DOI":"10.1016/j.jbi.2019.103208","ISSN":"1532-0464","journalAbbreviation":"Journal of Biomedical Informatics","page":"103208","source":"ScienceDirect","title":"The REDCap consortium: Building an international community of software platform partners","title-short":"The REDCap consortium","volume":"95","author":[{"family":"Harris","given":"Paul A."},{"family":"Taylor","given":"Robert"},{"family":"Minor","given":"Brenda L."},{"family":"Elliott","given":"Veida"},{"family":"Fernandez","given":"Michelle"},{"family":"O'Neal","given":"Lindsay"},{"family":"McLeod","given":"Laura"},{"family":"Delacqua","given":"Giovanni"},{"family":"Delacqua","given":"Francesco"},{"family":"Kirby","given":"Jacqueline"},{"family":"Duda","given":"Stephany N."}],"issued":{"date-parts":[["2019",7,1]]}}}],"schema":"https://github.com/citation-style-language/schema/raw/master/csl-citation.json"} </w:instrText>
      </w:r>
      <w:r>
        <w:fldChar w:fldCharType="separate"/>
      </w:r>
      <w:r w:rsidR="00321333" w:rsidRPr="00321333">
        <w:rPr>
          <w:rFonts w:cs="Arial"/>
        </w:rPr>
        <w:t>(Harris et al., 2009, 2019)</w:t>
      </w:r>
      <w:r>
        <w:fldChar w:fldCharType="end"/>
      </w:r>
      <w:r>
        <w:t xml:space="preserve"> and will thus allow researchers to access the participants’ responses. These continuous questionnaires consist of a morning sleep diary, an evening mood diary, an LH results log, a pill intake log, and a menses onset log</w:t>
      </w:r>
      <w:r w:rsidR="00425DA2">
        <w:t xml:space="preserve">. </w:t>
      </w:r>
      <w:r>
        <w:t xml:space="preserve"> </w:t>
      </w:r>
    </w:p>
    <w:p w14:paraId="104D47C0" w14:textId="77777777" w:rsidR="00E0208E" w:rsidRPr="00A06A1C" w:rsidRDefault="00E0208E" w:rsidP="00A06A1C">
      <w:pPr>
        <w:pStyle w:val="Heading4"/>
      </w:pPr>
      <w:r w:rsidRPr="00A06A1C">
        <w:t>Morning sleep diary</w:t>
      </w:r>
    </w:p>
    <w:p w14:paraId="7FC6463F" w14:textId="1A60F2C3" w:rsidR="00E0208E" w:rsidRDefault="00E0208E" w:rsidP="00A06A1C">
      <w:r>
        <w:t xml:space="preserve">Every morning from the start of circadian stabilisation until the last experimental session, participants will be filling in a morning sleep diary upon wakening (Consensus Sleep Diary, core version; </w:t>
      </w:r>
      <w:r>
        <w:fldChar w:fldCharType="begin"/>
      </w:r>
      <w:r w:rsidR="0092047F">
        <w:instrText xml:space="preserve"> ADDIN ZOTERO_ITEM CSL_CITATION {"citationID":"0OGjjNgR","properties":{"formattedCitation":"(Carney et al., 2012)","plainCitation":"(Carney et al., 2012)","dontUpdate":true,"noteIndex":0},"citationItems":[{"id":3,"uris":["http://zotero.org/users/11330488/items/83ATNELW"],"itemData":{"id":3,"type":"article-journal","abstract":"Study Objectives:\nTo present an expert consensus, standardized, patient-informed sleep diary.\n\nMethods and Results:\nSleep diaries from the original expert panel of 25 attendees of the Pittsburgh Assessment Conference were collected and reviewed. A smaller subset of experts formed a committee and reviewed the compiled diaries. Items deemed essential were included in a Core sleep diary, and those deemed optional were retained for an expanded diary. Secondly, optional items would be available in other versions. A draft of the Core and optional versions along with a feedback questionnaire were sent to members of the Pittsburgh Assessment Conference. The feedback from the group was integrated and the diary drafts were subjected to 6 focus groups composed of good sleepers, people with insomnia, and people with sleep apnea. The data were summarized into themes and changes to the drafts were made in response to the focus groups. The resultant draft was evaluated by another focus group and subjected to lexile analyses. The lexile analyses suggested that the Core diary instructions are at a sixth-grade reading level and the Core diary was written at a third-grade reading level.\n\nConclusions:\nThe Consensus Sleep Diary was the result of collaborations with insomnia experts and potential users. The adoption of a standard sleep diary for insomnia will facilitate comparisons across studies and advance the field. The proposed diary is intended as a living document which still needs to be tested, refined, and validated.\n\nCitation:\nCarney CE; Buysse DJ; Ancoli-Israel S; Edinger JD; Krystal AD; Lichstein KL; Morin CM. The consensus sleep diary: standardizing prospective sleep self-monitoring. SLEEP 2012;35(2):287–302.","container-title":"Sleep","DOI":"10.5665/sleep.1642","ISSN":"0161-8105","issue":"2","journalAbbreviation":"Sleep","note":"PMID: 22294820\nPMCID: PMC3250369","page":"287-302","source":"PubMed Central","title":"The Consensus Sleep Diary: Standardizing Prospective Sleep Self-Monitoring","title-short":"The Consensus Sleep Diary","volume":"35","author":[{"family":"Carney","given":"Colleen E."},{"family":"Buysse","given":"Daniel J."},{"family":"Ancoli-Israel","given":"Sonia"},{"family":"Edinger","given":"Jack D."},{"family":"Krystal","given":"Andrew D."},{"family":"Lichstein","given":"Kenneth L."},{"family":"Morin","given":"Charles M."}],"issued":{"date-parts":[["2012",2,1]]}}}],"schema":"https://github.com/citation-style-language/schema/raw/master/csl-citation.json"} </w:instrText>
      </w:r>
      <w:r>
        <w:fldChar w:fldCharType="separate"/>
      </w:r>
      <w:r w:rsidRPr="00BD725E">
        <w:t>Carney et al., 2012)</w:t>
      </w:r>
      <w:r>
        <w:fldChar w:fldCharType="end"/>
      </w:r>
      <w:r>
        <w:t>. This questionnaire consists of nine items to assess their bed and sleep timing, sleep duration, number and duration of awakenings, sleep offset, time of getting out of bed, type of day (free/work day), and their subjective sleep quality (assessed using a five-point Likert-type item including “</w:t>
      </w:r>
      <w:r w:rsidRPr="006359FE">
        <w:rPr>
          <w:i/>
          <w:iCs/>
        </w:rPr>
        <w:t>Very poor</w:t>
      </w:r>
      <w:r>
        <w:t>”, “</w:t>
      </w:r>
      <w:r w:rsidRPr="00927405">
        <w:rPr>
          <w:i/>
          <w:iCs/>
        </w:rPr>
        <w:t>Poor</w:t>
      </w:r>
      <w:r>
        <w:t>”, “</w:t>
      </w:r>
      <w:r w:rsidRPr="00927405">
        <w:rPr>
          <w:i/>
          <w:iCs/>
        </w:rPr>
        <w:t>Fair</w:t>
      </w:r>
      <w:r>
        <w:t>”, “</w:t>
      </w:r>
      <w:r w:rsidRPr="00927405">
        <w:rPr>
          <w:i/>
          <w:iCs/>
        </w:rPr>
        <w:t>Good”,</w:t>
      </w:r>
      <w:r>
        <w:t xml:space="preserve"> and “</w:t>
      </w:r>
      <w:r w:rsidRPr="006359FE">
        <w:rPr>
          <w:i/>
          <w:iCs/>
        </w:rPr>
        <w:t>Very good</w:t>
      </w:r>
      <w:r>
        <w:t>”). Responses to this questionnaire will be checked daily by the researcher to ensure compliance with the self-selected sleep/wake schedule.</w:t>
      </w:r>
      <w:r w:rsidR="00087DEA">
        <w:t xml:space="preserve"> This data will not be used for the confirmatory analyses of this study, but might be used for exploratory analyses.</w:t>
      </w:r>
    </w:p>
    <w:p w14:paraId="7481D33F" w14:textId="77777777" w:rsidR="00E0208E" w:rsidRPr="00A06A1C" w:rsidRDefault="00E0208E" w:rsidP="00A06A1C">
      <w:pPr>
        <w:pStyle w:val="Heading4"/>
      </w:pPr>
      <w:r w:rsidRPr="00A06A1C">
        <w:t>Evening mood diary</w:t>
      </w:r>
    </w:p>
    <w:p w14:paraId="33921B89" w14:textId="1CBE6F7C" w:rsidR="00E0208E" w:rsidRPr="00AE562F" w:rsidRDefault="00E0208E" w:rsidP="00A06A1C">
      <w:r>
        <w:t xml:space="preserve">Every evening before going to sleep, participants will retrospectively report their mood using a modified version of the </w:t>
      </w:r>
      <w:proofErr w:type="spellStart"/>
      <w:r>
        <w:t>MoodZoom</w:t>
      </w:r>
      <w:proofErr w:type="spellEnd"/>
      <w:r>
        <w:t xml:space="preserve"> questionnaire </w:t>
      </w:r>
      <w:r>
        <w:fldChar w:fldCharType="begin"/>
      </w:r>
      <w:r w:rsidR="0092047F">
        <w:instrText xml:space="preserve"> ADDIN ZOTERO_ITEM CSL_CITATION {"citationID":"Q8F2QKKr","properties":{"formattedCitation":"(Tsanas et al., 2016)","plainCitation":"(Tsanas et al., 2016)","noteIndex":0},"citationItems":[{"id":2,"uris":["http://zotero.org/users/11330488/items/64DIXEWG"],"itemData":{"id":2,"type":"article-journal","abstract":"Background\nTraditionally, assessment of psychiatric symptoms has been relying on their retrospective report to a trained interviewer. The emergence of smartphones facilitates passive sensor-based monitoring and active real-time monitoring through time-stamped prompts; however there are few validated self-report measures designed for this purpose.\nMethods\nWe introduce a novel, compact questionnaire, Mood Zoom (MZ), embedded in a customised smart-phone application. MZ asks participants to rate anxiety, elation, sadness, anger, irritability and energy on a 7-point Likert scale. For comparison, we used four standard clinical questionnaires administered to participants weekly to quantify mania (ASRM), depression (QIDS), anxiety (GAD-7), and quality of life (EQ-5D). We monitored 48 Bipolar Disorder (BD), 31 Borderline Personality Disorders (BPD) and 51 Healthy control (HC) participants to study longitudinal (median±iqr: 313±194 days) variation and differences of mood traits by exploring the data using diverse time-series tools.\nResults\nMZ correlated well (|R|&gt;0.5,p&lt;0.0001) with QIDS, GAD-7, and EQ-5D. We found statistically strong (|R|&gt;0.3,p&lt;0.0001) differences in variability in all questionnaires for the three cohorts. Compared to HC, BD and BPD participants exhibit different trends and variability, and on average had higher self-reported scores in mania, depression, and anxiety, and lower quality of life. In particular, analysis of MZ variability can differentiate BD and BPD which was not hitherto possible using the weekly questionnaires.\nLimitations\nAll reported scores rely on self-assessment; there is a lack of ongoing clinical assessment by experts to validate the findings.\nConclusions\nMZ could be used for efficient, long-term, effective daily monitoring of mood instability in clinical psychiatric practice.","container-title":"Journal of Affective Disorders","DOI":"10.1016/j.jad.2016.06.065","ISSN":"0165-0327","journalAbbreviation":"Journal of Affective Disorders","page":"225-233","source":"ScienceDirect","title":"Daily longitudinal self-monitoring of mood variability in bipolar disorder and borderline personality disorder","volume":"205","author":[{"family":"Tsanas","given":"A."},{"family":"Saunders","given":"K. E. A."},{"family":"Bilderbeck","given":"A. C."},{"family":"Palmius","given":"N."},{"family":"Osipov","given":"M."},{"family":"Clifford","given":"G. D."},{"family":"Goodwin","given":"G. Μ."},{"family":"De Vos","given":"M."}],"issued":{"date-parts":[["2016",11,15]]}}}],"schema":"https://github.com/citation-style-language/schema/raw/master/csl-citation.json"} </w:instrText>
      </w:r>
      <w:r>
        <w:fldChar w:fldCharType="separate"/>
      </w:r>
      <w:r w:rsidRPr="26EC6AF4">
        <w:rPr>
          <w:rFonts w:cs="Arial"/>
        </w:rPr>
        <w:t>(</w:t>
      </w:r>
      <w:proofErr w:type="spellStart"/>
      <w:r w:rsidRPr="26EC6AF4">
        <w:rPr>
          <w:rFonts w:cs="Arial"/>
        </w:rPr>
        <w:t>Tsanas</w:t>
      </w:r>
      <w:proofErr w:type="spellEnd"/>
      <w:r w:rsidRPr="26EC6AF4">
        <w:rPr>
          <w:rFonts w:cs="Arial"/>
        </w:rPr>
        <w:t xml:space="preserve"> et al., 2016)</w:t>
      </w:r>
      <w:r>
        <w:fldChar w:fldCharType="end"/>
      </w:r>
      <w:r>
        <w:t xml:space="preserve">. The original questionnaire is modified to replace the word “elated” with “happy”, and to measure retrospective rather than current mood. This questionnaire asks participants to what extent the following words describe their mood for the past day: </w:t>
      </w:r>
      <w:r w:rsidRPr="26EC6AF4">
        <w:rPr>
          <w:i/>
          <w:iCs/>
        </w:rPr>
        <w:t>anxious</w:t>
      </w:r>
      <w:r>
        <w:t xml:space="preserve">, </w:t>
      </w:r>
      <w:r w:rsidRPr="26EC6AF4">
        <w:rPr>
          <w:i/>
          <w:iCs/>
        </w:rPr>
        <w:t>happy</w:t>
      </w:r>
      <w:r>
        <w:t xml:space="preserve">, </w:t>
      </w:r>
      <w:r w:rsidRPr="26EC6AF4">
        <w:rPr>
          <w:i/>
          <w:iCs/>
        </w:rPr>
        <w:t>sad</w:t>
      </w:r>
      <w:r>
        <w:t xml:space="preserve">, </w:t>
      </w:r>
      <w:r w:rsidRPr="26EC6AF4">
        <w:rPr>
          <w:i/>
          <w:iCs/>
        </w:rPr>
        <w:t>angry</w:t>
      </w:r>
      <w:r>
        <w:t xml:space="preserve">, </w:t>
      </w:r>
      <w:r w:rsidRPr="26EC6AF4">
        <w:rPr>
          <w:i/>
          <w:iCs/>
        </w:rPr>
        <w:t>irritable</w:t>
      </w:r>
      <w:r>
        <w:t xml:space="preserve">, and </w:t>
      </w:r>
      <w:r w:rsidRPr="26EC6AF4">
        <w:rPr>
          <w:i/>
          <w:iCs/>
        </w:rPr>
        <w:t xml:space="preserve">energetic </w:t>
      </w:r>
      <w:r>
        <w:t>using a seven-point ordered category scale (“</w:t>
      </w:r>
      <w:r w:rsidRPr="26EC6AF4">
        <w:rPr>
          <w:i/>
          <w:iCs/>
        </w:rPr>
        <w:t>Not at all”</w:t>
      </w:r>
      <w:r>
        <w:t>, “</w:t>
      </w:r>
      <w:r w:rsidRPr="26EC6AF4">
        <w:rPr>
          <w:i/>
          <w:iCs/>
        </w:rPr>
        <w:t>Slightly</w:t>
      </w:r>
      <w:r>
        <w:t>”, “</w:t>
      </w:r>
      <w:r w:rsidRPr="26EC6AF4">
        <w:rPr>
          <w:i/>
          <w:iCs/>
        </w:rPr>
        <w:t>Somewhat</w:t>
      </w:r>
      <w:r>
        <w:t>”, “</w:t>
      </w:r>
      <w:r w:rsidRPr="26EC6AF4">
        <w:rPr>
          <w:i/>
          <w:iCs/>
        </w:rPr>
        <w:t>Moderately</w:t>
      </w:r>
      <w:r>
        <w:t>”, “</w:t>
      </w:r>
      <w:r w:rsidRPr="26EC6AF4">
        <w:rPr>
          <w:i/>
          <w:iCs/>
        </w:rPr>
        <w:t>Quite a bit</w:t>
      </w:r>
      <w:r>
        <w:t>”, “</w:t>
      </w:r>
      <w:r w:rsidRPr="26EC6AF4">
        <w:rPr>
          <w:i/>
          <w:iCs/>
        </w:rPr>
        <w:t>Very much so</w:t>
      </w:r>
      <w:r>
        <w:t>”, “</w:t>
      </w:r>
      <w:r w:rsidRPr="26EC6AF4">
        <w:rPr>
          <w:i/>
          <w:iCs/>
        </w:rPr>
        <w:t>Extremely</w:t>
      </w:r>
      <w:r>
        <w:t xml:space="preserve">”). </w:t>
      </w:r>
      <w:r w:rsidR="09AF9032">
        <w:t>This data will not be used for the confirmatory hypothesis here, but rather for exploratory analyses.</w:t>
      </w:r>
    </w:p>
    <w:p w14:paraId="07373628" w14:textId="77777777" w:rsidR="00E0208E" w:rsidRPr="00A06A1C" w:rsidRDefault="00E0208E" w:rsidP="00A06A1C">
      <w:pPr>
        <w:pStyle w:val="Heading4"/>
      </w:pPr>
      <w:bookmarkStart w:id="2" w:name="_Hlk196989749"/>
      <w:r w:rsidRPr="00A06A1C">
        <w:t>Luteinising hormone (LH) testing and logging</w:t>
      </w:r>
    </w:p>
    <w:bookmarkEnd w:id="2"/>
    <w:p w14:paraId="6C2558C5" w14:textId="3BD69F74" w:rsidR="00E0208E" w:rsidRDefault="00E0208E" w:rsidP="00A06A1C">
      <w:r>
        <w:t xml:space="preserve">NC group participants will test for rising levels of urinary E2 and LH surge using at-home Clearblue Advanced Digital ovulation tests (Clearblue, Swiss Precision Diagnostics GmbH, Geneva, Switzerland). The Clearblue Advanced Digital Ovulation tests detect the rise in the estrone-3-D-glucuronide (E3G), a metabolite of </w:t>
      </w:r>
      <w:proofErr w:type="spellStart"/>
      <w:r>
        <w:t>estradiol</w:t>
      </w:r>
      <w:proofErr w:type="spellEnd"/>
      <w:r>
        <w:t xml:space="preserve">, which precedes LH release from the pituitary gland. </w:t>
      </w:r>
      <w:r w:rsidR="14747639">
        <w:t xml:space="preserve">According to manufacturer data on n=87 individuals, 66% of users experienced positive E2 results for 0-4 days before obtaining a positive LH result, 25% for 5-9 days, 1% for more than 10 days, and 8% only got a positive E2 result, without getting a positive LH result </w:t>
      </w:r>
      <w:r>
        <w:fldChar w:fldCharType="begin"/>
      </w:r>
      <w:r w:rsidR="0021385B">
        <w:instrText xml:space="preserve"> ADDIN ZOTERO_ITEM CSL_CITATION {"citationID":"823oyfpy","properties":{"formattedCitation":"({\\i{}Advanced Digital Ovulation Test}, 2016)","plainCitation":"(Advanced Digital Ovulation Test, 2016)","noteIndex":0},"citationItems":[{"id":9801,"uris":["http://zotero.org/users/11330488/items/RN4A2R57"],"itemData":{"id":9801,"type":"webpage","abstract":"This ovulation test tracks 2 hormones to typically identify 4 or more fertile days - more than any other ovulation test.","language":"en-US","title":"Advanced Digital Ovulation Test: Typically identifies 4 or more Fertile Days","title-short":"Advanced Digital Ovulation Test","URL":"https://www.clearblue.com/ovulation-tests/advanced-digital","accessed":{"date-parts":[["2025",5,7]]},"issued":{"date-parts":[["2016",4,20]]}}}],"schema":"https://github.com/citation-style-language/schema/raw/master/csl-citation.json"} </w:instrText>
      </w:r>
      <w:r>
        <w:fldChar w:fldCharType="separate"/>
      </w:r>
      <w:r w:rsidR="14747639" w:rsidRPr="12ACA069">
        <w:rPr>
          <w:rFonts w:cs="Arial"/>
        </w:rPr>
        <w:t>(</w:t>
      </w:r>
      <w:r w:rsidR="14747639" w:rsidRPr="12ACA069">
        <w:rPr>
          <w:rFonts w:cs="Arial"/>
          <w:i/>
          <w:iCs/>
        </w:rPr>
        <w:t>Advanced Digital Ovulation Test</w:t>
      </w:r>
      <w:r w:rsidR="14747639" w:rsidRPr="12ACA069">
        <w:rPr>
          <w:rFonts w:cs="Arial"/>
        </w:rPr>
        <w:t>, 2016)</w:t>
      </w:r>
      <w:r>
        <w:fldChar w:fldCharType="end"/>
      </w:r>
      <w:r w:rsidR="14747639">
        <w:t xml:space="preserve">. </w:t>
      </w:r>
      <w:r>
        <w:t xml:space="preserve">When participants start testing, low levels of E3G and LH will return a negative result (black circle on the display monitor), and provide the device with a “baseline measurement”. Once the test first detects a rise in E3G levels from baseline, </w:t>
      </w:r>
      <w:r>
        <w:lastRenderedPageBreak/>
        <w:t xml:space="preserve">it returns a blinking smiley on the device’s small display. Once the test detects LH above a threshold of 40 </w:t>
      </w:r>
      <w:proofErr w:type="spellStart"/>
      <w:r w:rsidR="00087DEA">
        <w:t>mIU</w:t>
      </w:r>
      <w:proofErr w:type="spellEnd"/>
      <w:r w:rsidR="00087DEA">
        <w:t>/mL</w:t>
      </w:r>
      <w:r>
        <w:t xml:space="preserve">, the device’s display returns a stable smiley which lasts 48 hours. During the in-person screening, participants will be trained in using these tests and provided with an infographic instruction sheet to refer to when using the tests at home. Participants will log their E3G and LH test results in a questionnaire on the </w:t>
      </w:r>
      <w:proofErr w:type="spellStart"/>
      <w:r>
        <w:t>MyCap</w:t>
      </w:r>
      <w:proofErr w:type="spellEnd"/>
      <w:r>
        <w:t xml:space="preserve"> app every day from the start of testing until a positive LH result is obtained, and add a picture or video (for the blinking smiley) of the result displayed on the monitor. They will perform this test in the morning after their longest sleep, as the first urine sample of the day and before to drinking any water or beverage. </w:t>
      </w:r>
    </w:p>
    <w:p w14:paraId="6FCB7F44" w14:textId="77777777" w:rsidR="00E0208E" w:rsidRPr="00A06A1C" w:rsidRDefault="00E0208E" w:rsidP="00A06A1C">
      <w:pPr>
        <w:pStyle w:val="Heading4"/>
      </w:pPr>
      <w:r w:rsidRPr="00A06A1C">
        <w:t xml:space="preserve">Pill intake and menses onset logging </w:t>
      </w:r>
    </w:p>
    <w:p w14:paraId="6CDE3DB9" w14:textId="35626E56" w:rsidR="00E0208E" w:rsidRDefault="00E0208E" w:rsidP="00A06A1C">
      <w:r>
        <w:t>Participants of the MCOC group will be asked to take the contraceptive pill in the morning, directly after waking up, throughout the study. Every morning after intake, they will complete a short survey to log timing (“</w:t>
      </w:r>
      <w:r>
        <w:rPr>
          <w:i/>
          <w:iCs/>
        </w:rPr>
        <w:t>Please indicate the time when you took the pill this morning”</w:t>
      </w:r>
      <w:r>
        <w:t>) and type (active/inactive) of pill intake (</w:t>
      </w:r>
      <w:r>
        <w:rPr>
          <w:i/>
          <w:iCs/>
        </w:rPr>
        <w:t>“Please indicate the type of pill you took today”</w:t>
      </w:r>
      <w:r>
        <w:t xml:space="preserve">). In case participants have been taking the pill at another time of day until enrolment in the study, they will change this timing at least five days prior </w:t>
      </w:r>
      <w:r w:rsidR="00087DEA">
        <w:t xml:space="preserve">to </w:t>
      </w:r>
      <w:r>
        <w:t>the first experimental session (</w:t>
      </w:r>
      <w:proofErr w:type="gramStart"/>
      <w:r w:rsidR="00087DEA">
        <w:t>i.e.</w:t>
      </w:r>
      <w:proofErr w:type="gramEnd"/>
      <w:r w:rsidR="00087DEA">
        <w:t xml:space="preserve"> </w:t>
      </w:r>
      <w:r>
        <w:t xml:space="preserve">during circadian stabilisation). The NC group will be asked to log their menstrual cycle onset (for cycles 1, 2 and 3) as soon as menses start, using another short survey (adapted from Appendix 2, </w:t>
      </w:r>
      <w:r>
        <w:fldChar w:fldCharType="begin"/>
      </w:r>
      <w:r w:rsidR="0092047F">
        <w:instrText xml:space="preserve"> ADDIN ZOTERO_ITEM CSL_CITATION {"citationID":"3cVv2oxY","properties":{"formattedCitation":"(Schmalenberger et al., 2021b)","plainCitation":"(Schmalenberger et al., 2021b)","dontUpdate":true,"noteIndex":0},"citationItems":[{"id":209,"uris":["http://zotero.org/users/11330488/items/Z332NN8H"],"itemData":{"id":209,"type":"article-journal","abstract":"Despite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and sampling strategy, managing demand characteristics, identifying a sample of naturally-cycling individuals, and measuring menstrual bleeding dates, ovarian hormones, and ovulation. We proceed with suggestions for (4) data preparation and coding of cycle day and phases, as well as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replicable.","container-title":"Psychoneuroendocrinology","DOI":"10.1016/j.psyneuen.2020.104895","ISSN":"0306-4530","journalAbbreviation":"Psychoneuroendocrinology","page":"104895","source":"ScienceDirect","title":"How to study the menstrual cycle: Practical tools and recommendations","title-short":"How to study the menstrual cycle","volume":"123","author":[{"family":"Schmalenberger","given":"Katja M."},{"family":"Tauseef","given":"Hafsah A."},{"family":"Barone","given":"Jordan C."},{"family":"Owens","given":"Sarah A."},{"family":"Lieberman","given":"Lynne"},{"family":"Jarczok","given":"Marc N."},{"family":"Girdler","given":"Susan S."},{"family":"Kiesner","given":"Jeff"},{"family":"Ditzen","given":"Beate"},{"family":"Eisenlohr-Moul","given":"Tory A."}],"issued":{"date-parts":[["2021",1,1]]}}}],"schema":"https://github.com/citation-style-language/schema/raw/master/csl-citation.json"} </w:instrText>
      </w:r>
      <w:r>
        <w:fldChar w:fldCharType="separate"/>
      </w:r>
      <w:r w:rsidRPr="00D96215">
        <w:rPr>
          <w:rFonts w:cs="Arial"/>
        </w:rPr>
        <w:t>Schmalenberger et al., 2021)</w:t>
      </w:r>
      <w:r>
        <w:fldChar w:fldCharType="end"/>
      </w:r>
      <w:r>
        <w:t xml:space="preserve">. This survey will ask participants whether their menstrual bleeding has started and whether participants are experiencing dysmenorrhea. </w:t>
      </w:r>
    </w:p>
    <w:p w14:paraId="24F2E34F" w14:textId="77777777" w:rsidR="00E0208E" w:rsidRPr="00A06A1C" w:rsidRDefault="00E0208E" w:rsidP="00A06A1C">
      <w:pPr>
        <w:pStyle w:val="Heading4"/>
      </w:pPr>
      <w:r w:rsidRPr="00A06A1C">
        <w:t>Wrist actimetry</w:t>
      </w:r>
    </w:p>
    <w:p w14:paraId="1817DDCD" w14:textId="5C3472B7" w:rsidR="00062A10" w:rsidRDefault="00E0208E" w:rsidP="00062A10">
      <w:r>
        <w:t xml:space="preserve">From the in-person screening, participants will wear a wrist </w:t>
      </w:r>
      <w:proofErr w:type="spellStart"/>
      <w:r>
        <w:t>actigraph</w:t>
      </w:r>
      <w:proofErr w:type="spellEnd"/>
      <w:r>
        <w:t xml:space="preserve"> (ActTrust2, Condor Instruments, </w:t>
      </w:r>
      <w:proofErr w:type="spellStart"/>
      <w:r w:rsidRPr="007A46D0">
        <w:t>São</w:t>
      </w:r>
      <w:proofErr w:type="spellEnd"/>
      <w:r w:rsidRPr="007A46D0">
        <w:t xml:space="preserve"> Paolo, Brazil</w:t>
      </w:r>
      <w:r>
        <w:t xml:space="preserve">) on their non-dominant wrist throughout the study. The sampling interval of the device will be set to 60 seconds. These data will be used to check compliance with the self-selected sleep/wake schedule throughout the experiment (see </w:t>
      </w:r>
      <w:r w:rsidRPr="00927405">
        <w:rPr>
          <w:i/>
          <w:iCs/>
        </w:rPr>
        <w:t>Experimental procedure</w:t>
      </w:r>
      <w:r>
        <w:t xml:space="preserve">). Participants will be instructed to remove the </w:t>
      </w:r>
      <w:proofErr w:type="spellStart"/>
      <w:r>
        <w:t>actigraph</w:t>
      </w:r>
      <w:proofErr w:type="spellEnd"/>
      <w:r>
        <w:t xml:space="preserve"> in case of contact sports and/or swimming</w:t>
      </w:r>
      <w:r w:rsidR="00A71299">
        <w:t xml:space="preserve">. These data </w:t>
      </w:r>
      <w:r w:rsidR="0005446C">
        <w:t>are</w:t>
      </w:r>
      <w:r w:rsidR="00A71299">
        <w:t xml:space="preserve"> also collected for future exploratory analyses.</w:t>
      </w:r>
    </w:p>
    <w:p w14:paraId="4E56ACE0" w14:textId="77777777" w:rsidR="00E0208E" w:rsidRPr="00A06A1C" w:rsidRDefault="00E0208E" w:rsidP="00A06A1C">
      <w:pPr>
        <w:pStyle w:val="Heading4"/>
      </w:pPr>
      <w:r w:rsidRPr="00A06A1C">
        <w:t>Personal light logging</w:t>
      </w:r>
    </w:p>
    <w:p w14:paraId="6E32DBF9" w14:textId="38D6C565" w:rsidR="00E0208E" w:rsidRDefault="5CE66923" w:rsidP="00A06A1C">
      <w:r>
        <w:t xml:space="preserve"> Starting from the in-person screening, participants will also wear a light logger at the chest level to measure their light exposure (</w:t>
      </w:r>
      <w:proofErr w:type="spellStart"/>
      <w:r>
        <w:t>ActLumus</w:t>
      </w:r>
      <w:proofErr w:type="spellEnd"/>
      <w:r>
        <w:t xml:space="preserve">, Condor Instruments, </w:t>
      </w:r>
      <w:proofErr w:type="spellStart"/>
      <w:r>
        <w:t>São</w:t>
      </w:r>
      <w:proofErr w:type="spellEnd"/>
      <w:r>
        <w:t xml:space="preserve"> Paolo, Brazil). The sampling interval of the device will be set to 60 seconds. This device will be attached to a lanyard so that participants can wear it around their neck and measure light exposure at the chest level. This will serve to account for the effect of photic history on melatonin suppression, as it has been shown that the amount of light received during the day might alter the sensitivity </w:t>
      </w:r>
      <w:r>
        <w:lastRenderedPageBreak/>
        <w:t xml:space="preserve">to the neuroendocrine effects of light </w:t>
      </w:r>
      <w:r w:rsidR="00E0208E">
        <w:fldChar w:fldCharType="begin"/>
      </w:r>
      <w:r w:rsidR="0092047F">
        <w:instrText xml:space="preserve"> ADDIN ZOTERO_ITEM CSL_CITATION {"citationID":"4hnN7LIT","properties":{"formattedCitation":"(Smith et al., 2004)","plainCitation":"(Smith et al., 2004)","noteIndex":0},"citationItems":[{"id":8382,"uris":["http://zotero.org/users/11330488/items/KB2XHGNF"],"itemData":{"id":8382,"type":"article-journal","abstract":"The human circadiaa pacemaker controls the timing of the release of the pineal hormone melatonin, which promotes sleep, decreases body temperature, and diminishes cognitive performance. Abnormal melatonin secretion has been observed in psychiatric and circadian disorders. Although melatonin secretion is directly suppressed by exposure to light in a nonlinear intensity-dependent fashion, little research has focused on the effect of prior photic history on this response. We examined eight subjects in controlled laboratory conditions using a within-subjects design. Baseline melatonin secretion was monitored under constant routine conditions and compared with two additional constant routines with a fixed light stimulus for 6.5 h of 200 lux (50 μW/cm2) after approsimately 3 d of photic exposure during the subjective day of either about 200 lux (50 μW/cm2) or about 0.5 lux (0.15 μW/cm2). We found a significant increase in melatonin suppression during the stimulus after &amp;amp; prior photic history of approximately 0.5 lux compared with approximately 200 lux, revealing that humans exhibit adaptation of circadian photoreception. Such adaptation indicates that translation of a photic stimulus into drive on the human circadian pacemaker involves more complex temporal dynamics than previously recognized. Further elucidation of these properties could prove useful in potentiating light therapies for circadian and affective disorders.","archive":"Scopus","container-title":"Journal of Clinical Endocrinology and Metabolism","DOI":"10.1210/jc.2003-032100","issue":"7","page":"3610-3614","source":"Scopus","title":"Adaptation of human pineal melatonin suppression by recent photic history","volume":"89","author":[{"family":"Smith","given":"K.A."},{"family":"Schoen","given":"M.W."},{"family":"Czeisler","given":"C.A."}],"issued":{"date-parts":[["2004"]]}}}],"schema":"https://github.com/citation-style-language/schema/raw/master/csl-citation.json"} </w:instrText>
      </w:r>
      <w:r w:rsidR="00E0208E">
        <w:fldChar w:fldCharType="separate"/>
      </w:r>
      <w:r w:rsidRPr="5CE66923">
        <w:rPr>
          <w:rFonts w:cs="Arial"/>
        </w:rPr>
        <w:t>(Smith et al., 2004)</w:t>
      </w:r>
      <w:r w:rsidR="00E0208E">
        <w:fldChar w:fldCharType="end"/>
      </w:r>
      <w:r>
        <w:t xml:space="preserve">. Photic history is not included </w:t>
      </w:r>
      <w:r w:rsidR="00087DEA">
        <w:t xml:space="preserve">as </w:t>
      </w:r>
      <w:r>
        <w:t>a predictor in our confirmatory hypotheses, but this data will be used for exploratory analyses. Participants will be instructed to remove the light logger in case of showering, contact sports and/or swimming, and to press the event marker on the device when taking it off or placing it back on. While button presses will not be used in our analysis, we will collect this data as it can be useful for future non-wear-related analyses.</w:t>
      </w:r>
    </w:p>
    <w:p w14:paraId="302DCE0D" w14:textId="77777777" w:rsidR="00E0208E" w:rsidRPr="00A06A1C" w:rsidRDefault="00E0208E" w:rsidP="00A06A1C">
      <w:pPr>
        <w:pStyle w:val="Heading3"/>
      </w:pPr>
      <w:r w:rsidRPr="00A06A1C">
        <w:t xml:space="preserve">Medicinal, dietary, and exercise restrictions during the study </w:t>
      </w:r>
    </w:p>
    <w:p w14:paraId="6846A675" w14:textId="4BBD7DE6" w:rsidR="00E0208E" w:rsidRDefault="00E0208E" w:rsidP="00A06A1C">
      <w:r>
        <w:t>Throughout the study period, participants should abstain from melatonin supplements (any form), sleep aids or supplements. Participants will also be asked to completely avoid recreational drugs and nicotine for the whole study duration. Furthermore, on the day of an experimental session, participants will be asked to avoid intake of antihistamines and non-steroidal anti-inflammatory drugs (NSAIDs). Note that, if needed, NC group participants will be allowed to use NSAIDs to alleviate dysmenorrhea on the day of the perimenstrual visit,</w:t>
      </w:r>
      <w:r w:rsidR="00087DEA">
        <w:t xml:space="preserve"> </w:t>
      </w:r>
      <w:r>
        <w:t xml:space="preserve">but will log any intake. Alcohol consumption will not be allowed in the three days prior to an experimental session. Caffeinated drinks such as coffee, black tea, white tea, energy drinks, Yerba mate drinks, and cola drinks consumption will also be limited to a maximum of </w:t>
      </w:r>
      <w:r w:rsidR="00087DEA">
        <w:t>one</w:t>
      </w:r>
      <w:r>
        <w:t xml:space="preserve"> cup to be consumed in the morning (cut-off time: noon). On the day of an experimental session, participants will be asked to avoid consumption of bananas, walnuts, sour cherries, citrus fruits, chocolate and any coloured candy or gum after 15:00, as these can interfere with the measurement of salivary melatonin. Furthermore, on days of scheduled experimental sessions, participants will be asked to avoid extreme physical activity, </w:t>
      </w:r>
      <w:proofErr w:type="gramStart"/>
      <w:r>
        <w:t>i.e.</w:t>
      </w:r>
      <w:proofErr w:type="gramEnd"/>
      <w:r>
        <w:t xml:space="preserve"> activity that is out of their routine, at least 4 hours before coming to the laboratory. Adherence to these instructions will be </w:t>
      </w:r>
      <w:r w:rsidR="00087DEA">
        <w:t xml:space="preserve">verbally </w:t>
      </w:r>
      <w:r>
        <w:t xml:space="preserve">checked on the day of the experimental session, prior to </w:t>
      </w:r>
      <w:r w:rsidR="00425DA2">
        <w:t>the start of the experiment</w:t>
      </w:r>
      <w:r>
        <w:t>.</w:t>
      </w:r>
    </w:p>
    <w:p w14:paraId="796CB942" w14:textId="77777777" w:rsidR="00E0208E" w:rsidRPr="00A06A1C" w:rsidRDefault="00E0208E" w:rsidP="00A06A1C">
      <w:pPr>
        <w:pStyle w:val="Heading3"/>
      </w:pPr>
      <w:r w:rsidRPr="00A06A1C">
        <w:t>Discharge questionnaire</w:t>
      </w:r>
    </w:p>
    <w:p w14:paraId="5B0C0240" w14:textId="772020ED" w:rsidR="00E0208E" w:rsidRPr="00EE4C7D" w:rsidRDefault="5CE66923" w:rsidP="5CE66923">
      <w:pPr>
        <w:rPr>
          <w:i/>
          <w:iCs/>
        </w:rPr>
      </w:pPr>
      <w:r>
        <w:t xml:space="preserve">Two days after their last experimental session, participants will be sent a link to a </w:t>
      </w:r>
      <w:proofErr w:type="spellStart"/>
      <w:r>
        <w:t>REDCap</w:t>
      </w:r>
      <w:proofErr w:type="spellEnd"/>
      <w:r>
        <w:t xml:space="preserve"> questionnaire. This questionnaire will first assess the burden participants experienced while taking part in the experiment (Perceived Research Burden Assessment, </w:t>
      </w:r>
      <w:proofErr w:type="spellStart"/>
      <w:r>
        <w:t>PeRBA</w:t>
      </w:r>
      <w:proofErr w:type="spellEnd"/>
      <w:r>
        <w:t xml:space="preserve">, adapted for retrospective testing; </w:t>
      </w:r>
      <w:r w:rsidR="00E0208E">
        <w:fldChar w:fldCharType="begin"/>
      </w:r>
      <w:r w:rsidR="0092047F">
        <w:instrText xml:space="preserve"> ADDIN ZOTERO_ITEM CSL_CITATION {"citationID":"8Nfca1P1","properties":{"formattedCitation":"(Lingler et al., 2014)","plainCitation":"(Lingler et al., 2014)","dontUpdate":true,"noteIndex":0},"citationItems":[{"id":9886,"uris":["http://zotero.org/users/11330488/items/Y6X8I43X"],"itemData":{"id":9886,"type":"article-journal","abstract":"Protecting human participants requires consideration and minimization of the burdens imposed by research. Effective conceptualizations of research burden should include appraisals of indirect burdens depending on research duration, intensity, and invasiveness. Introducing the concept of perceived research burden, we developed, tested, and validated a psychometric instrument for measuring burden, using vignettes of research studies presented to research volunteers and family members. We found high internal consistency of the Perceived Research Burden Assessment (PeRBA), across research scenarios (Cronbach’s alpha .87 – .96). We demonstrated convergent validity by correlating research burden with likelihood for enrolling in a research study. Because perceived research burden was largely unrelated to perceived social support, we interpreted PeRBA as demonstrating discriminant validity.","container-title":"Journal of empirical research on human research ethics : JERHRE","DOI":"10.1177/1556264614545037","ISSN":"1556-2646","issue":"4","journalAbbreviation":"J Empir Res Hum Res Ethics","note":"PMID: 26125079\nPMCID: PMC4487419","page":"46-49","source":"PubMed Central","title":"Perceived Research Burden Assessment (PeRBA): Instrument Development and Psychometric Evaluation","title-short":"Perceived Research Burden Assessment (PeRBA)","volume":"9","author":[{"family":"Lingler","given":"Jennifer H"},{"family":"Schmidt","given":"Karen"},{"family":"Gentry","given":"Amanda"},{"family":"Hu","given":"Lu"},{"family":"Terhorst","given":"Lauren"}],"issued":{"date-parts":[["2014",10]]}}}],"schema":"https://github.com/citation-style-language/schema/raw/master/csl-citation.json"} </w:instrText>
      </w:r>
      <w:r w:rsidR="00E0208E">
        <w:fldChar w:fldCharType="separate"/>
      </w:r>
      <w:r w:rsidRPr="5CE66923">
        <w:rPr>
          <w:rFonts w:cs="Arial"/>
        </w:rPr>
        <w:t>Lingler et al., 2014</w:t>
      </w:r>
      <w:r w:rsidR="00E0208E">
        <w:fldChar w:fldCharType="end"/>
      </w:r>
      <w:r>
        <w:t>). Then, participants will be asked open-ended questions about their experience in taking part in the study, with a focus on procedural aspects (“</w:t>
      </w:r>
      <w:r w:rsidRPr="5CE66923">
        <w:rPr>
          <w:i/>
          <w:iCs/>
        </w:rPr>
        <w:t>How would you describe the overall effort required to participate in this study?</w:t>
      </w:r>
      <w:r>
        <w:t>” and “</w:t>
      </w:r>
      <w:r w:rsidRPr="5CE66923">
        <w:rPr>
          <w:i/>
          <w:iCs/>
        </w:rPr>
        <w:t>Were there any specific parts of the experiment that were particularly challenging to complete? This question refers to the time spent in the laboratory during the experimental sessions</w:t>
      </w:r>
      <w:r>
        <w:t>”); convenience (“</w:t>
      </w:r>
      <w:r w:rsidRPr="5CE66923">
        <w:rPr>
          <w:i/>
          <w:iCs/>
        </w:rPr>
        <w:t xml:space="preserve">How did the number of study visits work for you? Were they too many, too few, or about right?”, “How did the scheduling of your visits affect your daily life or work/study </w:t>
      </w:r>
      <w:r w:rsidRPr="5CE66923">
        <w:rPr>
          <w:i/>
          <w:iCs/>
        </w:rPr>
        <w:lastRenderedPageBreak/>
        <w:t>routine?”</w:t>
      </w:r>
      <w:r>
        <w:t>, “</w:t>
      </w:r>
      <w:r w:rsidRPr="5CE66923">
        <w:rPr>
          <w:i/>
          <w:iCs/>
        </w:rPr>
        <w:t>How would you describe your communication with the research team (e.g., reminders, clarity, responsiveness?</w:t>
      </w:r>
      <w:r>
        <w:t>”, and “</w:t>
      </w:r>
      <w:r w:rsidRPr="5CE66923">
        <w:rPr>
          <w:i/>
          <w:iCs/>
        </w:rPr>
        <w:t>Is there anything that could have made participation more convenient for you?</w:t>
      </w:r>
      <w:r>
        <w:t>”); lifestyle impact (“</w:t>
      </w:r>
      <w:r w:rsidRPr="5CE66923">
        <w:rPr>
          <w:i/>
          <w:iCs/>
        </w:rPr>
        <w:t>Were any of these study-related restrictions (e.g. regular sleep and wake times) more difficult or easier to manage because of your individual circumstances (e.g. hormonal status, lifestyle habits)?</w:t>
      </w:r>
      <w:r>
        <w:t>”, “</w:t>
      </w:r>
      <w:r w:rsidRPr="5CE66923">
        <w:rPr>
          <w:i/>
          <w:iCs/>
        </w:rPr>
        <w:t>Do you feel that your personal background (e.g., being a naturally cycling individual, being on hormonal contraception, or being a male participant) influenced how burdensome the study was for you?”</w:t>
      </w:r>
      <w:r>
        <w:t>, and “</w:t>
      </w:r>
      <w:r w:rsidRPr="5CE66923">
        <w:rPr>
          <w:i/>
          <w:iCs/>
        </w:rPr>
        <w:t>Are there aspects of the study that you think would be harder or easier for people in a different group?</w:t>
      </w:r>
      <w:r>
        <w:t>”); and perceived value and motivation (“</w:t>
      </w:r>
      <w:r w:rsidRPr="5CE66923">
        <w:rPr>
          <w:i/>
          <w:iCs/>
        </w:rPr>
        <w:t>What motivated you to participate in this study?</w:t>
      </w:r>
      <w:r>
        <w:t>”, and</w:t>
      </w:r>
      <w:r w:rsidRPr="5CE66923">
        <w:rPr>
          <w:i/>
          <w:iCs/>
        </w:rPr>
        <w:t xml:space="preserve"> “Would you be willing to participate in a similar study in the future? Why or why not?). </w:t>
      </w:r>
    </w:p>
    <w:p w14:paraId="7353B9EF" w14:textId="77777777" w:rsidR="00CC766F" w:rsidRDefault="00E0208E" w:rsidP="00CC766F">
      <w:r>
        <w:t xml:space="preserve">While we aim to capture the experience of the NC group in particular because of the flexible scheduling they will adopt during the study, we will collect responses from participants of all groups in order to have a comparison between groups. </w:t>
      </w:r>
      <w:r w:rsidR="00087DEA">
        <w:t>This data will be used for exploratory analyses.</w:t>
      </w:r>
    </w:p>
    <w:p w14:paraId="38918CF5" w14:textId="203D863E" w:rsidR="00E0208E" w:rsidRPr="00F94DFC" w:rsidRDefault="00E0208E" w:rsidP="00CC766F">
      <w:pPr>
        <w:pStyle w:val="Heading1"/>
      </w:pPr>
      <w:r w:rsidRPr="00F94DFC">
        <w:t xml:space="preserve">Analysis </w:t>
      </w:r>
      <w:r>
        <w:t>p</w:t>
      </w:r>
      <w:r w:rsidRPr="00F94DFC">
        <w:t>lan</w:t>
      </w:r>
    </w:p>
    <w:p w14:paraId="42D95C22" w14:textId="6DCA2C94" w:rsidR="00E0208E" w:rsidRPr="00DD3395" w:rsidRDefault="00E0208E" w:rsidP="00F94DFC">
      <w:r>
        <w:t xml:space="preserve">Data pre-processing and analysis will be performed in R Markdown notebooks in the R Statistical Software </w:t>
      </w:r>
      <w:r>
        <w:fldChar w:fldCharType="begin"/>
      </w:r>
      <w:r w:rsidR="0092047F">
        <w:instrText xml:space="preserve"> ADDIN ZOTERO_ITEM CSL_CITATION {"citationID":"IIm9ExMa","properties":{"formattedCitation":"(R Core Team, 2025)","plainCitation":"(R Core Team, 2025)","dontUpdate":true,"noteIndex":0},"citationItems":[{"id":8540,"uris":["http://zotero.org/users/11330488/items/KN4ZJRRV"],"itemData":{"id":8540,"type":"software","title":"R Core Team (2025). _R: A Language and Environment for Statistical Computing_. R Foundation for Statistical Computing,   Vienna, Austria.","URL":"&lt;https://www.R-project.org/&gt;.","author":[{"family":"R Core Team","given":""}],"issued":{"date-parts":[["2025"]]}}}],"schema":"https://github.com/citation-style-language/schema/raw/master/csl-citation.json"} </w:instrText>
      </w:r>
      <w:r>
        <w:fldChar w:fldCharType="separate"/>
      </w:r>
      <w:r w:rsidRPr="00E175EB">
        <w:rPr>
          <w:rFonts w:cs="Arial"/>
        </w:rPr>
        <w:t>(R Core Team,</w:t>
      </w:r>
      <w:r>
        <w:rPr>
          <w:rFonts w:cs="Arial"/>
        </w:rPr>
        <w:t xml:space="preserve"> latest version available at data analysi</w:t>
      </w:r>
      <w:r w:rsidR="00B82040">
        <w:rPr>
          <w:rFonts w:cs="Arial"/>
        </w:rPr>
        <w:t>s, reported at Stage 2</w:t>
      </w:r>
      <w:r w:rsidRPr="00E175EB">
        <w:rPr>
          <w:rFonts w:cs="Arial"/>
        </w:rPr>
        <w:t>)</w:t>
      </w:r>
      <w:r>
        <w:fldChar w:fldCharType="end"/>
      </w:r>
      <w:r>
        <w:t xml:space="preserve">. </w:t>
      </w:r>
    </w:p>
    <w:p w14:paraId="27B068FB" w14:textId="77777777" w:rsidR="00E0208E" w:rsidRPr="00F94DFC" w:rsidRDefault="00E0208E" w:rsidP="00F94DFC">
      <w:pPr>
        <w:pStyle w:val="Heading3"/>
      </w:pPr>
      <w:r w:rsidRPr="00F94DFC">
        <w:t>Salivary melatonin pre-processing</w:t>
      </w:r>
    </w:p>
    <w:p w14:paraId="35B83CDA" w14:textId="62AA6F19" w:rsidR="00E0208E" w:rsidRDefault="5CE66923" w:rsidP="00F94DFC">
      <w:pPr>
        <w:ind w:firstLine="0"/>
      </w:pPr>
      <w:r>
        <w:t xml:space="preserve">Firstly, if present, mis-ordered melatonin samples will be chronologically re-ordered based on the timestamp of sample collection. Melatonin concentration in missing samples will be estimated using interpolation via the piecewise cubic </w:t>
      </w:r>
      <w:proofErr w:type="spellStart"/>
      <w:r>
        <w:t>hermite</w:t>
      </w:r>
      <w:proofErr w:type="spellEnd"/>
      <w:r>
        <w:t xml:space="preserve"> interpolating polynomial method, combined with forward and backward filling (function </w:t>
      </w:r>
      <w:proofErr w:type="spellStart"/>
      <w:r w:rsidRPr="5CE66923">
        <w:rPr>
          <w:i/>
          <w:iCs/>
        </w:rPr>
        <w:t>pchip</w:t>
      </w:r>
      <w:proofErr w:type="spellEnd"/>
      <w:r w:rsidRPr="5CE66923">
        <w:rPr>
          <w:i/>
          <w:iCs/>
        </w:rPr>
        <w:t xml:space="preserve"> </w:t>
      </w:r>
      <w:r>
        <w:t xml:space="preserve">from the package </w:t>
      </w:r>
      <w:proofErr w:type="spellStart"/>
      <w:r w:rsidRPr="5CE66923">
        <w:rPr>
          <w:i/>
          <w:iCs/>
        </w:rPr>
        <w:t>pracma</w:t>
      </w:r>
      <w:proofErr w:type="spellEnd"/>
      <w:r>
        <w:t xml:space="preserve">, latest version available at data analysis). The area under the curve (AUC) for melatonin concentration during all experimental sessions will be calculated using Simpson’s rule. </w:t>
      </w:r>
      <w:r w:rsidR="00B82040">
        <w:t>Melatonin measurements where 40% of melatonin values are missing (</w:t>
      </w:r>
      <w:proofErr w:type="gramStart"/>
      <w:r w:rsidR="00B82040">
        <w:t>i.e.</w:t>
      </w:r>
      <w:proofErr w:type="gramEnd"/>
      <w:r w:rsidR="00B82040">
        <w:t xml:space="preserve"> two out five melatonin values during light exposure, or respective time in the dim light control) will be excluded, meaning that the </w:t>
      </w:r>
      <w:r>
        <w:t xml:space="preserve">AUC will not be calculated. Melatonin suppression for a given participant and for each experimental bright light session will be expressed as percentage suppression relative to the dim light experimental session: </w:t>
      </w:r>
    </w:p>
    <w:p w14:paraId="78033E99" w14:textId="77777777" w:rsidR="00E0208E" w:rsidRPr="00193270" w:rsidRDefault="00E0208E" w:rsidP="5CE66923">
      <w:pPr>
        <w:ind w:firstLine="0"/>
        <w:jc w:val="center"/>
      </w:pPr>
      <m:oMathPara>
        <m:oMath>
          <m:r>
            <m:rPr>
              <m:nor/>
            </m:rPr>
            <w:rPr>
              <w:rFonts w:ascii="Cambria Math" w:hAnsi="Cambria Math"/>
            </w:rPr>
            <m:t xml:space="preserve">Melatonin suppression </m:t>
          </m:r>
          <m:r>
            <w:rPr>
              <w:rFonts w:ascii="Cambria Math" w:hAnsi="Cambria Math"/>
            </w:rPr>
            <m:t>(%)=</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m:rPr>
                          <m:nor/>
                        </m:rPr>
                        <w:rPr>
                          <w:rFonts w:ascii="Cambria Math" w:hAnsi="Cambria Math"/>
                        </w:rPr>
                        <m:t xml:space="preserve">AUC </m:t>
                      </m:r>
                    </m:e>
                    <m:sub>
                      <m:r>
                        <m:rPr>
                          <m:nor/>
                        </m:rPr>
                        <w:rPr>
                          <w:rFonts w:ascii="Cambria Math" w:hAnsi="Cambria Math"/>
                        </w:rPr>
                        <m:t>bright</m:t>
                      </m:r>
                    </m:sub>
                  </m:sSub>
                </m:num>
                <m:den>
                  <m:sSub>
                    <m:sSubPr>
                      <m:ctrlPr>
                        <w:rPr>
                          <w:rFonts w:ascii="Cambria Math" w:hAnsi="Cambria Math"/>
                          <w:i/>
                        </w:rPr>
                      </m:ctrlPr>
                    </m:sSubPr>
                    <m:e>
                      <m:r>
                        <m:rPr>
                          <m:nor/>
                        </m:rPr>
                        <w:rPr>
                          <w:rFonts w:ascii="Cambria Math" w:hAnsi="Cambria Math"/>
                        </w:rPr>
                        <m:t>AUC</m:t>
                      </m:r>
                    </m:e>
                    <m:sub>
                      <m:r>
                        <m:rPr>
                          <m:nor/>
                        </m:rPr>
                        <w:rPr>
                          <w:rFonts w:ascii="Cambria Math" w:hAnsi="Cambria Math"/>
                        </w:rPr>
                        <m:t>dim</m:t>
                      </m:r>
                    </m:sub>
                  </m:sSub>
                  <m:r>
                    <m:rPr>
                      <m:nor/>
                    </m:rPr>
                    <w:rPr>
                      <w:rFonts w:ascii="Cambria Math" w:hAnsi="Cambria Math"/>
                    </w:rPr>
                    <m:t xml:space="preserve"> </m:t>
                  </m:r>
                </m:den>
              </m:f>
            </m:e>
          </m:d>
          <m:r>
            <w:rPr>
              <w:rFonts w:ascii="Cambria Math" w:hAnsi="Cambria Math"/>
            </w:rPr>
            <m:t>·100</m:t>
          </m:r>
        </m:oMath>
      </m:oMathPara>
    </w:p>
    <w:p w14:paraId="2F8577C2" w14:textId="77777777" w:rsidR="00E0208E" w:rsidRPr="006F23E5" w:rsidRDefault="00E0208E" w:rsidP="00F94DFC">
      <w:pPr>
        <w:ind w:firstLine="0"/>
      </w:pPr>
      <w:r>
        <w:lastRenderedPageBreak/>
        <w:t xml:space="preserve">Where </w:t>
      </w:r>
      <w:proofErr w:type="spellStart"/>
      <w:r w:rsidRPr="002D215A">
        <w:rPr>
          <w:i/>
          <w:iCs/>
        </w:rPr>
        <w:t>AUC</w:t>
      </w:r>
      <w:r w:rsidRPr="002D215A">
        <w:rPr>
          <w:i/>
          <w:iCs/>
          <w:vertAlign w:val="subscript"/>
        </w:rPr>
        <w:t>bright</w:t>
      </w:r>
      <w:proofErr w:type="spellEnd"/>
      <w:r w:rsidRPr="002D215A">
        <w:rPr>
          <w:vertAlign w:val="subscript"/>
        </w:rPr>
        <w:t xml:space="preserve"> </w:t>
      </w:r>
      <w:r>
        <w:t xml:space="preserve">and </w:t>
      </w:r>
      <w:proofErr w:type="spellStart"/>
      <w:r w:rsidRPr="00F94DFC">
        <w:rPr>
          <w:i/>
          <w:iCs/>
        </w:rPr>
        <w:t>AUC</w:t>
      </w:r>
      <w:r w:rsidRPr="002D215A">
        <w:rPr>
          <w:i/>
          <w:iCs/>
          <w:vertAlign w:val="subscript"/>
        </w:rPr>
        <w:t>dim</w:t>
      </w:r>
      <w:proofErr w:type="spellEnd"/>
      <w:r w:rsidRPr="002D215A">
        <w:rPr>
          <w:vertAlign w:val="subscript"/>
        </w:rPr>
        <w:t xml:space="preserve"> </w:t>
      </w:r>
      <w:r>
        <w:t>represent the area under the curve of the melatonin profile from two hours prior to HBT to HBT in the bright and dim light experimental sessions, respectively.</w:t>
      </w:r>
    </w:p>
    <w:p w14:paraId="2E5010D7" w14:textId="77777777" w:rsidR="00E0208E" w:rsidRPr="00F94DFC" w:rsidRDefault="00E0208E" w:rsidP="00F94DFC">
      <w:pPr>
        <w:pStyle w:val="Heading3"/>
      </w:pPr>
      <w:r w:rsidRPr="00F94DFC">
        <w:t>Sex steroid hormones</w:t>
      </w:r>
      <w:r>
        <w:t xml:space="preserve"> analysis</w:t>
      </w:r>
    </w:p>
    <w:p w14:paraId="50A2C6E5" w14:textId="0066D513" w:rsidR="00E0208E" w:rsidRPr="007B0979" w:rsidRDefault="00E0208E" w:rsidP="00FE2D37">
      <w:r w:rsidRPr="007B0979">
        <w:t xml:space="preserve">As the </w:t>
      </w:r>
      <w:r>
        <w:t>bio</w:t>
      </w:r>
      <w:r w:rsidRPr="007B0979">
        <w:t xml:space="preserve">assays </w:t>
      </w:r>
      <w:r>
        <w:t xml:space="preserve">for sex steroid hormones detection </w:t>
      </w:r>
      <w:r w:rsidRPr="007B0979">
        <w:t>are still under development, key parameters such as the</w:t>
      </w:r>
      <w:r w:rsidR="00B82040">
        <w:t xml:space="preserve"> l</w:t>
      </w:r>
      <w:r w:rsidRPr="007B0979">
        <w:t xml:space="preserve">ower </w:t>
      </w:r>
      <w:r w:rsidR="00B82040">
        <w:t>l</w:t>
      </w:r>
      <w:r w:rsidRPr="007B0979">
        <w:t xml:space="preserve">imit of </w:t>
      </w:r>
      <w:r w:rsidR="00B82040">
        <w:t>q</w:t>
      </w:r>
      <w:r w:rsidRPr="007B0979">
        <w:t xml:space="preserve">uantification, </w:t>
      </w:r>
      <w:r w:rsidR="00B82040">
        <w:t>u</w:t>
      </w:r>
      <w:r w:rsidRPr="007B0979">
        <w:t xml:space="preserve">pper </w:t>
      </w:r>
      <w:r w:rsidR="00B82040">
        <w:t>l</w:t>
      </w:r>
      <w:r w:rsidRPr="007B0979">
        <w:t xml:space="preserve">imit of </w:t>
      </w:r>
      <w:r w:rsidR="00B82040">
        <w:t>q</w:t>
      </w:r>
      <w:r w:rsidRPr="007B0979">
        <w:t>uantification</w:t>
      </w:r>
      <w:r w:rsidR="00675118">
        <w:t>,</w:t>
      </w:r>
      <w:r w:rsidRPr="007B0979">
        <w:t xml:space="preserve"> and </w:t>
      </w:r>
      <w:r w:rsidR="00B82040">
        <w:t>l</w:t>
      </w:r>
      <w:r w:rsidRPr="007B0979">
        <w:t xml:space="preserve">imit of </w:t>
      </w:r>
      <w:r w:rsidR="00B82040">
        <w:t>d</w:t>
      </w:r>
      <w:r w:rsidRPr="007B0979">
        <w:t xml:space="preserve">etection have not yet been fully established. These thresholds will be defined during the method validation phase, and </w:t>
      </w:r>
      <w:r>
        <w:t xml:space="preserve">will determine </w:t>
      </w:r>
      <w:r w:rsidR="00B82040">
        <w:t>cut-off</w:t>
      </w:r>
      <w:r>
        <w:t xml:space="preserve"> values for handling missing values and outliers. W</w:t>
      </w:r>
      <w:r w:rsidRPr="007B0979">
        <w:t xml:space="preserve">e will report </w:t>
      </w:r>
      <w:r>
        <w:t>these thresholds and data pre-processing details</w:t>
      </w:r>
      <w:r w:rsidRPr="007B0979">
        <w:t xml:space="preserve"> </w:t>
      </w:r>
      <w:r w:rsidR="00B82040">
        <w:t>at</w:t>
      </w:r>
      <w:r w:rsidRPr="007B0979">
        <w:t xml:space="preserve"> </w:t>
      </w:r>
      <w:r>
        <w:t>Stage 2.</w:t>
      </w:r>
    </w:p>
    <w:p w14:paraId="0FB52147" w14:textId="77777777" w:rsidR="00E0208E" w:rsidRPr="00F94DFC" w:rsidRDefault="00E0208E" w:rsidP="00F94DFC">
      <w:pPr>
        <w:pStyle w:val="Heading3"/>
      </w:pPr>
      <w:r w:rsidRPr="00F94DFC">
        <w:t>Pupillometry data pre-processing</w:t>
      </w:r>
    </w:p>
    <w:p w14:paraId="32CA4B5A" w14:textId="70E8AEC2" w:rsidR="00E0208E" w:rsidRDefault="5CE66923" w:rsidP="009503A0">
      <w:r>
        <w:t>For this analysis, we will calculate melanopsin-mediated pupil responses as the ratio of the melanopsin response amplitude to the LMS response amplitude. In other words, we will use pupil data from the melanopsin stimulation protocol and from the LMS stimulation protocol to identify changes in pupil size uniquely due to melanopsin and not to other photoreceptors. Data from the dim light control session will not be used for this analysis. The pre-processing pipeline will be the same for data obtained by both protocols</w:t>
      </w:r>
      <w:r w:rsidR="007D7FB5">
        <w:t>, and include</w:t>
      </w:r>
      <w:r w:rsidR="00D95262">
        <w:t xml:space="preserve"> resampling of raw data to evenly spaced time points and filtering the raw data to remove physiologically impossible pupil values below 1 mm and above 10 mm</w:t>
      </w:r>
      <w:r w:rsidR="00710C4E">
        <w:t>,</w:t>
      </w:r>
      <w:r w:rsidR="00D95262">
        <w:t xml:space="preserve"> as well as blinks. Furthermore, missing values will be estimated using linear interpolation. </w:t>
      </w:r>
      <w:r w:rsidR="009503A0">
        <w:t xml:space="preserve">For each trial, pupil size </w:t>
      </w:r>
      <w:r>
        <w:t xml:space="preserve">will be normalised to the baseline pupil size, </w:t>
      </w:r>
      <w:proofErr w:type="gramStart"/>
      <w:r>
        <w:t>i.e.</w:t>
      </w:r>
      <w:proofErr w:type="gramEnd"/>
      <w:r>
        <w:t xml:space="preserve"> to the mean pupil diameter one second before stimulus onset. Furthermore, the timing of each trial will be aligned to stimulus onset. Afterwards, for each trial, pupil size will be converted to a percentage change over time from baseline using the following formula:</w:t>
      </w:r>
    </w:p>
    <w:p w14:paraId="15B99C22" w14:textId="77777777" w:rsidR="00E0208E" w:rsidRPr="002D215A" w:rsidRDefault="00E0208E" w:rsidP="002D215A">
      <w:pPr>
        <w:ind w:firstLine="0"/>
        <w:rPr>
          <w:lang w:val="de-DE"/>
        </w:rPr>
      </w:pPr>
      <m:oMathPara>
        <m:oMath>
          <m:r>
            <w:rPr>
              <w:rFonts w:ascii="Cambria Math" w:hAnsi="Cambria Math"/>
              <w:lang w:val="de-DE"/>
            </w:rPr>
            <m:t>∆</m:t>
          </m:r>
          <m:r>
            <m:rPr>
              <m:nor/>
            </m:rPr>
            <w:rPr>
              <w:rFonts w:ascii="Cambria Math" w:hAnsi="Cambria Math"/>
              <w:lang w:val="de-DE"/>
            </w:rPr>
            <m:t>Pupil diameter(t)</m:t>
          </m:r>
          <m:r>
            <w:rPr>
              <w:rFonts w:ascii="Cambria Math" w:hAnsi="Cambria Math"/>
              <w:lang w:val="de-DE"/>
            </w:rPr>
            <m:t xml:space="preserve"> (%)= </m:t>
          </m:r>
          <m:f>
            <m:fPr>
              <m:ctrlPr>
                <w:rPr>
                  <w:rFonts w:ascii="Cambria Math" w:hAnsi="Cambria Math"/>
                  <w:i/>
                </w:rPr>
              </m:ctrlPr>
            </m:fPr>
            <m:num>
              <m:r>
                <m:rPr>
                  <m:nor/>
                </m:rPr>
                <w:rPr>
                  <w:rFonts w:ascii="Cambria Math" w:hAnsi="Cambria Math"/>
                  <w:lang w:val="de-DE"/>
                </w:rPr>
                <m:t>Pupil diameter(t)</m:t>
              </m:r>
            </m:num>
            <m:den>
              <m:sSub>
                <m:sSubPr>
                  <m:ctrlPr>
                    <w:rPr>
                      <w:rFonts w:ascii="Cambria Math" w:hAnsi="Cambria Math"/>
                      <w:i/>
                    </w:rPr>
                  </m:ctrlPr>
                </m:sSubPr>
                <m:e>
                  <m:r>
                    <m:rPr>
                      <m:nor/>
                    </m:rPr>
                    <w:rPr>
                      <w:rFonts w:ascii="Cambria Math" w:hAnsi="Cambria Math"/>
                      <w:lang w:val="de-DE"/>
                    </w:rPr>
                    <m:t>Pupil diameter</m:t>
                  </m:r>
                </m:e>
                <m:sub>
                  <m:r>
                    <m:rPr>
                      <m:nor/>
                    </m:rPr>
                    <w:rPr>
                      <w:rFonts w:ascii="Cambria Math" w:hAnsi="Cambria Math"/>
                      <w:lang w:val="de-DE"/>
                    </w:rPr>
                    <m:t>Baseline</m:t>
                  </m:r>
                </m:sub>
              </m:sSub>
            </m:den>
          </m:f>
          <m:r>
            <w:rPr>
              <w:rFonts w:ascii="Cambria Math" w:hAnsi="Cambria Math"/>
              <w:lang w:val="de-DE"/>
            </w:rPr>
            <m:t xml:space="preserve"> ·100</m:t>
          </m:r>
        </m:oMath>
      </m:oMathPara>
    </w:p>
    <w:p w14:paraId="0CA76F10" w14:textId="75157BDD" w:rsidR="00E0208E" w:rsidRDefault="00E0208E" w:rsidP="00F94DFC">
      <w:r>
        <w:t xml:space="preserve">where the numerator </w:t>
      </w:r>
      <w:r w:rsidRPr="6604A8B2">
        <w:rPr>
          <w:i/>
          <w:iCs/>
        </w:rPr>
        <w:t>Pupil size</w:t>
      </w:r>
      <w:r>
        <w:t xml:space="preserve"> is the size of the measured pupil (</w:t>
      </w:r>
      <w:proofErr w:type="gramStart"/>
      <w:r>
        <w:t>i.e.</w:t>
      </w:r>
      <w:proofErr w:type="gramEnd"/>
      <w:r>
        <w:t xml:space="preserve"> right pupil, mm) in a given trial. Trials where</w:t>
      </w:r>
      <w:r w:rsidR="009503A0">
        <w:t xml:space="preserve"> &gt;50% of</w:t>
      </w:r>
      <w:r>
        <w:t xml:space="preserve"> baseline</w:t>
      </w:r>
      <w:r w:rsidR="009503A0">
        <w:t xml:space="preserve"> pupil size data </w:t>
      </w:r>
      <w:r>
        <w:t xml:space="preserve">is </w:t>
      </w:r>
      <w:r w:rsidR="009503A0">
        <w:t>un</w:t>
      </w:r>
      <w:r>
        <w:t>available and trials where interpolated data</w:t>
      </w:r>
      <w:r w:rsidR="009503A0">
        <w:t xml:space="preserve"> </w:t>
      </w:r>
      <w:r>
        <w:t>&gt;30% of total trial data will be excluded. Afterwards, all trials for a participant’s given experimental session will be averaged. In order to quantify only melanopsin-related changes in pupil size, we will calculate melanopsin contribution to pupil responses as</w:t>
      </w:r>
    </w:p>
    <w:p w14:paraId="0E5C80D2" w14:textId="77777777" w:rsidR="00E0208E" w:rsidRDefault="00E0208E" w:rsidP="00F94DFC">
      <m:oMathPara>
        <m:oMath>
          <m:r>
            <m:rPr>
              <m:nor/>
            </m:rPr>
            <w:rPr>
              <w:rFonts w:ascii="Cambria Math" w:hAnsi="Cambria Math"/>
            </w:rPr>
            <m:t>Melanopsin mediated pupil response=</m:t>
          </m:r>
          <m:f>
            <m:fPr>
              <m:ctrlPr>
                <w:rPr>
                  <w:rFonts w:ascii="Cambria Math" w:hAnsi="Cambria Math"/>
                  <w:i/>
                </w:rPr>
              </m:ctrlPr>
            </m:fPr>
            <m:num>
              <m:r>
                <m:rPr>
                  <m:nor/>
                </m:rPr>
                <w:rPr>
                  <w:rFonts w:ascii="Cambria Math" w:hAnsi="Cambria Math"/>
                </w:rPr>
                <m:t>Melanopsin response amplitude</m:t>
              </m:r>
            </m:num>
            <m:den>
              <m:r>
                <m:rPr>
                  <m:nor/>
                </m:rPr>
                <w:rPr>
                  <w:rFonts w:ascii="Cambria Math" w:hAnsi="Cambria Math"/>
                </w:rPr>
                <m:t>LMS response amplitude</m:t>
              </m:r>
            </m:den>
          </m:f>
        </m:oMath>
      </m:oMathPara>
    </w:p>
    <w:p w14:paraId="0DC6C11F" w14:textId="77777777" w:rsidR="00E0208E" w:rsidRPr="006F23E5" w:rsidRDefault="00E0208E" w:rsidP="00F94DFC">
      <w:pPr>
        <w:ind w:firstLine="0"/>
      </w:pPr>
      <w:r>
        <w:lastRenderedPageBreak/>
        <w:t xml:space="preserve">Where </w:t>
      </w:r>
      <w:r>
        <w:rPr>
          <w:i/>
          <w:iCs/>
        </w:rPr>
        <w:t>M</w:t>
      </w:r>
      <w:r w:rsidRPr="00193270">
        <w:rPr>
          <w:i/>
          <w:iCs/>
        </w:rPr>
        <w:t>elanopsin response amplitude</w:t>
      </w:r>
      <w:r>
        <w:t xml:space="preserve"> is </w:t>
      </w:r>
      <w:r w:rsidRPr="009C1CE7">
        <w:t>the</w:t>
      </w:r>
      <w:r>
        <w:t xml:space="preserve"> area under the curve during stimulus presentation in the melanopsin stimulation protocol, and </w:t>
      </w:r>
      <w:r w:rsidRPr="00193270">
        <w:rPr>
          <w:i/>
          <w:iCs/>
        </w:rPr>
        <w:t>LMS response amplitude</w:t>
      </w:r>
      <w:r>
        <w:t xml:space="preserve"> is the area under the curve during stimulus presentation for the LMS stimulation protocol. </w:t>
      </w:r>
    </w:p>
    <w:p w14:paraId="1CEB8B05" w14:textId="55840EFC" w:rsidR="00E0208E" w:rsidRPr="00F94DFC" w:rsidRDefault="5CE66923" w:rsidP="00F94DFC">
      <w:pPr>
        <w:pStyle w:val="Heading3"/>
      </w:pPr>
      <w:r>
        <w:t xml:space="preserve">NC group cycle phase: </w:t>
      </w:r>
      <w:proofErr w:type="spellStart"/>
      <w:r>
        <w:t>recategorisation</w:t>
      </w:r>
      <w:proofErr w:type="spellEnd"/>
    </w:p>
    <w:p w14:paraId="1341009B" w14:textId="77777777" w:rsidR="00E0208E" w:rsidRDefault="00E0208E" w:rsidP="00F94DFC">
      <w:r>
        <w:t>As described above, combined E3G and LH tests and menses onset will be used to ensure that experimental sessions are scheduled in the four menstrual phases of interest. To further validate that the experimental sessions of the NC group happened at the menstrual cycle phase of interest, two criteria will be applied in the following order (Criterion 1, counting method, and Criterion 2, relative hormone levels). For Criterion 1 (counting method), each phase will be characterised by a combination of backward and forward counting as follows (note that day 1 is menstrual onset of cycle 2, without day 0):</w:t>
      </w:r>
    </w:p>
    <w:p w14:paraId="3FC10038" w14:textId="77777777" w:rsidR="00E0208E" w:rsidRDefault="00E0208E" w:rsidP="00E0208E">
      <w:pPr>
        <w:pStyle w:val="ListParagraph"/>
        <w:numPr>
          <w:ilvl w:val="0"/>
          <w:numId w:val="43"/>
        </w:numPr>
      </w:pPr>
      <w:r>
        <w:t>Peri-ovulatory phase: cycle day -20 to -10 before menstrual onset</w:t>
      </w:r>
    </w:p>
    <w:p w14:paraId="6A3229E0" w14:textId="77777777" w:rsidR="00E0208E" w:rsidRDefault="00E0208E" w:rsidP="00E0208E">
      <w:pPr>
        <w:pStyle w:val="ListParagraph"/>
        <w:numPr>
          <w:ilvl w:val="0"/>
          <w:numId w:val="43"/>
        </w:numPr>
      </w:pPr>
      <w:r>
        <w:t xml:space="preserve">Mid-luteal phase: cycle day -9 to -4 before menstrual onset </w:t>
      </w:r>
    </w:p>
    <w:p w14:paraId="217D65CC" w14:textId="77777777" w:rsidR="00E0208E" w:rsidRDefault="00E0208E" w:rsidP="00E0208E">
      <w:pPr>
        <w:pStyle w:val="ListParagraph"/>
        <w:numPr>
          <w:ilvl w:val="0"/>
          <w:numId w:val="43"/>
        </w:numPr>
      </w:pPr>
      <w:r>
        <w:t>Peri-menstrual phase: cycle day -3 to +3 before menstrual onset</w:t>
      </w:r>
    </w:p>
    <w:p w14:paraId="62B6FA68" w14:textId="77777777" w:rsidR="00E0208E" w:rsidRDefault="00E0208E" w:rsidP="00E0208E">
      <w:pPr>
        <w:pStyle w:val="ListParagraph"/>
        <w:numPr>
          <w:ilvl w:val="0"/>
          <w:numId w:val="43"/>
        </w:numPr>
      </w:pPr>
      <w:r>
        <w:t>Mid-follicular phase: cycle day +4 to +8 from menstrual onset</w:t>
      </w:r>
    </w:p>
    <w:p w14:paraId="20B14392" w14:textId="3FB1D7BF" w:rsidR="00E0208E" w:rsidRDefault="00E0208E" w:rsidP="00111872">
      <w:r>
        <w:t xml:space="preserve">These criteria are taken from </w:t>
      </w:r>
      <w:r>
        <w:fldChar w:fldCharType="begin"/>
      </w:r>
      <w:r w:rsidR="00DA4730">
        <w:instrText xml:space="preserve"> ADDIN ZOTERO_ITEM CSL_CITATION {"citationID":"ht6DrMgk","properties":{"formattedCitation":"(Schmalenberger et al., 2021)","plainCitation":"(Schmalenberger et al., 2021)","dontUpdate":true,"noteIndex":0},"citationItems":[{"id":"pFCzBSob/BCJzJhtF","uris":["http://zotero.org/users/11330488/items/4W4B7LVN"],"itemData":{"id":177,"type":"article-journal","abstract":"Despite decades of research on the physiological and psychological effects of the menstrual cycle, studies have not sufficiently adopted consistent methods for operationalizing the menstrual cycle. This has resulted in substantial confusion in the literature and limited possibilities to conduct systematic reviews and meta-analyses. In order to facilitate more rapid accumulation of knowledge on cycle effects, the present paper offers a set of integrative guidelines and standardized tools for studying the menstrual cycle as an independent variable. We begin with (1) an overview of the menstrual cycle and (2) premenstrual disorders, followed by (3) recommendations and tools regarding data collection in cycle studies. These recommendations address selecting the appropriate study design and sampling strategy, managing demand characteristics, identifying a sample of naturally-cycling individuals, and measuring menstrual bleeding dates, ovarian hormones, and ovulation. We proceed with suggestions for (4) data preparation and coding of cycle day and phases, as well as (5) data visualization, statistical modeling, and interpretation of menstrual cycle associations. We also provide (6) recommendations for using menses start day and ovulation testing to schedule visits in laboratory studies and end with a (7) comprehensive summary and conclusion. Regardless of whether the influence of the menstrual cycle is of central interest in a study or should be controlled to accurately assess the effects of another variable, the use of these recommendations and tools will help make study results more meaningful and replicable.","container-title":"Psychoneuroendocrinology","DOI":"10.1016/j.psyneuen.2020.104895","ISSN":"1873-3360","journalAbbreviation":"Psychoneuroendocrinology","language":"eng","note":"PMID: 33113391\nPMCID: PMC8363181","page":"104895","source":"PubMed","title":"How to study the menstrual cycle: Practical tools and recommendations","title-short":"How to study the menstrual cycle","volume":"123","author":[{"family":"Schmalenberger","given":"Katja M."},{"family":"Tauseef","given":"Hafsah A."},{"family":"Barone","given":"Jordan C."},{"family":"Owens","given":"Sarah A."},{"family":"Lieberman","given":"Lynne"},{"family":"Jarczok","given":"Marc N."},{"family":"Girdler","given":"Susan S."},{"family":"Kiesner","given":"Jeff"},{"family":"Ditzen","given":"Beate"},{"family":"Eisenlohr-Moul","given":"Tory A."}],"issued":{"date-parts":[["2021",1]]}}}],"schema":"https://github.com/citation-style-language/schema/raw/master/csl-citation.json"} </w:instrText>
      </w:r>
      <w:r>
        <w:fldChar w:fldCharType="separate"/>
      </w:r>
      <w:r w:rsidRPr="00A43167">
        <w:rPr>
          <w:rFonts w:cs="Arial"/>
        </w:rPr>
        <w:t xml:space="preserve">Schmalenberger </w:t>
      </w:r>
      <w:r>
        <w:rPr>
          <w:rFonts w:cs="Arial"/>
        </w:rPr>
        <w:t>and colleagues (</w:t>
      </w:r>
      <w:r w:rsidRPr="00A43167">
        <w:rPr>
          <w:rFonts w:cs="Arial"/>
        </w:rPr>
        <w:t>2021)</w:t>
      </w:r>
      <w:r>
        <w:fldChar w:fldCharType="end"/>
      </w:r>
      <w:r>
        <w:t xml:space="preserve"> and adapted for changes in menstrual phase definition used in the current study (outlined in </w:t>
      </w:r>
      <w:r w:rsidRPr="00111872">
        <w:rPr>
          <w:i/>
          <w:iCs/>
        </w:rPr>
        <w:t>Participants scheduling – Naturally cycling individuals</w:t>
      </w:r>
      <w:r>
        <w:t xml:space="preserve">). For Criterion 2 (relative hormone levels), relative E2 and P4 hormone levels will be used to re-categorise the peri-menstrual, peri-ovulatory and mid-luteal phases of the experimental sessions as follows </w:t>
      </w:r>
      <w:r>
        <w:fldChar w:fldCharType="begin"/>
      </w:r>
      <w:r w:rsidR="0092047F">
        <w:instrText xml:space="preserve"> ADDIN ZOTERO_ITEM CSL_CITATION {"citationID":"pq69aTNc","properties":{"formattedCitation":"(Schmalenberger et al., 2020)","plainCitation":"(Schmalenberger et al., 2020)","noteIndex":0},"citationItems":[{"id":7264,"uris":["http://zotero.org/users/11330488/items/KEM6J2YK"],"itemData":{"id":7264,"type":"article-journal","abstract":"A recent meta-analysis revealed that cardiac vagal activity (mostly indicated by vagally-mediated heart rate variability; HRV) decreases significantly from the follicular to luteal menstrual cycle phase in naturally-cycling participants. However, the question remains as to whether cyclical changes in estradiol (E2), progesterone (P4), or both are responsible for HRV fluctuations. We present the first studies to use repeated measures of E2, P4, and HRV across the cycle to model both the unique and interactive effects of person-centered E2 and P4 on HRV in multilevel models. In study one, 40 naturally-cycling participants were assessed weekly across four weeks, and were blind to the cycle focus of the study. In study two, 50 naturally-cycling participants were examined in three precisely defined cycle phases via ovulation testing. Both studies revealed that only P4 was correlated with HRV, such that higher-than-usual P4 significantly predicted lower-than-usual HRV within a given participant. In line with this, cycle phase comparisons revealed lower HRV in the mid-luteal phase (characterized by elevated P4) than in other phases. No significant main or interactive effects of E2 on HRV were found. Future female health studies should investigate individual differences in these effects and potential consequences of cyclical HRV changes on daily functioning.","container-title":"Journal of Clinical Medicine","DOI":"10.3390/jcm9030617","ISSN":"2077-0383","issue":"3","language":"en","license":"http://creativecommons.org/licenses/by/3.0/","note":"number: 3\npublisher: Multidisciplinary Digital Publishing Institute","page":"617","source":"www.mdpi.com","title":"Menstrual Cycle Changes in Vagally-Mediated Heart Rate Variability Are Associated with Progesterone: Evidence from Two Within-Person Studies","title-short":"Menstrual Cycle Changes in Vagally-Mediated Heart Rate Variability Are Associated with Progesterone","volume":"9","author":[{"family":"Schmalenberger","given":"Katja M."},{"family":"Eisenlohr-Moul","given":"Tory A."},{"family":"Jarczok","given":"Marc N."},{"family":"Eckstein","given":"Monika"},{"family":"Schneider","given":"Ekaterina"},{"family":"Brenner","given":"Ines G."},{"family":"Duffy","given":"Kathleen"},{"family":"Schweizer","given":"Sophie"},{"family":"Kiesner","given":"Jeff"},{"family":"Thayer","given":"Julian F."},{"family":"Ditzen","given":"Beate"}],"issued":{"date-parts":[["2020",3]]}}}],"schema":"https://github.com/citation-style-language/schema/raw/master/csl-citation.json"} </w:instrText>
      </w:r>
      <w:r>
        <w:fldChar w:fldCharType="separate"/>
      </w:r>
      <w:r w:rsidRPr="00E27150">
        <w:rPr>
          <w:rFonts w:cs="Arial"/>
        </w:rPr>
        <w:t>(Schmalenberger et al., 2020)</w:t>
      </w:r>
      <w:r>
        <w:fldChar w:fldCharType="end"/>
      </w:r>
      <w:r>
        <w:t>:</w:t>
      </w:r>
    </w:p>
    <w:p w14:paraId="4B79FF12" w14:textId="77777777" w:rsidR="00E0208E" w:rsidRDefault="00E0208E" w:rsidP="00E0208E">
      <w:pPr>
        <w:pStyle w:val="ListParagraph"/>
        <w:numPr>
          <w:ilvl w:val="0"/>
          <w:numId w:val="44"/>
        </w:numPr>
      </w:pPr>
      <w:r>
        <w:t xml:space="preserve">Peri-menstrual phase: peri-menstrual E2 &lt; peri-ovulatory E2 </w:t>
      </w:r>
    </w:p>
    <w:p w14:paraId="223B36E0" w14:textId="77777777" w:rsidR="00E0208E" w:rsidRDefault="00E0208E" w:rsidP="00E0208E">
      <w:pPr>
        <w:pStyle w:val="ListParagraph"/>
        <w:numPr>
          <w:ilvl w:val="0"/>
          <w:numId w:val="44"/>
        </w:numPr>
      </w:pPr>
      <w:r>
        <w:t xml:space="preserve">Mid-luteal phase: mid-luteal P4 &gt; peri-ovulatory P4 </w:t>
      </w:r>
    </w:p>
    <w:p w14:paraId="54B4E0FA" w14:textId="77777777" w:rsidR="00E0208E" w:rsidRDefault="00E0208E" w:rsidP="00F94DFC">
      <w:r>
        <w:t>If an experimental session meets the Criterion 1 (counting method), it will remain assigned to the original cycle phase and be included in the analyses. If an experimental session does not meet Criterion 1 for belonging to a specific phase, but it falls within another cycle phase investigated in the study based on the counting method proposed above, then it will be re-assigned to this phase. If this is not the case, compliance with Criterion 2 (relative hormone levels) will be checked. If Criterion 2 supports the original phase, this visit will remain assigned to the original menstrual phase. On the other hand, if Criterion 2 supports that the experimental visit was performed at another phase, then data from this visit will be reassigned to this phase. Experimental sessions that do not pass Criterion 1 and/or cannot be reassigned based on Criterion 1 or Criterion 2 will be excluded from the analyses.</w:t>
      </w:r>
    </w:p>
    <w:p w14:paraId="2E2A24CA" w14:textId="6C25BA62" w:rsidR="00E0208E" w:rsidRPr="00C662E0" w:rsidRDefault="00E0208E" w:rsidP="00F94DFC">
      <w:pPr>
        <w:pStyle w:val="Heading3"/>
        <w:rPr>
          <w:rFonts w:cs="Arial"/>
        </w:rPr>
      </w:pPr>
      <w:r>
        <w:lastRenderedPageBreak/>
        <w:fldChar w:fldCharType="begin"/>
      </w:r>
      <w:r w:rsidR="00DA4730">
        <w:instrText xml:space="preserve"> ADDIN ZOTERO_ITEM CSL_CITATION {"citationID":"4ovREilg","properties":{"formattedCitation":"(Brown et al., 2022)","plainCitation":"(Brown et al., 2022)","dontUpdate":true,"noteIndex":0},"citationItems":[{"id":172,"uris":["http://zotero.org/users/11330488/items/VUFW6WFM"],"itemData":{"id":172,"type":"article-journal","abstract":"Ocular light exposure has important influences on human health and well-being through modulation of circadian rhythms and sleep, as well as neuroendocrine and cognitive functions. Prevailing patterns of light exposure do not optimally engage these actions for many individuals, but advances in our understanding of the underpinning mechanisms and emerging lighting technologies now present opportunities to adjust lighting to promote optimal physical and mental health and performance. A newly developed, international standard provides a SI-compliant way of quantifying the influence of light on the intrinsically photosensitive, melanopsin-expressing, retinal neurons that mediate these effects. The present report provides recommendations for lighting, based on an expert scientific consensus and expressed in an easily measured quantity (melanopic equivalent daylight illuminance (melaponic EDI)) defined within this standard. The recommendations are supported by detailed analysis of the sensitivity of human circadian, neuroendocrine, and alerting responses to ocular light and provide a straightforward framework to inform lighting design and practice.","container-title":"PLOS Biology","DOI":"10.1371/journal.pbio.3001571","ISSN":"1545-7885","issue":"3","journalAbbreviation":"PLOS Biology","language":"en","note":"publisher: Public Library of Science","page":"e3001571","source":"PLoS Journals","title":"Recommendations for daytime, evening, and nighttime indoor light exposure to best support physiology, sleep, and wakefulness in healthy adults","volume":"20","author":[{"family":"Brown","given":"Timothy M."},{"family":"Brainard","given":"George C."},{"family":"Cajochen","given":"Christian"},{"family":"Czeisler","given":"Charles A."},{"family":"Hanifin","given":"John P."},{"family":"Lockley","given":"Steven W."},{"family":"Lucas","given":"Robert J."},{"family":"Münch","given":"Mirjam"},{"family":"O’Hagan","given":"John B."},{"family":"Peirson","given":"Stuart N."},{"family":"Price","given":"Luke L. A."},{"family":"Roenneberg","given":"Till"},{"family":"Schlangen","given":"Luc J. M."},{"family":"Skene","given":"Debra J."},{"family":"Spitschan","given":"Manuel"},{"family":"Vetter","given":"Céline"},{"family":"Zee","given":"Phyllis C."},{"family":"Jr","given":"Kenneth P. Wright"}],"issued":{"date-parts":[["2022",3,17]]}}},{"id":9875,"uris":["http://zotero.org/users/11330488/items/HNMHCTNQ"],"itemData":{"id":9875,"type":"article","abstract":"In field studies using wearable light loggers, participants often need to remove the devices, resulting in non-wear intervals of varying and unknown duration. Accurate detection of these intervals is an essential step during data pre-processing. Here, we deployed a multi-modal approach to collect non-wear time during a longitudinal light exposure campaign and systematically compare non-wear detection strategies. Healthy participants (n=26; mean age 28±5 years, 14F) wore a near-corneal plane light logger for one week and reported non-wear events in three ways: pressing an “event marker” button on the light logger, placing it in a black bag, and using an app-based Wear log. Wear log entries, checked twice daily, served as ground truth for non-wear detection, showing that non-wear time constituted 5.4±3.8% (mean±SD) of total participation time. Button presses at the start and end of non-wear intervals were identified in &gt;85.4% of cases when considering time windows beyond one minute for detection. To detect non-wear intervals based on black bag use and lack of motion, we employed an algorithm detecting clusters of low illuminance and clusters of low activity. Performance was higher for illuminance (F1=0.76) than activity (F1=0.52). Light exposure metrics derived from the full dataset, a dataset filtered for non-wear based on self-reports, and a dataset filtered for non-wear using the low illuminance clusters detection algorithm showed minimal differences. Our results highlight that while non-wear detection may be less critical in high-compliance cohorts, systematically collecting and detecting non-wear intervals is feasible and important for ensuring robust data pre-processing.","DOI":"10.1101/2024.12.23.627604","language":"en","license":"© 2025, Posted by Cold Spring Harbor Laboratory. This pre-print is available under a Creative Commons License (Attribution 4.0 International), CC BY 4.0, as described at http://creativecommons.org/licenses/by/4.0/","note":"page: 2024.12.23.627604\nsection: New Results","publisher":"bioRxiv","source":"bioRxiv","title":"Collecting, detecting and handling non-wear intervals in longitudinal light exposure data","URL":"https://www.biorxiv.org/content/10.1101/2024.12.23.627604v3","author":[{"family":"Guidolin","given":"Carolina"},{"family":"Zauner","given":"Johannes"},{"family":"Hartmeyer","given":"Steffen Lutz"},{"family":"Spitschan","given":"Manuel"}],"accessed":{"date-parts":[["2025",5,19]]},"issued":{"date-parts":[["2025",1,24]]}}}],"schema":"https://github.com/citation-style-language/schema/raw/master/csl-citation.json"} </w:instrText>
      </w:r>
      <w:r w:rsidR="009C4876">
        <w:fldChar w:fldCharType="separate"/>
      </w:r>
      <w:r>
        <w:fldChar w:fldCharType="end"/>
      </w:r>
      <w:r w:rsidRPr="00C662E0">
        <w:rPr>
          <w:rFonts w:cs="Arial"/>
        </w:rPr>
        <w:t>Manipulation check</w:t>
      </w:r>
      <w:r>
        <w:rPr>
          <w:rFonts w:cs="Arial"/>
        </w:rPr>
        <w:t>s</w:t>
      </w:r>
    </w:p>
    <w:p w14:paraId="21D23074" w14:textId="0C9DAFEB" w:rsidR="00E0208E" w:rsidRPr="00C662E0" w:rsidRDefault="00E0208E" w:rsidP="00F94DFC">
      <w:pPr>
        <w:rPr>
          <w:rFonts w:cs="Arial"/>
        </w:rPr>
      </w:pPr>
      <w:r w:rsidRPr="00C662E0">
        <w:rPr>
          <w:rFonts w:cs="Arial"/>
        </w:rPr>
        <w:t xml:space="preserve">In order to check that participant scheduling was successful in capturing different hormonal profiles, we will perform manipulation checks as a first step of data analysis. </w:t>
      </w:r>
      <w:r>
        <w:rPr>
          <w:rFonts w:cs="Arial"/>
        </w:rPr>
        <w:t xml:space="preserve">First, model diagnostics will be performed to ensure linearity of the predictors (residual plots), normality of residuals and random effects (using quantile-quantile plots), and homoscedasticity of residuals (residual plots). The manipulation checks will be performed as LMMs using the </w:t>
      </w:r>
      <w:proofErr w:type="spellStart"/>
      <w:r w:rsidRPr="003B6B49">
        <w:rPr>
          <w:rFonts w:cs="Arial"/>
          <w:i/>
          <w:iCs/>
        </w:rPr>
        <w:t>lmer</w:t>
      </w:r>
      <w:proofErr w:type="spellEnd"/>
      <w:r>
        <w:rPr>
          <w:rFonts w:cs="Arial"/>
        </w:rPr>
        <w:t xml:space="preserve"> function from the </w:t>
      </w:r>
      <w:proofErr w:type="spellStart"/>
      <w:r w:rsidRPr="003B6B49">
        <w:rPr>
          <w:rFonts w:cs="Arial"/>
          <w:i/>
          <w:iCs/>
        </w:rPr>
        <w:t>lmerTest</w:t>
      </w:r>
      <w:proofErr w:type="spellEnd"/>
      <w:r>
        <w:rPr>
          <w:rFonts w:cs="Arial"/>
        </w:rPr>
        <w:t xml:space="preserve"> package (latest version available at data analysis, </w:t>
      </w:r>
      <w:r>
        <w:rPr>
          <w:rFonts w:cs="Arial"/>
        </w:rPr>
        <w:fldChar w:fldCharType="begin"/>
      </w:r>
      <w:r w:rsidR="0092047F">
        <w:rPr>
          <w:rFonts w:cs="Arial"/>
        </w:rPr>
        <w:instrText xml:space="preserve"> ADDIN ZOTERO_ITEM CSL_CITATION {"citationID":"HWgt8q2Q","properties":{"formattedCitation":"(Kuznetsova et al., 2017)","plainCitation":"(Kuznetsova et al., 2017)","dontUpdate":true,"noteIndex":0},"citationItems":[{"id":9889,"uris":["http://zotero.org/users/11330488/items/UNBSQD9G"],"itemData":{"id":9889,"type":"article-journal","abstract":"One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well.","container-title":"Journal of Statistical Software","DOI":"10.18637/jss.v082.i13","ISSN":"1548-7660","language":"en","license":"Copyright (c) 2017 Alexandra Kuznetsova, Per B. Brockhoff, Rune H. B. Christensen","page":"1-26","source":"www.jstatsoft.org","title":"lmerTest Package: Tests in Linear Mixed Effects Models","title-short":"lmerTest Package","volume":"82","author":[{"family":"Kuznetsova","given":"Alexandra"},{"family":"Brockhoff","given":"Per B."},{"family":"Christensen","given":"Rune H. B."}],"issued":{"date-parts":[["2017",12,6]]}}}],"schema":"https://github.com/citation-style-language/schema/raw/master/csl-citation.json"} </w:instrText>
      </w:r>
      <w:r>
        <w:rPr>
          <w:rFonts w:cs="Arial"/>
        </w:rPr>
        <w:fldChar w:fldCharType="separate"/>
      </w:r>
      <w:r w:rsidRPr="005D6A32">
        <w:rPr>
          <w:rFonts w:cs="Arial"/>
        </w:rPr>
        <w:t>Kuznetsova et al., 2017)</w:t>
      </w:r>
      <w:r>
        <w:rPr>
          <w:rFonts w:cs="Arial"/>
        </w:rPr>
        <w:fldChar w:fldCharType="end"/>
      </w:r>
      <w:r>
        <w:rPr>
          <w:rFonts w:cs="Arial"/>
        </w:rPr>
        <w:t xml:space="preserve">. </w:t>
      </w:r>
    </w:p>
    <w:tbl>
      <w:tblPr>
        <w:tblStyle w:val="TableGrid"/>
        <w:tblW w:w="9493" w:type="dxa"/>
        <w:tblLook w:val="04A0" w:firstRow="1" w:lastRow="0" w:firstColumn="1" w:lastColumn="0" w:noHBand="0" w:noVBand="1"/>
      </w:tblPr>
      <w:tblGrid>
        <w:gridCol w:w="3397"/>
        <w:gridCol w:w="2977"/>
        <w:gridCol w:w="3119"/>
      </w:tblGrid>
      <w:tr w:rsidR="00E0208E" w:rsidRPr="00C662E0" w14:paraId="35ECEEA8" w14:textId="77777777" w:rsidTr="00774149">
        <w:tc>
          <w:tcPr>
            <w:tcW w:w="3397" w:type="dxa"/>
          </w:tcPr>
          <w:p w14:paraId="1799882B" w14:textId="77777777" w:rsidR="00E0208E" w:rsidRPr="001205EA" w:rsidRDefault="00E0208E" w:rsidP="00774149">
            <w:pPr>
              <w:ind w:firstLine="0"/>
              <w:rPr>
                <w:rFonts w:cs="Arial"/>
                <w:b/>
                <w:bCs/>
              </w:rPr>
            </w:pPr>
            <w:r w:rsidRPr="001205EA">
              <w:rPr>
                <w:rFonts w:cs="Arial"/>
                <w:b/>
                <w:bCs/>
              </w:rPr>
              <w:t>Manipulation check</w:t>
            </w:r>
          </w:p>
        </w:tc>
        <w:tc>
          <w:tcPr>
            <w:tcW w:w="2977" w:type="dxa"/>
          </w:tcPr>
          <w:p w14:paraId="78098BAC" w14:textId="77777777" w:rsidR="00E0208E" w:rsidRPr="00C662E0" w:rsidRDefault="00E0208E" w:rsidP="00774149">
            <w:pPr>
              <w:ind w:firstLine="0"/>
              <w:rPr>
                <w:rFonts w:cs="Arial"/>
                <w:b/>
                <w:bCs/>
              </w:rPr>
            </w:pPr>
            <w:r w:rsidRPr="00C662E0">
              <w:rPr>
                <w:rFonts w:cs="Arial"/>
                <w:b/>
                <w:bCs/>
              </w:rPr>
              <w:t>Type</w:t>
            </w:r>
          </w:p>
        </w:tc>
        <w:tc>
          <w:tcPr>
            <w:tcW w:w="3119" w:type="dxa"/>
          </w:tcPr>
          <w:p w14:paraId="21402C37" w14:textId="77777777" w:rsidR="00E0208E" w:rsidRPr="00C662E0" w:rsidRDefault="00E0208E" w:rsidP="00774149">
            <w:pPr>
              <w:ind w:firstLine="0"/>
              <w:rPr>
                <w:rFonts w:cs="Arial"/>
                <w:b/>
                <w:bCs/>
              </w:rPr>
            </w:pPr>
            <w:r w:rsidRPr="00C662E0">
              <w:rPr>
                <w:rFonts w:cs="Arial"/>
                <w:b/>
                <w:bCs/>
              </w:rPr>
              <w:t>Statistical model</w:t>
            </w:r>
          </w:p>
        </w:tc>
      </w:tr>
      <w:tr w:rsidR="00E0208E" w:rsidRPr="00C662E0" w14:paraId="7EE22FC5" w14:textId="77777777" w:rsidTr="00774149">
        <w:tc>
          <w:tcPr>
            <w:tcW w:w="3397" w:type="dxa"/>
          </w:tcPr>
          <w:p w14:paraId="5D8C711B" w14:textId="77777777" w:rsidR="00E0208E" w:rsidRPr="001205EA" w:rsidRDefault="00E0208E" w:rsidP="00774149">
            <w:pPr>
              <w:ind w:firstLine="0"/>
              <w:rPr>
                <w:rFonts w:cs="Arial"/>
              </w:rPr>
            </w:pPr>
            <w:r w:rsidRPr="001205EA">
              <w:rPr>
                <w:rFonts w:cs="Arial"/>
              </w:rPr>
              <w:t>Verify different endogenous sex hormones levels in different menstrual phases (</w:t>
            </w:r>
            <w:proofErr w:type="gramStart"/>
            <w:r w:rsidRPr="001205EA">
              <w:rPr>
                <w:rFonts w:cs="Arial"/>
              </w:rPr>
              <w:t>i.e.</w:t>
            </w:r>
            <w:proofErr w:type="gramEnd"/>
            <w:r w:rsidRPr="001205EA">
              <w:rPr>
                <w:rFonts w:cs="Arial"/>
              </w:rPr>
              <w:t xml:space="preserve"> respective scheduled sessions):</w:t>
            </w:r>
          </w:p>
          <w:p w14:paraId="6FDBFCFC" w14:textId="77777777" w:rsidR="00E0208E" w:rsidRPr="001205EA" w:rsidRDefault="00E0208E" w:rsidP="00E0208E">
            <w:pPr>
              <w:pStyle w:val="ListParagraph"/>
              <w:numPr>
                <w:ilvl w:val="0"/>
                <w:numId w:val="44"/>
              </w:numPr>
              <w:rPr>
                <w:rFonts w:cs="Arial"/>
              </w:rPr>
            </w:pPr>
            <w:r w:rsidRPr="001205EA">
              <w:rPr>
                <w:rFonts w:cs="Arial"/>
              </w:rPr>
              <w:t>Peri-ovulatory: high E2 and low P4, high T, low EE and SP</w:t>
            </w:r>
          </w:p>
          <w:p w14:paraId="65854A21" w14:textId="77777777" w:rsidR="00E0208E" w:rsidRPr="001205EA" w:rsidRDefault="00E0208E" w:rsidP="00E0208E">
            <w:pPr>
              <w:pStyle w:val="ListParagraph"/>
              <w:numPr>
                <w:ilvl w:val="0"/>
                <w:numId w:val="44"/>
              </w:numPr>
              <w:rPr>
                <w:rFonts w:cs="Arial"/>
              </w:rPr>
            </w:pPr>
            <w:r w:rsidRPr="001205EA">
              <w:rPr>
                <w:rFonts w:cs="Arial"/>
              </w:rPr>
              <w:t>Mid-luteal: high E2 and P4, low T, low EE and SP</w:t>
            </w:r>
          </w:p>
          <w:p w14:paraId="4579B41F" w14:textId="77777777" w:rsidR="00E0208E" w:rsidRPr="001205EA" w:rsidRDefault="00E0208E" w:rsidP="00E0208E">
            <w:pPr>
              <w:pStyle w:val="ListParagraph"/>
              <w:numPr>
                <w:ilvl w:val="0"/>
                <w:numId w:val="44"/>
              </w:numPr>
              <w:rPr>
                <w:rFonts w:cs="Arial"/>
              </w:rPr>
            </w:pPr>
            <w:r w:rsidRPr="001205EA">
              <w:rPr>
                <w:rFonts w:cs="Arial"/>
              </w:rPr>
              <w:t>Peri-menstrual: falling E2 and P4, low T, low EE and SP</w:t>
            </w:r>
          </w:p>
          <w:p w14:paraId="68FFE4D2" w14:textId="77777777" w:rsidR="00E0208E" w:rsidRPr="001205EA" w:rsidRDefault="00E0208E" w:rsidP="00E0208E">
            <w:pPr>
              <w:pStyle w:val="ListParagraph"/>
              <w:numPr>
                <w:ilvl w:val="0"/>
                <w:numId w:val="44"/>
              </w:numPr>
              <w:rPr>
                <w:rFonts w:cs="Arial"/>
              </w:rPr>
            </w:pPr>
            <w:r w:rsidRPr="001205EA">
              <w:rPr>
                <w:rFonts w:cs="Arial"/>
              </w:rPr>
              <w:t>Mid-follicular: low E2 and P4, low T, low EE and SP</w:t>
            </w:r>
          </w:p>
        </w:tc>
        <w:tc>
          <w:tcPr>
            <w:tcW w:w="2977" w:type="dxa"/>
          </w:tcPr>
          <w:p w14:paraId="3BFA4B25" w14:textId="77777777" w:rsidR="00E0208E" w:rsidRPr="00C662E0" w:rsidRDefault="00E0208E" w:rsidP="00774149">
            <w:pPr>
              <w:ind w:firstLine="0"/>
              <w:rPr>
                <w:rFonts w:cs="Arial"/>
              </w:rPr>
            </w:pPr>
            <w:r w:rsidRPr="00C662E0">
              <w:rPr>
                <w:rFonts w:cs="Arial"/>
              </w:rPr>
              <w:t>Within group (NC)</w:t>
            </w:r>
          </w:p>
        </w:tc>
        <w:tc>
          <w:tcPr>
            <w:tcW w:w="3119" w:type="dxa"/>
          </w:tcPr>
          <w:p w14:paraId="0C2191C7" w14:textId="77777777" w:rsidR="00E0208E" w:rsidRPr="00C662E0" w:rsidRDefault="00E0208E" w:rsidP="00774149">
            <w:pPr>
              <w:ind w:firstLine="0"/>
              <w:rPr>
                <w:rFonts w:cs="Arial"/>
              </w:rPr>
            </w:pPr>
            <w:r w:rsidRPr="00C662E0">
              <w:rPr>
                <w:rFonts w:cs="Arial"/>
              </w:rPr>
              <w:t>Five linear mixed models, with dependent variable being each of the hormones of interest (E2, P4, T, EE, P). Structure of linear mixed model:</w:t>
            </w:r>
            <w:r w:rsidRPr="00C662E0">
              <w:rPr>
                <w:rFonts w:cs="Arial"/>
              </w:rPr>
              <w:br/>
              <w:t>menstrual phase as categorical predictor (main effect) and participant ID as random factor.</w:t>
            </w:r>
          </w:p>
        </w:tc>
      </w:tr>
      <w:tr w:rsidR="00E0208E" w:rsidRPr="00C662E0" w14:paraId="5C9B43DC" w14:textId="77777777" w:rsidTr="00774149">
        <w:tc>
          <w:tcPr>
            <w:tcW w:w="3397" w:type="dxa"/>
          </w:tcPr>
          <w:p w14:paraId="464F8669" w14:textId="77777777" w:rsidR="00E0208E" w:rsidRPr="001205EA" w:rsidRDefault="00E0208E" w:rsidP="00774149">
            <w:pPr>
              <w:ind w:firstLine="0"/>
              <w:rPr>
                <w:rFonts w:cs="Arial"/>
              </w:rPr>
            </w:pPr>
            <w:r w:rsidRPr="001205EA">
              <w:rPr>
                <w:rFonts w:cs="Arial"/>
              </w:rPr>
              <w:t>Verify different exogenous hormones levels between active pill intake phases (n=3) and inactive pill intake phase (n=1)</w:t>
            </w:r>
          </w:p>
          <w:p w14:paraId="73E44F12" w14:textId="77777777" w:rsidR="00E0208E" w:rsidRPr="001205EA" w:rsidRDefault="00E0208E" w:rsidP="00E0208E">
            <w:pPr>
              <w:pStyle w:val="ListParagraph"/>
              <w:numPr>
                <w:ilvl w:val="0"/>
                <w:numId w:val="44"/>
              </w:numPr>
              <w:rPr>
                <w:rFonts w:cs="Arial"/>
              </w:rPr>
            </w:pPr>
            <w:r w:rsidRPr="001205EA">
              <w:rPr>
                <w:rFonts w:cs="Arial"/>
              </w:rPr>
              <w:t>Active phase: high EE and SP, low E2 ad P4</w:t>
            </w:r>
          </w:p>
          <w:p w14:paraId="18BA5915" w14:textId="77777777" w:rsidR="00E0208E" w:rsidRPr="001205EA" w:rsidRDefault="00E0208E" w:rsidP="00E0208E">
            <w:pPr>
              <w:pStyle w:val="ListParagraph"/>
              <w:numPr>
                <w:ilvl w:val="0"/>
                <w:numId w:val="44"/>
              </w:numPr>
              <w:rPr>
                <w:rFonts w:cs="Arial"/>
              </w:rPr>
            </w:pPr>
            <w:r w:rsidRPr="001205EA">
              <w:rPr>
                <w:rFonts w:cs="Arial"/>
              </w:rPr>
              <w:t xml:space="preserve">Inactive phase: lower EE and SP and higher E2 and P4 </w:t>
            </w:r>
            <w:r w:rsidRPr="001205EA">
              <w:rPr>
                <w:rFonts w:cs="Arial"/>
              </w:rPr>
              <w:lastRenderedPageBreak/>
              <w:t>compared to active phase</w:t>
            </w:r>
          </w:p>
          <w:p w14:paraId="3FF831B4" w14:textId="77777777" w:rsidR="00E0208E" w:rsidRPr="001205EA" w:rsidRDefault="00E0208E" w:rsidP="00E0208E">
            <w:pPr>
              <w:pStyle w:val="ListParagraph"/>
              <w:numPr>
                <w:ilvl w:val="0"/>
                <w:numId w:val="44"/>
              </w:numPr>
              <w:rPr>
                <w:rFonts w:cs="Arial"/>
              </w:rPr>
            </w:pPr>
            <w:r w:rsidRPr="001205EA">
              <w:rPr>
                <w:rFonts w:cs="Arial"/>
              </w:rPr>
              <w:t>Low T levels across the pill cycle</w:t>
            </w:r>
          </w:p>
        </w:tc>
        <w:tc>
          <w:tcPr>
            <w:tcW w:w="2977" w:type="dxa"/>
          </w:tcPr>
          <w:p w14:paraId="2F978D46" w14:textId="77777777" w:rsidR="00E0208E" w:rsidRPr="00C662E0" w:rsidRDefault="00E0208E" w:rsidP="00774149">
            <w:pPr>
              <w:ind w:firstLine="0"/>
              <w:rPr>
                <w:rFonts w:cs="Arial"/>
              </w:rPr>
            </w:pPr>
            <w:r w:rsidRPr="00C662E0">
              <w:rPr>
                <w:rFonts w:cs="Arial"/>
              </w:rPr>
              <w:lastRenderedPageBreak/>
              <w:t>Within group (MCOC)</w:t>
            </w:r>
          </w:p>
        </w:tc>
        <w:tc>
          <w:tcPr>
            <w:tcW w:w="3119" w:type="dxa"/>
          </w:tcPr>
          <w:p w14:paraId="641389D3" w14:textId="77777777" w:rsidR="00E0208E" w:rsidRPr="00C662E0" w:rsidRDefault="00E0208E" w:rsidP="00774149">
            <w:pPr>
              <w:ind w:firstLine="0"/>
              <w:rPr>
                <w:rFonts w:cs="Arial"/>
              </w:rPr>
            </w:pPr>
            <w:r w:rsidRPr="00C662E0">
              <w:rPr>
                <w:rFonts w:cs="Arial"/>
              </w:rPr>
              <w:t>Five linear mixed models, with dependent variable being each of hormones of interest (E2, P4, T, EE, P). Structure of linear mixed model:</w:t>
            </w:r>
            <w:r w:rsidRPr="00C662E0">
              <w:rPr>
                <w:rFonts w:cs="Arial"/>
              </w:rPr>
              <w:br/>
              <w:t>pill cycle phase as categorical predictor (main effect) and participant ID as random factor.</w:t>
            </w:r>
          </w:p>
        </w:tc>
      </w:tr>
      <w:tr w:rsidR="00E0208E" w:rsidRPr="00C662E0" w14:paraId="33DA855B" w14:textId="77777777" w:rsidTr="00774149">
        <w:tc>
          <w:tcPr>
            <w:tcW w:w="3397" w:type="dxa"/>
          </w:tcPr>
          <w:p w14:paraId="4B873174" w14:textId="77777777" w:rsidR="00E0208E" w:rsidRPr="001205EA" w:rsidRDefault="00E0208E" w:rsidP="00774149">
            <w:pPr>
              <w:ind w:firstLine="0"/>
              <w:rPr>
                <w:rFonts w:cs="Arial"/>
              </w:rPr>
            </w:pPr>
            <w:r w:rsidRPr="001205EA">
              <w:rPr>
                <w:rFonts w:cs="Arial"/>
              </w:rPr>
              <w:t>Verify different endogenous and exogenous hormonal profiles between NC group, MCOC group, and HM group:</w:t>
            </w:r>
          </w:p>
          <w:p w14:paraId="1C810383" w14:textId="77777777" w:rsidR="00E0208E" w:rsidRPr="001205EA" w:rsidRDefault="00E0208E" w:rsidP="00E0208E">
            <w:pPr>
              <w:pStyle w:val="ListParagraph"/>
              <w:numPr>
                <w:ilvl w:val="0"/>
                <w:numId w:val="44"/>
              </w:numPr>
              <w:rPr>
                <w:rFonts w:cs="Arial"/>
              </w:rPr>
            </w:pPr>
            <w:r w:rsidRPr="001205EA">
              <w:rPr>
                <w:rFonts w:cs="Arial"/>
              </w:rPr>
              <w:t>NC groups: high E2 and P4 levels, low T, no EE and SP</w:t>
            </w:r>
          </w:p>
          <w:p w14:paraId="1C70804C" w14:textId="77777777" w:rsidR="00E0208E" w:rsidRPr="001205EA" w:rsidRDefault="00E0208E" w:rsidP="00E0208E">
            <w:pPr>
              <w:pStyle w:val="ListParagraph"/>
              <w:numPr>
                <w:ilvl w:val="0"/>
                <w:numId w:val="44"/>
              </w:numPr>
              <w:rPr>
                <w:rFonts w:cs="Arial"/>
              </w:rPr>
            </w:pPr>
            <w:r w:rsidRPr="001205EA">
              <w:rPr>
                <w:rFonts w:cs="Arial"/>
              </w:rPr>
              <w:t>MCOC group: high EE and SP levels, low T, E2 and P4</w:t>
            </w:r>
          </w:p>
          <w:p w14:paraId="22F6B6EF" w14:textId="77777777" w:rsidR="00E0208E" w:rsidRPr="001205EA" w:rsidRDefault="00E0208E" w:rsidP="00E0208E">
            <w:pPr>
              <w:pStyle w:val="ListParagraph"/>
              <w:numPr>
                <w:ilvl w:val="0"/>
                <w:numId w:val="44"/>
              </w:numPr>
              <w:rPr>
                <w:rFonts w:cs="Arial"/>
              </w:rPr>
            </w:pPr>
            <w:r w:rsidRPr="001205EA">
              <w:rPr>
                <w:rFonts w:cs="Arial"/>
              </w:rPr>
              <w:t>HM group: high T, low E2 and P4, no EE and SP</w:t>
            </w:r>
          </w:p>
        </w:tc>
        <w:tc>
          <w:tcPr>
            <w:tcW w:w="2977" w:type="dxa"/>
          </w:tcPr>
          <w:p w14:paraId="6DD4A1B3" w14:textId="77777777" w:rsidR="00E0208E" w:rsidRPr="00C662E0" w:rsidRDefault="00E0208E" w:rsidP="00774149">
            <w:pPr>
              <w:ind w:firstLine="0"/>
              <w:rPr>
                <w:rFonts w:cs="Arial"/>
              </w:rPr>
            </w:pPr>
            <w:r w:rsidRPr="00C662E0">
              <w:rPr>
                <w:rFonts w:cs="Arial"/>
              </w:rPr>
              <w:t>Between-groups</w:t>
            </w:r>
          </w:p>
        </w:tc>
        <w:tc>
          <w:tcPr>
            <w:tcW w:w="3119" w:type="dxa"/>
          </w:tcPr>
          <w:p w14:paraId="114C36AF" w14:textId="77777777" w:rsidR="00E0208E" w:rsidRPr="00C662E0" w:rsidRDefault="00E0208E" w:rsidP="00774149">
            <w:pPr>
              <w:ind w:firstLine="0"/>
              <w:rPr>
                <w:rFonts w:cs="Arial"/>
              </w:rPr>
            </w:pPr>
            <w:r w:rsidRPr="00C662E0">
              <w:rPr>
                <w:rFonts w:cs="Arial"/>
              </w:rPr>
              <w:t xml:space="preserve">Five linear mixed models with dependent variable being each of the hormones of interest (E2, P4, T, EE, P). Structure of the linear mixed models: group as categorical predictor (main effect) and participant ID as random factor. </w:t>
            </w:r>
          </w:p>
        </w:tc>
      </w:tr>
    </w:tbl>
    <w:p w14:paraId="613ACD39" w14:textId="592ED626" w:rsidR="00E0208E" w:rsidRDefault="00E0208E" w:rsidP="00F94DFC">
      <w:pPr>
        <w:ind w:firstLine="0"/>
      </w:pPr>
      <w:r>
        <w:t xml:space="preserve">Table </w:t>
      </w:r>
      <w:r w:rsidR="00672953">
        <w:t>5</w:t>
      </w:r>
      <w:r>
        <w:t xml:space="preserve">: Overview of manipulation checks. </w:t>
      </w:r>
    </w:p>
    <w:p w14:paraId="27DFE364" w14:textId="77777777" w:rsidR="00E0208E" w:rsidRPr="00F94DFC" w:rsidRDefault="00E0208E" w:rsidP="00F94DFC">
      <w:pPr>
        <w:pStyle w:val="Heading3"/>
      </w:pPr>
      <w:r w:rsidRPr="00F94DFC">
        <w:t>Analytic plan for confirmatory analyses</w:t>
      </w:r>
    </w:p>
    <w:p w14:paraId="3E4162A5" w14:textId="3DD3C6B1" w:rsidR="004A7465" w:rsidRDefault="004A7465" w:rsidP="004A7465">
      <w:r>
        <w:t>Each confirmatory analysis will be analysed using an LMM. The outcome of each analysis will be assessed based on the resulting BF (see Table 7 and</w:t>
      </w:r>
      <w:r w:rsidRPr="00705906">
        <w:rPr>
          <w:i/>
          <w:iCs/>
        </w:rPr>
        <w:t xml:space="preserve"> Sample size </w:t>
      </w:r>
      <w:r>
        <w:t>for interpretation of the evidence strength of each hypothesis based on BF values).</w:t>
      </w:r>
      <w:r w:rsidR="0009673B">
        <w:t xml:space="preserve"> </w:t>
      </w:r>
      <w:r w:rsidR="00262C75">
        <w:rPr>
          <w:rFonts w:cs="Arial"/>
        </w:rPr>
        <w:t xml:space="preserve">First, model diagnostics will be performed to ensure linearity of the predictors (residual plots), normality of residuals and random effects (using quantile-quantile plots), and homoscedasticity of residuals (residual plots). </w:t>
      </w:r>
      <w:r w:rsidR="0009673B">
        <w:t xml:space="preserve">We will use the following criteria to determine evidence for the full model </w:t>
      </w:r>
      <w:proofErr w:type="spellStart"/>
      <w:r w:rsidR="0009673B">
        <w:t>CH</w:t>
      </w:r>
      <w:r w:rsidR="0009673B" w:rsidRPr="5CE66923">
        <w:rPr>
          <w:vertAlign w:val="subscript"/>
        </w:rPr>
        <w:t>Full</w:t>
      </w:r>
      <w:proofErr w:type="spellEnd"/>
      <w:r w:rsidR="0009673B" w:rsidRPr="5CE66923">
        <w:rPr>
          <w:i/>
          <w:iCs/>
        </w:rPr>
        <w:t xml:space="preserve"> </w:t>
      </w:r>
      <w:r w:rsidR="0009673B" w:rsidRPr="5CE66923">
        <w:rPr>
          <w:i/>
          <w:iCs/>
        </w:rPr>
        <w:fldChar w:fldCharType="begin"/>
      </w:r>
      <w:r w:rsidR="0009673B">
        <w:rPr>
          <w:i/>
          <w:iCs/>
        </w:rPr>
        <w:instrText xml:space="preserve"> ADDIN ZOTERO_ITEM CSL_CITATION {"citationID":"QDQsLzv8","properties":{"formattedCitation":"(Jeffreys, 1998)","plainCitation":"(Jeffreys, 1998)","noteIndex":0},"citationItems":[{"id":9623,"uris":["http://zotero.org/users/11330488/items/XDGK3IKF"],"itemData":{"id":9623,"type":"book","abstract":"Another title in the reissued Oxford Classic Texts in the Physical Sciences series, Jeffrey's Theory of Probability, first published in 1939, was the first to develop a fundamental theory of scientific inference based on the ideas of Bayesian statistics. His ideas were way ahead of their time and it is only in the past ten years that the subject of Bayes' factors has been significantly developed and extended. Until recently the two schools of statistics (Bayesian and Frequentist) were distinctly different and set apart. Recent work (aided by increased computer power and availability) has changed all that and today's graduate students and researchers all require an understanding of Bayesian ideas. This book is their starting point.","ISBN":"978-0-19-158967-6","language":"en","note":"Google-Books-ID: vh9Act9rtzQC","number-of-pages":"474","publisher":"OUP Oxford","source":"Google Books","title":"The Theory of Probability","author":[{"family":"Jeffreys","given":"Harold"}],"issued":{"date-parts":[["1998",8,6]]}}}],"schema":"https://github.com/citation-style-language/schema/raw/master/csl-citation.json"} </w:instrText>
      </w:r>
      <w:r w:rsidR="0009673B" w:rsidRPr="5CE66923">
        <w:rPr>
          <w:i/>
          <w:iCs/>
        </w:rPr>
        <w:fldChar w:fldCharType="separate"/>
      </w:r>
      <w:r w:rsidR="0009673B" w:rsidRPr="5CE66923">
        <w:rPr>
          <w:rFonts w:cs="Arial"/>
        </w:rPr>
        <w:t>(Jeffreys, 1998)</w:t>
      </w:r>
      <w:r w:rsidR="0009673B" w:rsidRPr="5CE66923">
        <w:rPr>
          <w:i/>
          <w:iCs/>
        </w:rPr>
        <w:fldChar w:fldCharType="end"/>
      </w:r>
      <w:r w:rsidR="0009673B">
        <w:t xml:space="preserve">: 1/3&lt;BF&lt;3 as anecdotal evidence for </w:t>
      </w:r>
      <w:proofErr w:type="spellStart"/>
      <w:r w:rsidR="0009673B">
        <w:t>CH</w:t>
      </w:r>
      <w:r w:rsidR="0009673B" w:rsidRPr="5CE66923">
        <w:rPr>
          <w:vertAlign w:val="subscript"/>
        </w:rPr>
        <w:t>Full</w:t>
      </w:r>
      <w:proofErr w:type="spellEnd"/>
      <w:r w:rsidR="0009673B">
        <w:t xml:space="preserve">, 3&lt;BF&lt;10 as substantial evidence for </w:t>
      </w:r>
      <w:proofErr w:type="spellStart"/>
      <w:r w:rsidR="0009673B">
        <w:t>CH</w:t>
      </w:r>
      <w:r w:rsidR="0009673B" w:rsidRPr="5CE66923">
        <w:rPr>
          <w:vertAlign w:val="subscript"/>
        </w:rPr>
        <w:t>Full</w:t>
      </w:r>
      <w:proofErr w:type="spellEnd"/>
      <w:r w:rsidR="0009673B">
        <w:t xml:space="preserve">, 10&lt;BF&lt;30 as strong evidence for </w:t>
      </w:r>
      <w:proofErr w:type="spellStart"/>
      <w:r w:rsidR="0009673B">
        <w:t>CH</w:t>
      </w:r>
      <w:r w:rsidR="0009673B" w:rsidRPr="5CE66923">
        <w:rPr>
          <w:vertAlign w:val="subscript"/>
        </w:rPr>
        <w:t>Full</w:t>
      </w:r>
      <w:proofErr w:type="spellEnd"/>
      <w:r w:rsidR="0009673B">
        <w:t xml:space="preserve">, and BF&gt;100 as very strong evidence for </w:t>
      </w:r>
      <w:proofErr w:type="spellStart"/>
      <w:r w:rsidR="0009673B">
        <w:t>CH</w:t>
      </w:r>
      <w:r w:rsidR="0009673B" w:rsidRPr="5CE66923">
        <w:rPr>
          <w:vertAlign w:val="subscript"/>
        </w:rPr>
        <w:t>Full</w:t>
      </w:r>
      <w:proofErr w:type="spellEnd"/>
      <w:r w:rsidR="0009673B" w:rsidRPr="5CE66923">
        <w:rPr>
          <w:i/>
          <w:iCs/>
        </w:rPr>
        <w:t xml:space="preserve">. </w:t>
      </w:r>
      <w:r>
        <w:t xml:space="preserve"> Here, we report the full and null models for each confirmatory hypothesis according to the Wilkinson-Rogers notation </w:t>
      </w:r>
      <w:r>
        <w:fldChar w:fldCharType="begin"/>
      </w:r>
      <w:r w:rsidR="0092047F">
        <w:instrText xml:space="preserve"> ADDIN ZOTERO_ITEM CSL_CITATION {"citationID":"S8eUYnd0","properties":{"formattedCitation":"(Wilkinson &amp; Rogers, 1973)","plainCitation":"(Wilkinson &amp; Rogers, 1973)","noteIndex":0},"citationItems":[{"id":9621,"uris":["http://zotero.org/users/11330488/items/KPN73TCR"],"itemData":{"id":9621,"type":"article-journal","abstract":"The paper describes the symbolic notation and syntax for specifying factorial models for analysis of variance in the control language of the GENSTAT statistical program system at Rothamsted. The notation generalizes that of Nelder (1965). Algorithm AS 65 (Rogers, 1973) converts factorial model formulae in this notation to a list of model terms represented as binary integers. A further extension of the syntax is discussed for specifying models generally (including non-linear forms).","container-title":"Journal of the Royal Statistical Society. Series C (Applied Statistics)","DOI":"10.2307/2346786","ISSN":"0035-9254","issue":"3","note":"publisher: [Royal Statistical Society, Oxford University Press]","page":"392-399","source":"JSTOR","title":"Symbolic Description of Factorial Models for Analysis of Variance","volume":"22","author":[{"family":"Wilkinson","given":"G. N."},{"family":"Rogers","given":"C. E."}],"issued":{"date-parts":[["1973"]]}}}],"schema":"https://github.com/citation-style-language/schema/raw/master/csl-citation.json"} </w:instrText>
      </w:r>
      <w:r>
        <w:fldChar w:fldCharType="separate"/>
      </w:r>
      <w:r w:rsidRPr="008E0FDC">
        <w:rPr>
          <w:rFonts w:cs="Arial"/>
        </w:rPr>
        <w:t>(Wilkinson &amp; Rogers, 1973)</w:t>
      </w:r>
      <w:r>
        <w:fldChar w:fldCharType="end"/>
      </w:r>
      <w:r>
        <w:t>.</w:t>
      </w:r>
      <w:r w:rsidR="00262C75">
        <w:t xml:space="preserve"> </w:t>
      </w:r>
    </w:p>
    <w:p w14:paraId="0C121F45" w14:textId="77777777" w:rsidR="00E0208E" w:rsidRDefault="00E0208E" w:rsidP="00F94DFC">
      <w:pPr>
        <w:spacing w:before="120" w:after="120"/>
        <w:rPr>
          <w:rFonts w:eastAsia="Arial" w:cs="Arial"/>
        </w:rPr>
      </w:pPr>
      <w:r w:rsidRPr="00CF3E67">
        <w:rPr>
          <w:rFonts w:eastAsia="Arial" w:cs="Arial"/>
          <w:i/>
          <w:iCs/>
          <w:color w:val="000000" w:themeColor="text1"/>
        </w:rPr>
        <w:t xml:space="preserve">Confirmatory </w:t>
      </w:r>
      <w:r>
        <w:rPr>
          <w:rFonts w:eastAsia="Arial" w:cs="Arial"/>
          <w:i/>
          <w:iCs/>
          <w:color w:val="000000" w:themeColor="text1"/>
        </w:rPr>
        <w:t>H</w:t>
      </w:r>
      <w:r w:rsidRPr="00CF3E67">
        <w:rPr>
          <w:rFonts w:eastAsia="Arial" w:cs="Arial"/>
          <w:i/>
          <w:iCs/>
          <w:color w:val="000000" w:themeColor="text1"/>
        </w:rPr>
        <w:t>ypothesis 1</w:t>
      </w:r>
      <w:r>
        <w:rPr>
          <w:rFonts w:eastAsia="Arial" w:cs="Arial"/>
        </w:rPr>
        <w:t>.</w:t>
      </w:r>
      <w:r w:rsidRPr="7049312C">
        <w:rPr>
          <w:rFonts w:eastAsia="Arial" w:cs="Arial"/>
        </w:rPr>
        <w:t xml:space="preserve"> </w:t>
      </w:r>
      <w:r>
        <w:rPr>
          <w:rFonts w:eastAsia="Arial" w:cs="Arial"/>
          <w:color w:val="000000" w:themeColor="text1"/>
        </w:rPr>
        <w:t>Based on previous literature, w</w:t>
      </w:r>
      <w:r w:rsidRPr="7049312C">
        <w:rPr>
          <w:rFonts w:eastAsia="Arial" w:cs="Arial"/>
        </w:rPr>
        <w:t xml:space="preserve">e </w:t>
      </w:r>
      <w:r>
        <w:rPr>
          <w:rFonts w:eastAsia="Arial" w:cs="Arial"/>
        </w:rPr>
        <w:t>hypothesise</w:t>
      </w:r>
      <w:r w:rsidRPr="7049312C">
        <w:rPr>
          <w:rFonts w:eastAsia="Arial" w:cs="Arial"/>
        </w:rPr>
        <w:t xml:space="preserve"> an effect of sex on melatonin suppression, with female</w:t>
      </w:r>
      <w:r>
        <w:rPr>
          <w:rFonts w:eastAsia="Arial" w:cs="Arial"/>
        </w:rPr>
        <w:t xml:space="preserve"> participants</w:t>
      </w:r>
      <w:r w:rsidRPr="7049312C">
        <w:rPr>
          <w:rFonts w:eastAsia="Arial" w:cs="Arial"/>
        </w:rPr>
        <w:t xml:space="preserve"> exhibiting greater melatonin suppression by light compared to male</w:t>
      </w:r>
      <w:r>
        <w:rPr>
          <w:rFonts w:eastAsia="Arial" w:cs="Arial"/>
        </w:rPr>
        <w:t xml:space="preserve"> participants (</w:t>
      </w:r>
      <w:r w:rsidRPr="00BB7314">
        <w:rPr>
          <w:rFonts w:eastAsia="Arial" w:cs="Arial"/>
          <w:b/>
          <w:bCs/>
        </w:rPr>
        <w:t>CH1</w:t>
      </w:r>
      <w:r>
        <w:rPr>
          <w:rFonts w:eastAsia="Arial" w:cs="Arial"/>
          <w:b/>
          <w:bCs/>
        </w:rPr>
        <w:t>a</w:t>
      </w:r>
      <w:r>
        <w:rPr>
          <w:rFonts w:eastAsia="Arial" w:cs="Arial"/>
        </w:rPr>
        <w:t>)</w:t>
      </w:r>
      <w:r w:rsidRPr="7049312C">
        <w:rPr>
          <w:rFonts w:eastAsia="Arial" w:cs="Arial"/>
        </w:rPr>
        <w:t>.</w:t>
      </w:r>
      <w:r>
        <w:rPr>
          <w:rFonts w:eastAsia="Arial" w:cs="Arial"/>
        </w:rPr>
        <w:t xml:space="preserve"> </w:t>
      </w:r>
    </w:p>
    <w:p w14:paraId="30154904" w14:textId="77777777" w:rsidR="004A7465" w:rsidRDefault="004A7465" w:rsidP="004A7465">
      <w:pPr>
        <w:spacing w:before="120" w:after="120"/>
        <w:ind w:firstLine="0"/>
        <w:rPr>
          <w:rFonts w:eastAsia="Arial" w:cs="Arial"/>
        </w:rPr>
      </w:pPr>
      <w:r w:rsidRPr="002D580E">
        <w:rPr>
          <w:rFonts w:eastAsia="Arial" w:cs="Arial"/>
          <w:b/>
          <w:bCs/>
        </w:rPr>
        <w:t>C</w:t>
      </w:r>
      <w:r w:rsidRPr="009A662C">
        <w:rPr>
          <w:rFonts w:eastAsia="Arial" w:cs="Arial"/>
          <w:b/>
          <w:bCs/>
        </w:rPr>
        <w:t>H1a</w:t>
      </w:r>
      <w:r w:rsidRPr="009A662C">
        <w:rPr>
          <w:rFonts w:eastAsia="Arial" w:cs="Arial"/>
          <w:b/>
          <w:bCs/>
          <w:vertAlign w:val="subscript"/>
        </w:rPr>
        <w:t>Full</w:t>
      </w:r>
      <w:r>
        <w:rPr>
          <w:rFonts w:eastAsia="Arial" w:cs="Arial"/>
        </w:rPr>
        <w:t xml:space="preserve">: Melatonin suppression </w:t>
      </w:r>
    </w:p>
    <w:p w14:paraId="3B9EE363" w14:textId="33A3E3C3" w:rsidR="004A7465" w:rsidRDefault="004A7465" w:rsidP="004A7465">
      <w:pPr>
        <w:spacing w:before="120" w:after="120"/>
        <w:ind w:firstLine="720"/>
        <w:rPr>
          <w:rFonts w:eastAsia="Arial" w:cs="Arial"/>
        </w:rPr>
      </w:pPr>
      <w:r>
        <w:rPr>
          <w:rFonts w:eastAsia="Arial" w:cs="Arial"/>
        </w:rPr>
        <w:t xml:space="preserve">= Sex + (1 | Participant ID) </w:t>
      </w:r>
    </w:p>
    <w:p w14:paraId="59862B00" w14:textId="77777777" w:rsidR="004A7465" w:rsidRDefault="004A7465" w:rsidP="004A7465">
      <w:pPr>
        <w:spacing w:before="120" w:after="120"/>
        <w:ind w:firstLine="0"/>
        <w:rPr>
          <w:rFonts w:eastAsia="Arial" w:cs="Arial"/>
        </w:rPr>
      </w:pPr>
      <w:r w:rsidRPr="002D580E">
        <w:rPr>
          <w:rFonts w:eastAsia="Arial" w:cs="Arial"/>
          <w:b/>
          <w:bCs/>
        </w:rPr>
        <w:lastRenderedPageBreak/>
        <w:t>CH1</w:t>
      </w:r>
      <w:r>
        <w:rPr>
          <w:rFonts w:eastAsia="Arial" w:cs="Arial"/>
          <w:b/>
          <w:bCs/>
        </w:rPr>
        <w:t>a</w:t>
      </w:r>
      <w:r>
        <w:rPr>
          <w:rFonts w:eastAsia="Arial" w:cs="Arial"/>
          <w:b/>
          <w:bCs/>
          <w:vertAlign w:val="subscript"/>
        </w:rPr>
        <w:t>Null</w:t>
      </w:r>
      <w:r>
        <w:rPr>
          <w:rFonts w:eastAsia="Arial" w:cs="Arial"/>
        </w:rPr>
        <w:t>: Melatonin suppression</w:t>
      </w:r>
    </w:p>
    <w:p w14:paraId="0B2C7745" w14:textId="31658F00" w:rsidR="004A7465" w:rsidRPr="002D580E" w:rsidRDefault="004A7465" w:rsidP="004A7465">
      <w:pPr>
        <w:spacing w:before="120" w:after="120"/>
        <w:ind w:firstLine="720"/>
        <w:rPr>
          <w:rFonts w:eastAsia="Arial" w:cs="Arial"/>
        </w:rPr>
      </w:pPr>
      <w:r>
        <w:rPr>
          <w:rFonts w:eastAsia="Arial" w:cs="Arial"/>
        </w:rPr>
        <w:t>= (1 | Participant ID)</w:t>
      </w:r>
    </w:p>
    <w:p w14:paraId="5E9F4251" w14:textId="77777777" w:rsidR="00E0208E" w:rsidRDefault="00E0208E" w:rsidP="00F94DFC">
      <w:pPr>
        <w:spacing w:before="120" w:after="120"/>
        <w:rPr>
          <w:rFonts w:eastAsia="Arial" w:cs="Arial"/>
        </w:rPr>
      </w:pPr>
      <w:r>
        <w:rPr>
          <w:rFonts w:eastAsia="Arial" w:cs="Arial"/>
        </w:rPr>
        <w:t>Furthermore, since activation of melanopsin-containing ipRGCs causes melatonin suppression, we hypothesise an effect of sex on melanopsin sensitivity, whereby female participants exhibit larger melanopsin-mediated pupil responses than male participants (</w:t>
      </w:r>
      <w:r w:rsidRPr="00BB7314">
        <w:rPr>
          <w:rFonts w:eastAsia="Arial" w:cs="Arial"/>
          <w:b/>
          <w:bCs/>
        </w:rPr>
        <w:t>CH1</w:t>
      </w:r>
      <w:r>
        <w:rPr>
          <w:rFonts w:eastAsia="Arial" w:cs="Arial"/>
          <w:b/>
          <w:bCs/>
        </w:rPr>
        <w:t>b</w:t>
      </w:r>
      <w:r>
        <w:rPr>
          <w:rFonts w:eastAsia="Arial" w:cs="Arial"/>
        </w:rPr>
        <w:t>).</w:t>
      </w:r>
    </w:p>
    <w:p w14:paraId="6B9CBB98" w14:textId="77777777"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1b</w:t>
      </w:r>
      <w:r w:rsidRPr="009A662C">
        <w:rPr>
          <w:rFonts w:eastAsia="Arial" w:cs="Arial"/>
          <w:b/>
          <w:bCs/>
          <w:vertAlign w:val="subscript"/>
        </w:rPr>
        <w:t>Full</w:t>
      </w:r>
      <w:r>
        <w:rPr>
          <w:rFonts w:eastAsia="Arial" w:cs="Arial"/>
        </w:rPr>
        <w:t>: Melanopsin-mediated pupil responses</w:t>
      </w:r>
    </w:p>
    <w:p w14:paraId="76D5A961" w14:textId="7B55DD52" w:rsidR="004A7465" w:rsidRDefault="004A7465" w:rsidP="004A7465">
      <w:pPr>
        <w:spacing w:before="120" w:after="120"/>
        <w:ind w:firstLine="720"/>
        <w:rPr>
          <w:rFonts w:eastAsia="Arial" w:cs="Arial"/>
        </w:rPr>
      </w:pPr>
      <w:r>
        <w:rPr>
          <w:rFonts w:eastAsia="Arial" w:cs="Arial"/>
        </w:rPr>
        <w:t xml:space="preserve">= Sex + (1 | Participant ID) </w:t>
      </w:r>
    </w:p>
    <w:p w14:paraId="7DCFF57B" w14:textId="77777777" w:rsidR="004A7465" w:rsidRDefault="004A7465" w:rsidP="004A7465">
      <w:pPr>
        <w:spacing w:before="120" w:after="120"/>
        <w:ind w:firstLine="0"/>
        <w:rPr>
          <w:rFonts w:eastAsia="Arial" w:cs="Arial"/>
        </w:rPr>
      </w:pPr>
      <w:r w:rsidRPr="002D580E">
        <w:rPr>
          <w:rFonts w:eastAsia="Arial" w:cs="Arial"/>
          <w:b/>
          <w:bCs/>
        </w:rPr>
        <w:t>CH1</w:t>
      </w:r>
      <w:r>
        <w:rPr>
          <w:rFonts w:eastAsia="Arial" w:cs="Arial"/>
          <w:b/>
          <w:bCs/>
        </w:rPr>
        <w:t>b</w:t>
      </w:r>
      <w:r w:rsidRPr="009A662C">
        <w:rPr>
          <w:rFonts w:eastAsia="Arial" w:cs="Arial"/>
          <w:b/>
          <w:bCs/>
          <w:vertAlign w:val="subscript"/>
        </w:rPr>
        <w:t>Null</w:t>
      </w:r>
      <w:r>
        <w:rPr>
          <w:rFonts w:eastAsia="Arial" w:cs="Arial"/>
        </w:rPr>
        <w:t>: Melanopsin-mediated pupil responses</w:t>
      </w:r>
    </w:p>
    <w:p w14:paraId="2E096AA4" w14:textId="474A4EF3" w:rsidR="004A7465" w:rsidRDefault="004A7465" w:rsidP="004A7465">
      <w:pPr>
        <w:spacing w:before="120" w:after="120"/>
        <w:ind w:firstLine="720"/>
        <w:rPr>
          <w:rFonts w:eastAsia="Arial" w:cs="Arial"/>
        </w:rPr>
      </w:pPr>
      <w:r>
        <w:rPr>
          <w:rFonts w:eastAsia="Arial" w:cs="Arial"/>
        </w:rPr>
        <w:t xml:space="preserve">= (1 | Participant ID) </w:t>
      </w:r>
    </w:p>
    <w:p w14:paraId="4ABD3DB4" w14:textId="77777777" w:rsidR="00E0208E" w:rsidRDefault="00E0208E" w:rsidP="00F94DFC">
      <w:pPr>
        <w:spacing w:before="120" w:after="120"/>
        <w:rPr>
          <w:rFonts w:eastAsia="Arial" w:cs="Arial"/>
        </w:rPr>
      </w:pPr>
      <w:r>
        <w:rPr>
          <w:rFonts w:eastAsia="Arial" w:cs="Arial"/>
          <w:i/>
          <w:iCs/>
        </w:rPr>
        <w:t xml:space="preserve">Confirmatory Hypothesis 2. </w:t>
      </w:r>
      <w:r>
        <w:rPr>
          <w:rFonts w:eastAsia="Arial" w:cs="Arial"/>
        </w:rPr>
        <w:t>We hypothesise a group effect on light-induced melatonin suppression, whereby melatonin suppression differs between individuals in the NC group, the MCOC group, and the HM group. (</w:t>
      </w:r>
      <w:r w:rsidRPr="00BB7314">
        <w:rPr>
          <w:rFonts w:eastAsia="Arial" w:cs="Arial"/>
          <w:b/>
          <w:bCs/>
        </w:rPr>
        <w:t>CH</w:t>
      </w:r>
      <w:r>
        <w:rPr>
          <w:rFonts w:eastAsia="Arial" w:cs="Arial"/>
          <w:b/>
          <w:bCs/>
        </w:rPr>
        <w:t>2a</w:t>
      </w:r>
      <w:r>
        <w:rPr>
          <w:rFonts w:eastAsia="Arial" w:cs="Arial"/>
        </w:rPr>
        <w:t xml:space="preserve">). </w:t>
      </w:r>
    </w:p>
    <w:p w14:paraId="0F8F4047" w14:textId="77777777"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2a</w:t>
      </w:r>
      <w:r w:rsidRPr="009A662C">
        <w:rPr>
          <w:rFonts w:eastAsia="Arial" w:cs="Arial"/>
          <w:b/>
          <w:bCs/>
          <w:vertAlign w:val="subscript"/>
        </w:rPr>
        <w:t>Full</w:t>
      </w:r>
      <w:r>
        <w:rPr>
          <w:rFonts w:eastAsia="Arial" w:cs="Arial"/>
        </w:rPr>
        <w:t xml:space="preserve">: Melatonin suppression </w:t>
      </w:r>
    </w:p>
    <w:p w14:paraId="05A18D15" w14:textId="35364E84" w:rsidR="004A7465" w:rsidRDefault="004A7465" w:rsidP="004A7465">
      <w:pPr>
        <w:spacing w:before="120" w:after="120"/>
        <w:ind w:firstLine="720"/>
        <w:rPr>
          <w:rFonts w:eastAsia="Arial" w:cs="Arial"/>
        </w:rPr>
      </w:pPr>
      <w:r>
        <w:rPr>
          <w:rFonts w:eastAsia="Arial" w:cs="Arial"/>
        </w:rPr>
        <w:t xml:space="preserve">= Group + (1 | Participant ID) </w:t>
      </w:r>
    </w:p>
    <w:p w14:paraId="21AE1554" w14:textId="77777777"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2a</w:t>
      </w:r>
      <w:r w:rsidRPr="009A662C">
        <w:rPr>
          <w:rFonts w:eastAsia="Arial" w:cs="Arial"/>
          <w:b/>
          <w:bCs/>
          <w:vertAlign w:val="subscript"/>
        </w:rPr>
        <w:t>Null</w:t>
      </w:r>
      <w:r>
        <w:rPr>
          <w:rFonts w:eastAsia="Arial" w:cs="Arial"/>
        </w:rPr>
        <w:t xml:space="preserve">: Melatonin suppression </w:t>
      </w:r>
    </w:p>
    <w:p w14:paraId="2E7501EC" w14:textId="5DD4A78C" w:rsidR="004A7465" w:rsidRDefault="004A7465" w:rsidP="004A7465">
      <w:pPr>
        <w:spacing w:before="120" w:after="120"/>
        <w:ind w:firstLine="720"/>
        <w:rPr>
          <w:rFonts w:eastAsia="Arial" w:cs="Arial"/>
        </w:rPr>
      </w:pPr>
      <w:r>
        <w:rPr>
          <w:rFonts w:eastAsia="Arial" w:cs="Arial"/>
        </w:rPr>
        <w:t xml:space="preserve">= (1 | Participant ID) </w:t>
      </w:r>
    </w:p>
    <w:p w14:paraId="0148C356" w14:textId="77777777" w:rsidR="00E0208E" w:rsidRDefault="00E0208E" w:rsidP="00F94DFC">
      <w:pPr>
        <w:spacing w:before="120" w:after="120"/>
        <w:rPr>
          <w:rFonts w:eastAsia="Arial" w:cs="Arial"/>
        </w:rPr>
      </w:pPr>
      <w:r>
        <w:rPr>
          <w:rFonts w:eastAsia="Arial" w:cs="Arial"/>
        </w:rPr>
        <w:t>Moreover, we hypothesise an effect of group (NC/MCOC/HM) on melanopsin-mediated pupil responses (</w:t>
      </w:r>
      <w:r w:rsidRPr="00BB7314">
        <w:rPr>
          <w:rFonts w:eastAsia="Arial" w:cs="Arial"/>
          <w:b/>
          <w:bCs/>
        </w:rPr>
        <w:t>CH</w:t>
      </w:r>
      <w:r>
        <w:rPr>
          <w:rFonts w:eastAsia="Arial" w:cs="Arial"/>
          <w:b/>
          <w:bCs/>
        </w:rPr>
        <w:t>2b</w:t>
      </w:r>
      <w:r>
        <w:rPr>
          <w:rFonts w:eastAsia="Arial" w:cs="Arial"/>
        </w:rPr>
        <w:t xml:space="preserve">). </w:t>
      </w:r>
    </w:p>
    <w:p w14:paraId="555F2B11" w14:textId="77777777"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2b</w:t>
      </w:r>
      <w:r w:rsidRPr="009A662C">
        <w:rPr>
          <w:rFonts w:eastAsia="Arial" w:cs="Arial"/>
          <w:b/>
          <w:bCs/>
          <w:vertAlign w:val="subscript"/>
        </w:rPr>
        <w:t>Full</w:t>
      </w:r>
      <w:r>
        <w:rPr>
          <w:rFonts w:eastAsia="Arial" w:cs="Arial"/>
        </w:rPr>
        <w:t>: Melanopsin-mediated pupil responses</w:t>
      </w:r>
    </w:p>
    <w:p w14:paraId="3F040637" w14:textId="13AAC81C" w:rsidR="004A7465" w:rsidRDefault="004A7465" w:rsidP="004A7465">
      <w:pPr>
        <w:spacing w:before="120" w:after="120"/>
        <w:ind w:firstLine="720"/>
        <w:rPr>
          <w:rFonts w:eastAsia="Arial" w:cs="Arial"/>
        </w:rPr>
      </w:pPr>
      <w:r>
        <w:rPr>
          <w:rFonts w:eastAsia="Arial" w:cs="Arial"/>
        </w:rPr>
        <w:t xml:space="preserve">= Group + (1 | Participant ID) </w:t>
      </w:r>
    </w:p>
    <w:p w14:paraId="186F3A0F" w14:textId="77777777"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2b</w:t>
      </w:r>
      <w:r w:rsidRPr="009A662C">
        <w:rPr>
          <w:rFonts w:eastAsia="Arial" w:cs="Arial"/>
          <w:b/>
          <w:bCs/>
          <w:vertAlign w:val="subscript"/>
        </w:rPr>
        <w:t>Null</w:t>
      </w:r>
      <w:r>
        <w:rPr>
          <w:rFonts w:eastAsia="Arial" w:cs="Arial"/>
        </w:rPr>
        <w:t>: Melanopsin-mediated pupil responses</w:t>
      </w:r>
    </w:p>
    <w:p w14:paraId="7E130F43" w14:textId="33FFA8B5" w:rsidR="004A7465" w:rsidRPr="00BB7314" w:rsidRDefault="004A7465" w:rsidP="004A7465">
      <w:pPr>
        <w:spacing w:before="120" w:after="120"/>
        <w:ind w:firstLine="720"/>
        <w:rPr>
          <w:rFonts w:eastAsia="Arial" w:cs="Arial"/>
        </w:rPr>
      </w:pPr>
      <w:r>
        <w:rPr>
          <w:rFonts w:eastAsia="Arial" w:cs="Arial"/>
        </w:rPr>
        <w:t xml:space="preserve">= (1 | Participant ID) </w:t>
      </w:r>
    </w:p>
    <w:p w14:paraId="0E971A77" w14:textId="77777777" w:rsidR="00E0208E" w:rsidRDefault="00E0208E" w:rsidP="00F94DFC">
      <w:pPr>
        <w:spacing w:before="120" w:after="120"/>
        <w:rPr>
          <w:rFonts w:eastAsia="Arial" w:cs="Arial"/>
        </w:rPr>
      </w:pPr>
      <w:r w:rsidRPr="00BB7314">
        <w:rPr>
          <w:rFonts w:eastAsia="Arial" w:cs="Arial"/>
          <w:i/>
          <w:iCs/>
        </w:rPr>
        <w:t xml:space="preserve">Confirmatory </w:t>
      </w:r>
      <w:r>
        <w:rPr>
          <w:rFonts w:eastAsia="Arial" w:cs="Arial"/>
          <w:i/>
          <w:iCs/>
        </w:rPr>
        <w:t>H</w:t>
      </w:r>
      <w:r w:rsidRPr="00BB7314">
        <w:rPr>
          <w:rFonts w:eastAsia="Arial" w:cs="Arial"/>
          <w:i/>
          <w:iCs/>
        </w:rPr>
        <w:t xml:space="preserve">ypothesis </w:t>
      </w:r>
      <w:r>
        <w:rPr>
          <w:rFonts w:eastAsia="Arial" w:cs="Arial"/>
          <w:i/>
          <w:iCs/>
        </w:rPr>
        <w:t>3</w:t>
      </w:r>
      <w:r w:rsidRPr="00BB7314">
        <w:rPr>
          <w:rFonts w:eastAsia="Arial" w:cs="Arial"/>
          <w:i/>
          <w:iCs/>
        </w:rPr>
        <w:t>.</w:t>
      </w:r>
      <w:r w:rsidRPr="00870CC4">
        <w:rPr>
          <w:rFonts w:eastAsia="Arial" w:cs="Arial"/>
        </w:rPr>
        <w:t xml:space="preserve"> In naturally cycling individuals</w:t>
      </w:r>
      <w:r>
        <w:rPr>
          <w:rFonts w:eastAsia="Arial" w:cs="Arial"/>
        </w:rPr>
        <w:t xml:space="preserve"> (NC group)</w:t>
      </w:r>
      <w:r w:rsidRPr="00870CC4">
        <w:rPr>
          <w:rFonts w:eastAsia="Arial" w:cs="Arial"/>
        </w:rPr>
        <w:t xml:space="preserve">, we hypothesise an effect of </w:t>
      </w:r>
      <w:r>
        <w:rPr>
          <w:rFonts w:eastAsia="Arial" w:cs="Arial"/>
        </w:rPr>
        <w:t xml:space="preserve">the </w:t>
      </w:r>
      <w:r w:rsidRPr="00870CC4">
        <w:rPr>
          <w:rFonts w:eastAsia="Arial" w:cs="Arial"/>
        </w:rPr>
        <w:t xml:space="preserve">endogenous sex steroid hormones </w:t>
      </w:r>
      <w:proofErr w:type="spellStart"/>
      <w:r w:rsidRPr="00870CC4">
        <w:rPr>
          <w:rFonts w:eastAsia="Arial" w:cs="Arial"/>
        </w:rPr>
        <w:t>estradiol</w:t>
      </w:r>
      <w:proofErr w:type="spellEnd"/>
      <w:r>
        <w:rPr>
          <w:rFonts w:eastAsia="Arial" w:cs="Arial"/>
        </w:rPr>
        <w:t xml:space="preserve"> (E2)</w:t>
      </w:r>
      <w:r w:rsidRPr="00870CC4">
        <w:rPr>
          <w:rFonts w:eastAsia="Arial" w:cs="Arial"/>
        </w:rPr>
        <w:t xml:space="preserve"> and progesterone</w:t>
      </w:r>
      <w:r>
        <w:rPr>
          <w:rFonts w:eastAsia="Arial" w:cs="Arial"/>
        </w:rPr>
        <w:t xml:space="preserve"> (P4</w:t>
      </w:r>
      <w:r w:rsidRPr="00870CC4">
        <w:rPr>
          <w:rFonts w:eastAsia="Arial" w:cs="Arial"/>
        </w:rPr>
        <w:t>) on</w:t>
      </w:r>
      <w:r>
        <w:rPr>
          <w:rFonts w:eastAsia="Arial" w:cs="Arial"/>
        </w:rPr>
        <w:t xml:space="preserve"> light-induced</w:t>
      </w:r>
      <w:r w:rsidRPr="00870CC4">
        <w:rPr>
          <w:rFonts w:eastAsia="Arial" w:cs="Arial"/>
        </w:rPr>
        <w:t xml:space="preserve"> melatonin suppression</w:t>
      </w:r>
      <w:r>
        <w:rPr>
          <w:rFonts w:eastAsia="Arial" w:cs="Arial"/>
        </w:rPr>
        <w:t xml:space="preserve"> (</w:t>
      </w:r>
      <w:r w:rsidRPr="00BB7314">
        <w:rPr>
          <w:rFonts w:eastAsia="Arial" w:cs="Arial"/>
          <w:b/>
          <w:bCs/>
        </w:rPr>
        <w:t>CH</w:t>
      </w:r>
      <w:r>
        <w:rPr>
          <w:rFonts w:eastAsia="Arial" w:cs="Arial"/>
          <w:b/>
          <w:bCs/>
        </w:rPr>
        <w:t>3a</w:t>
      </w:r>
      <w:r>
        <w:rPr>
          <w:rFonts w:eastAsia="Arial" w:cs="Arial"/>
        </w:rPr>
        <w:t>)</w:t>
      </w:r>
      <w:r w:rsidRPr="00870CC4">
        <w:rPr>
          <w:rFonts w:eastAsia="Arial" w:cs="Arial"/>
        </w:rPr>
        <w:t>.</w:t>
      </w:r>
      <w:r>
        <w:rPr>
          <w:rFonts w:eastAsia="Arial" w:cs="Arial"/>
        </w:rPr>
        <w:t xml:space="preserve"> </w:t>
      </w:r>
    </w:p>
    <w:p w14:paraId="3A9331DA" w14:textId="77777777"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3a</w:t>
      </w:r>
      <w:r w:rsidRPr="009A662C">
        <w:rPr>
          <w:rFonts w:eastAsia="Arial" w:cs="Arial"/>
          <w:b/>
          <w:bCs/>
          <w:vertAlign w:val="subscript"/>
        </w:rPr>
        <w:t>Full</w:t>
      </w:r>
      <w:r>
        <w:rPr>
          <w:rFonts w:eastAsia="Arial" w:cs="Arial"/>
        </w:rPr>
        <w:t xml:space="preserve">: Melatonin suppression </w:t>
      </w:r>
    </w:p>
    <w:p w14:paraId="06E0A826" w14:textId="5D69ADE1" w:rsidR="004A7465" w:rsidRDefault="004A7465" w:rsidP="004A7465">
      <w:pPr>
        <w:spacing w:before="120" w:after="120"/>
        <w:ind w:firstLine="720"/>
        <w:rPr>
          <w:rFonts w:eastAsia="Arial" w:cs="Arial"/>
        </w:rPr>
      </w:pPr>
      <w:r>
        <w:rPr>
          <w:rFonts w:eastAsia="Arial" w:cs="Arial"/>
        </w:rPr>
        <w:t xml:space="preserve">= E2 levels + P4 levels + </w:t>
      </w:r>
      <w:r w:rsidR="00630261">
        <w:rPr>
          <w:rFonts w:eastAsia="Arial" w:cs="Arial"/>
        </w:rPr>
        <w:t xml:space="preserve">(E2 levels + P4 levels </w:t>
      </w:r>
      <w:r>
        <w:rPr>
          <w:rFonts w:eastAsia="Arial" w:cs="Arial"/>
        </w:rPr>
        <w:t xml:space="preserve">| Participant ID) </w:t>
      </w:r>
    </w:p>
    <w:p w14:paraId="73B51935" w14:textId="47724C29"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3a</w:t>
      </w:r>
      <w:r w:rsidRPr="009A662C">
        <w:rPr>
          <w:rFonts w:eastAsia="Arial" w:cs="Arial"/>
          <w:b/>
          <w:bCs/>
          <w:vertAlign w:val="subscript"/>
        </w:rPr>
        <w:t>Null</w:t>
      </w:r>
      <w:r>
        <w:rPr>
          <w:rFonts w:eastAsia="Arial" w:cs="Arial"/>
        </w:rPr>
        <w:t xml:space="preserve">: Melatonin suppression </w:t>
      </w:r>
    </w:p>
    <w:p w14:paraId="0594F48D" w14:textId="191D1BA6" w:rsidR="004A7465" w:rsidRDefault="004A7465" w:rsidP="004A7465">
      <w:pPr>
        <w:spacing w:before="120" w:after="120"/>
        <w:ind w:firstLine="720"/>
        <w:rPr>
          <w:rFonts w:eastAsia="Arial" w:cs="Arial"/>
        </w:rPr>
      </w:pPr>
      <w:r>
        <w:rPr>
          <w:rFonts w:eastAsia="Arial" w:cs="Arial"/>
        </w:rPr>
        <w:t xml:space="preserve">= </w:t>
      </w:r>
      <w:r w:rsidR="00630261">
        <w:rPr>
          <w:rFonts w:eastAsia="Arial" w:cs="Arial"/>
        </w:rPr>
        <w:t xml:space="preserve">(1 | Participant ID) </w:t>
      </w:r>
    </w:p>
    <w:p w14:paraId="3B8D05EF" w14:textId="77777777" w:rsidR="00E0208E" w:rsidRDefault="00E0208E" w:rsidP="00F94DFC">
      <w:pPr>
        <w:spacing w:before="120" w:after="120"/>
        <w:rPr>
          <w:rFonts w:eastAsia="Arial" w:cs="Arial"/>
        </w:rPr>
      </w:pPr>
      <w:r>
        <w:rPr>
          <w:rFonts w:eastAsia="Arial" w:cs="Arial"/>
        </w:rPr>
        <w:lastRenderedPageBreak/>
        <w:t>We also hypothesise an effect of E2 and P4 on melanopsin-mediated pupil responses (</w:t>
      </w:r>
      <w:r w:rsidRPr="00BB7314">
        <w:rPr>
          <w:rFonts w:eastAsia="Arial" w:cs="Arial"/>
          <w:b/>
          <w:bCs/>
        </w:rPr>
        <w:t>CH</w:t>
      </w:r>
      <w:r>
        <w:rPr>
          <w:rFonts w:eastAsia="Arial" w:cs="Arial"/>
          <w:b/>
          <w:bCs/>
        </w:rPr>
        <w:t>3b</w:t>
      </w:r>
      <w:r>
        <w:rPr>
          <w:rFonts w:eastAsia="Arial" w:cs="Arial"/>
        </w:rPr>
        <w:t>).</w:t>
      </w:r>
    </w:p>
    <w:p w14:paraId="2C2975BF" w14:textId="59F7A51C" w:rsidR="00E0208E" w:rsidRDefault="00E0208E" w:rsidP="00F94DFC">
      <w:pPr>
        <w:spacing w:before="120" w:after="120"/>
        <w:ind w:firstLine="0"/>
        <w:rPr>
          <w:rFonts w:eastAsia="Arial" w:cs="Arial"/>
        </w:rPr>
      </w:pPr>
      <w:r w:rsidRPr="002D580E">
        <w:rPr>
          <w:rFonts w:eastAsia="Arial" w:cs="Arial"/>
          <w:b/>
          <w:bCs/>
        </w:rPr>
        <w:t>CH</w:t>
      </w:r>
      <w:r>
        <w:rPr>
          <w:rFonts w:eastAsia="Arial" w:cs="Arial"/>
          <w:b/>
          <w:bCs/>
        </w:rPr>
        <w:t>3b</w:t>
      </w:r>
      <w:r w:rsidR="004A7465">
        <w:rPr>
          <w:rFonts w:eastAsia="Arial" w:cs="Arial"/>
          <w:b/>
          <w:bCs/>
          <w:vertAlign w:val="subscript"/>
        </w:rPr>
        <w:t>Full</w:t>
      </w:r>
      <w:r>
        <w:rPr>
          <w:rFonts w:eastAsia="Arial" w:cs="Arial"/>
        </w:rPr>
        <w:t>: Melanopsin-mediated pupil responses</w:t>
      </w:r>
    </w:p>
    <w:p w14:paraId="3012CC11" w14:textId="092F23D0" w:rsidR="004A7465" w:rsidRDefault="004A7465" w:rsidP="004A7465">
      <w:pPr>
        <w:spacing w:before="120" w:after="120"/>
        <w:ind w:firstLine="720"/>
        <w:rPr>
          <w:rFonts w:eastAsia="Arial" w:cs="Arial"/>
        </w:rPr>
      </w:pPr>
      <w:r>
        <w:rPr>
          <w:rFonts w:eastAsia="Arial" w:cs="Arial"/>
        </w:rPr>
        <w:t xml:space="preserve">= E2 levels + P4 levels + </w:t>
      </w:r>
      <w:r w:rsidR="00630261">
        <w:rPr>
          <w:rFonts w:eastAsia="Arial" w:cs="Arial"/>
        </w:rPr>
        <w:t xml:space="preserve">(E2 levels + P4 levels | Participant ID) </w:t>
      </w:r>
    </w:p>
    <w:p w14:paraId="28636B84" w14:textId="23CE4D6C"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3b</w:t>
      </w:r>
      <w:r w:rsidRPr="009A662C">
        <w:rPr>
          <w:rFonts w:eastAsia="Arial" w:cs="Arial"/>
          <w:b/>
          <w:bCs/>
          <w:vertAlign w:val="subscript"/>
        </w:rPr>
        <w:t>Null</w:t>
      </w:r>
      <w:r>
        <w:rPr>
          <w:rFonts w:eastAsia="Arial" w:cs="Arial"/>
        </w:rPr>
        <w:t>: Melanopsin-mediated pupil responses</w:t>
      </w:r>
    </w:p>
    <w:p w14:paraId="41A66AFE" w14:textId="3C7CE706" w:rsidR="004A7465" w:rsidRDefault="004A7465" w:rsidP="004A7465">
      <w:pPr>
        <w:spacing w:before="120" w:after="120"/>
        <w:ind w:firstLine="720"/>
        <w:rPr>
          <w:rFonts w:eastAsia="Arial" w:cs="Arial"/>
        </w:rPr>
      </w:pPr>
      <w:r>
        <w:rPr>
          <w:rFonts w:eastAsia="Arial" w:cs="Arial"/>
        </w:rPr>
        <w:t xml:space="preserve">= (1 | Participant ID) </w:t>
      </w:r>
    </w:p>
    <w:p w14:paraId="30CE79FD" w14:textId="19A72302" w:rsidR="00E0208E" w:rsidRDefault="00E0208E" w:rsidP="00F94DFC">
      <w:pPr>
        <w:spacing w:before="120" w:after="120"/>
        <w:rPr>
          <w:rFonts w:eastAsia="Arial" w:cs="Arial"/>
        </w:rPr>
      </w:pPr>
      <w:r w:rsidRPr="00BB7314">
        <w:rPr>
          <w:rFonts w:eastAsia="Arial" w:cs="Arial"/>
          <w:i/>
          <w:iCs/>
        </w:rPr>
        <w:t xml:space="preserve">Confirmation </w:t>
      </w:r>
      <w:r>
        <w:rPr>
          <w:rFonts w:eastAsia="Arial" w:cs="Arial"/>
          <w:i/>
          <w:iCs/>
        </w:rPr>
        <w:t>H</w:t>
      </w:r>
      <w:r w:rsidRPr="00BB7314">
        <w:rPr>
          <w:rFonts w:eastAsia="Arial" w:cs="Arial"/>
          <w:i/>
          <w:iCs/>
        </w:rPr>
        <w:t xml:space="preserve">ypothesis </w:t>
      </w:r>
      <w:r>
        <w:rPr>
          <w:rFonts w:eastAsia="Arial" w:cs="Arial"/>
          <w:i/>
          <w:iCs/>
        </w:rPr>
        <w:t>4</w:t>
      </w:r>
      <w:r>
        <w:rPr>
          <w:rFonts w:eastAsia="Arial" w:cs="Arial"/>
        </w:rPr>
        <w:t xml:space="preserve">. In the MCOC group, we hypothesise an effect of the exogenous sex hormones </w:t>
      </w:r>
      <w:proofErr w:type="spellStart"/>
      <w:r>
        <w:rPr>
          <w:rFonts w:eastAsia="Arial" w:cs="Arial"/>
        </w:rPr>
        <w:t>eth</w:t>
      </w:r>
      <w:r w:rsidR="0029634B">
        <w:rPr>
          <w:rFonts w:eastAsia="Arial" w:cs="Arial"/>
        </w:rPr>
        <w:t>i</w:t>
      </w:r>
      <w:r>
        <w:rPr>
          <w:rFonts w:eastAsia="Arial" w:cs="Arial"/>
        </w:rPr>
        <w:t>nylestradiol</w:t>
      </w:r>
      <w:proofErr w:type="spellEnd"/>
      <w:r>
        <w:rPr>
          <w:rFonts w:eastAsia="Arial" w:cs="Arial"/>
        </w:rPr>
        <w:t xml:space="preserve"> (EE) and synthetic progestin (SP) on light-induced melatonin suppression (</w:t>
      </w:r>
      <w:r w:rsidRPr="00C2612E">
        <w:rPr>
          <w:rFonts w:eastAsia="Arial" w:cs="Arial"/>
          <w:b/>
          <w:bCs/>
        </w:rPr>
        <w:t>CH</w:t>
      </w:r>
      <w:r>
        <w:rPr>
          <w:rFonts w:eastAsia="Arial" w:cs="Arial"/>
          <w:b/>
          <w:bCs/>
        </w:rPr>
        <w:t>4a</w:t>
      </w:r>
      <w:r>
        <w:rPr>
          <w:rFonts w:eastAsia="Arial" w:cs="Arial"/>
        </w:rPr>
        <w:t xml:space="preserve">). </w:t>
      </w:r>
    </w:p>
    <w:p w14:paraId="7C2AB5E6" w14:textId="31C11BF3" w:rsidR="00E0208E" w:rsidRDefault="00E0208E" w:rsidP="00F94DFC">
      <w:pPr>
        <w:spacing w:before="120" w:after="120"/>
        <w:ind w:firstLine="0"/>
        <w:rPr>
          <w:rFonts w:eastAsia="Arial" w:cs="Arial"/>
        </w:rPr>
      </w:pPr>
      <w:r w:rsidRPr="002D580E">
        <w:rPr>
          <w:rFonts w:eastAsia="Arial" w:cs="Arial"/>
          <w:b/>
          <w:bCs/>
        </w:rPr>
        <w:t>CH</w:t>
      </w:r>
      <w:r>
        <w:rPr>
          <w:rFonts w:eastAsia="Arial" w:cs="Arial"/>
          <w:b/>
          <w:bCs/>
        </w:rPr>
        <w:t>4a</w:t>
      </w:r>
      <w:r w:rsidR="004A7465">
        <w:rPr>
          <w:rFonts w:eastAsia="Arial" w:cs="Arial"/>
          <w:b/>
          <w:bCs/>
          <w:vertAlign w:val="subscript"/>
        </w:rPr>
        <w:t>Full</w:t>
      </w:r>
      <w:r>
        <w:rPr>
          <w:rFonts w:eastAsia="Arial" w:cs="Arial"/>
        </w:rPr>
        <w:t xml:space="preserve">: Melatonin suppression </w:t>
      </w:r>
    </w:p>
    <w:p w14:paraId="38C8519C" w14:textId="4CDDE324" w:rsidR="004A7465" w:rsidRDefault="00E0208E" w:rsidP="004A7465">
      <w:pPr>
        <w:spacing w:before="120" w:after="120"/>
        <w:ind w:left="720" w:firstLine="0"/>
        <w:rPr>
          <w:rFonts w:eastAsia="Arial" w:cs="Arial"/>
        </w:rPr>
      </w:pPr>
      <w:r>
        <w:rPr>
          <w:rFonts w:eastAsia="Arial" w:cs="Arial"/>
        </w:rPr>
        <w:t>= EE levels + SP levels + (</w:t>
      </w:r>
      <w:r w:rsidR="00630261">
        <w:rPr>
          <w:rFonts w:eastAsia="Arial" w:cs="Arial"/>
        </w:rPr>
        <w:t>EE levels + SP levels</w:t>
      </w:r>
      <w:r>
        <w:rPr>
          <w:rFonts w:eastAsia="Arial" w:cs="Arial"/>
        </w:rPr>
        <w:t xml:space="preserve"> </w:t>
      </w:r>
      <w:r w:rsidR="009503A0">
        <w:rPr>
          <w:rFonts w:eastAsia="Arial" w:cs="Arial"/>
        </w:rPr>
        <w:t>|</w:t>
      </w:r>
      <w:r w:rsidR="00630261">
        <w:rPr>
          <w:rFonts w:eastAsia="Arial" w:cs="Arial"/>
        </w:rPr>
        <w:t xml:space="preserve"> Participant</w:t>
      </w:r>
      <w:r w:rsidR="009503A0">
        <w:rPr>
          <w:rFonts w:eastAsia="Arial" w:cs="Arial"/>
        </w:rPr>
        <w:t xml:space="preserve"> ID)</w:t>
      </w:r>
    </w:p>
    <w:p w14:paraId="0F31F55F" w14:textId="02C75623"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4a</w:t>
      </w:r>
      <w:r w:rsidRPr="009A662C">
        <w:rPr>
          <w:rFonts w:eastAsia="Arial" w:cs="Arial"/>
          <w:b/>
          <w:bCs/>
          <w:vertAlign w:val="subscript"/>
        </w:rPr>
        <w:t>Null</w:t>
      </w:r>
      <w:r>
        <w:rPr>
          <w:rFonts w:eastAsia="Arial" w:cs="Arial"/>
        </w:rPr>
        <w:t xml:space="preserve">: Melatonin suppression </w:t>
      </w:r>
    </w:p>
    <w:p w14:paraId="3005ADEF" w14:textId="34402DCB" w:rsidR="004A7465" w:rsidRDefault="004A7465" w:rsidP="004A7465">
      <w:pPr>
        <w:spacing w:before="120" w:after="120"/>
        <w:ind w:firstLine="720"/>
        <w:rPr>
          <w:rFonts w:eastAsia="Arial" w:cs="Arial"/>
        </w:rPr>
      </w:pPr>
      <w:r>
        <w:rPr>
          <w:rFonts w:eastAsia="Arial" w:cs="Arial"/>
        </w:rPr>
        <w:t xml:space="preserve">= (1 | Participant ID) </w:t>
      </w:r>
    </w:p>
    <w:p w14:paraId="1691A3C8" w14:textId="77777777" w:rsidR="00E0208E" w:rsidRDefault="00E0208E" w:rsidP="00F94DFC">
      <w:pPr>
        <w:spacing w:before="120" w:after="120"/>
        <w:rPr>
          <w:rFonts w:eastAsia="Arial" w:cs="Arial"/>
        </w:rPr>
      </w:pPr>
      <w:r>
        <w:rPr>
          <w:rFonts w:eastAsia="Arial" w:cs="Arial"/>
        </w:rPr>
        <w:t>We also hypothesise an effect of EE and SP on melanopsin-mediated pupil responses (</w:t>
      </w:r>
      <w:r w:rsidRPr="00BB7314">
        <w:rPr>
          <w:rFonts w:eastAsia="Arial" w:cs="Arial"/>
          <w:b/>
          <w:bCs/>
        </w:rPr>
        <w:t>CH</w:t>
      </w:r>
      <w:r>
        <w:rPr>
          <w:rFonts w:eastAsia="Arial" w:cs="Arial"/>
          <w:b/>
          <w:bCs/>
        </w:rPr>
        <w:t>4b</w:t>
      </w:r>
      <w:r>
        <w:rPr>
          <w:rFonts w:eastAsia="Arial" w:cs="Arial"/>
        </w:rPr>
        <w:t xml:space="preserve">). </w:t>
      </w:r>
    </w:p>
    <w:p w14:paraId="64209F32" w14:textId="77777777"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4b</w:t>
      </w:r>
      <w:r w:rsidRPr="004C3E6C">
        <w:rPr>
          <w:rFonts w:eastAsia="Arial" w:cs="Arial"/>
          <w:b/>
          <w:bCs/>
          <w:vertAlign w:val="subscript"/>
        </w:rPr>
        <w:t>Full</w:t>
      </w:r>
      <w:r>
        <w:rPr>
          <w:rFonts w:eastAsia="Arial" w:cs="Arial"/>
        </w:rPr>
        <w:t xml:space="preserve">: Melanopsin-mediated pupil responses </w:t>
      </w:r>
    </w:p>
    <w:p w14:paraId="6EA72863" w14:textId="77777777" w:rsidR="00630261" w:rsidRDefault="00630261" w:rsidP="00630261">
      <w:pPr>
        <w:spacing w:before="120" w:after="120"/>
        <w:ind w:left="720" w:firstLine="0"/>
        <w:rPr>
          <w:rFonts w:eastAsia="Arial" w:cs="Arial"/>
        </w:rPr>
      </w:pPr>
      <w:r>
        <w:rPr>
          <w:rFonts w:eastAsia="Arial" w:cs="Arial"/>
        </w:rPr>
        <w:t>= EE levels + SP levels + (EE levels + SP levels | Participant ID)</w:t>
      </w:r>
    </w:p>
    <w:p w14:paraId="4C91AF3D" w14:textId="77777777" w:rsidR="004A7465" w:rsidRDefault="004A7465" w:rsidP="004A7465">
      <w:pPr>
        <w:spacing w:before="120" w:after="120"/>
        <w:ind w:firstLine="0"/>
        <w:rPr>
          <w:rFonts w:eastAsia="Arial" w:cs="Arial"/>
        </w:rPr>
      </w:pPr>
      <w:r w:rsidRPr="002D580E">
        <w:rPr>
          <w:rFonts w:eastAsia="Arial" w:cs="Arial"/>
          <w:b/>
          <w:bCs/>
        </w:rPr>
        <w:t>CH</w:t>
      </w:r>
      <w:r>
        <w:rPr>
          <w:rFonts w:eastAsia="Arial" w:cs="Arial"/>
          <w:b/>
          <w:bCs/>
        </w:rPr>
        <w:t>4b</w:t>
      </w:r>
      <w:r w:rsidRPr="004C3E6C">
        <w:rPr>
          <w:rFonts w:eastAsia="Arial" w:cs="Arial"/>
          <w:b/>
          <w:bCs/>
          <w:vertAlign w:val="subscript"/>
        </w:rPr>
        <w:t>Null</w:t>
      </w:r>
      <w:r>
        <w:rPr>
          <w:rFonts w:eastAsia="Arial" w:cs="Arial"/>
        </w:rPr>
        <w:t>: Melanopsin-mediated pupil responses</w:t>
      </w:r>
    </w:p>
    <w:p w14:paraId="542D1A77" w14:textId="41FEEF0E" w:rsidR="00B65FE2" w:rsidRPr="004A7465" w:rsidRDefault="004A7465" w:rsidP="004A7465">
      <w:pPr>
        <w:spacing w:before="120" w:after="120"/>
        <w:ind w:firstLine="0"/>
        <w:rPr>
          <w:rFonts w:eastAsia="Arial" w:cs="Arial"/>
        </w:rPr>
      </w:pPr>
      <w:r>
        <w:rPr>
          <w:rFonts w:eastAsia="Arial" w:cs="Arial"/>
        </w:rPr>
        <w:t xml:space="preserve">   </w:t>
      </w:r>
      <w:r>
        <w:rPr>
          <w:rFonts w:eastAsia="Arial" w:cs="Arial"/>
        </w:rPr>
        <w:tab/>
        <w:t xml:space="preserve">= (1 | Participant ID) </w:t>
      </w:r>
      <w:r w:rsidR="00E0208E">
        <w:fldChar w:fldCharType="begin"/>
      </w:r>
      <w:r w:rsidR="0092047F">
        <w:instrText xml:space="preserve"> ADDIN ZOTERO_ITEM CSL_CITATION {"citationID":"oRf8uqzP","properties":{"formattedCitation":"(Bates et al., 2015)","plainCitation":"(Bates et al., 2015)","dontUpdate":true,"noteIndex":0},"citationItems":[{"id":9891,"uris":["http://zotero.org/users/11330488/items/YZ5LEVDV"],"itemData":{"id":9891,"type":"article-journal","abstract":"Maximum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9C4876">
        <w:fldChar w:fldCharType="separate"/>
      </w:r>
      <w:r w:rsidR="00E0208E">
        <w:fldChar w:fldCharType="end"/>
      </w:r>
      <w:r w:rsidR="00E0208E">
        <w:tab/>
      </w:r>
      <w:r w:rsidR="00E0208E">
        <w:tab/>
      </w:r>
      <w:r w:rsidR="00E0208E">
        <w:fldChar w:fldCharType="begin"/>
      </w:r>
      <w:r w:rsidR="00DA4730">
        <w:instrText xml:space="preserve"> ADDIN ZOTERO_ITEM CSL_CITATION {"citationID":"LC1ie2WB","properties":{"formattedCitation":"(Brainard et al., 2001)","plainCitation":"(Brainard et al., 2001)","dontUpdate":true,"noteIndex":0},"citationItems":[{"id":9282,"uris":["http://zotero.org/users/11330488/items/WJA2MU68"],"itemData":{"id":9282,"type":"article-journal","abstract":"The photopigment in the human eye that transduces light for circadian and neuroendocrine regulation, is unknown. The aim of this study was to establish an action spectrum for light-induced melatonin suppression that could help elucidate the ocular photoreceptor system for regulating the human pineal gland. Subjects (37 females, 35 males, mean age of 24.5 ± 0.3 years) were healthy and had normal color vision. Full-field, monochromatic light exposures took place between 2:00 and 3:30 A.M. while subjects' pupils were dilated. Blood samples collected before and after light exposures were quantified for melatonin. Each subject was tested with at least seven different irradiances of one wavelength with a minimum of 1 week between each nighttime exposure. Nighttime melatonin suppression tests (n = 627) were completed with wavelengths from 420 to 600 nm. The data were fit to eight univariant, sigmoidal fluence–response curves (R2 = 0.81–0.95). The action spectrum constructed from these data fit an opsin template (R2 = 0.91), which identifies 446–477 nm as the most potent wavelength region providing circadian input for regulating melatonin secretion. The results suggest that, in humans, a single photopigment may be primarily responsible for melatonin suppression, and its peak absorbance appears to be distinct from that of rod and cone cell photopigments for vision. The data also suggest that this new photopigment is retinaldehyde based. These findings suggest that there is a novel opsin photopigment in the human eye that mediates circadian photoreception.","container-title":"The Journal of Neuroscience","DOI":"10.1523/JNEUROSCI.21-16-06405.2001","ISSN":"0270-6474","issue":"16","journalAbbreviation":"J Neurosci","note":"PMID: 11487664\nPMCID: PMC6763155","page":"6405-6412","source":"PubMed Central","title":"Action Spectrum for Melatonin Regulation in Humans: Evidence for a Novel Circadian Photoreceptor","title-short":"Action Spectrum for Melatonin Regulation in Humans","volume":"21","author":[{"family":"Brainard","given":"George C."},{"family":"Hanifin","given":"John P."},{"family":"Greeson","given":"Jeffrey M."},{"family":"Byrne","given":"Brenda"},{"family":"Glickman","given":"Gena"},{"family":"Gerner","given":"Edward"},{"family":"Rollag","given":"Mark D."}],"issued":{"date-parts":[["2001",8,15]]}}},{"id":9869,"uris":["http://zotero.org/users/11330488/items/S94WJ25Y"],"itemData":{"id":9869,"type":"article-journal","abstract":"In clinical measurement comparison of a new measurement technique with an established one is often needed to see whether they agree sufficiently for the new to replace the old. Such investigations are often analysed inappropriately, notably by using correlation coefficients. The use of correlation is misleading. An alternative approach, based on graphical techniques and simple calculations, is described, together with the relation between this analysis and the assessment of repeatability.","collection-title":"Originally published as Volume 1, Issue 8476","container-title":"The Lancet","DOI":"10.1016/S0140-6736(86)90837-8","ISSN":"0140-6736","issue":"8476","journalAbbreviation":"The Lancet","page":"307-310","source":"ScienceDirect","title":"STATISTICAL METHODS FOR ASSESSING AGREEMENT BETWEEN TWO METHODS OF CLINICAL MEASUREMENT","volume":"327","author":[{"family":"Bland","given":"Martin J."},{"family":"Altman","given":"Douglas G."}],"issued":{"date-parts":[["1986",2,8]]}}}],"schema":"https://github.com/citation-style-language/schema/raw/master/csl-citation.json"} </w:instrText>
      </w:r>
      <w:r w:rsidR="009C4876">
        <w:fldChar w:fldCharType="separate"/>
      </w:r>
      <w:r w:rsidR="00E0208E">
        <w:fldChar w:fldCharType="end"/>
      </w:r>
    </w:p>
    <w:p w14:paraId="6CD24106" w14:textId="77777777" w:rsidR="00B65FE2" w:rsidRDefault="00B65FE2" w:rsidP="00050B8E">
      <w:pPr>
        <w:ind w:left="720"/>
        <w:contextualSpacing/>
        <w:rPr>
          <w:i/>
          <w:sz w:val="20"/>
          <w:szCs w:val="20"/>
        </w:rPr>
        <w:sectPr w:rsidR="00B65FE2" w:rsidSect="00CC766F">
          <w:footerReference w:type="default" r:id="rId14"/>
          <w:pgSz w:w="11906" w:h="16838"/>
          <w:pgMar w:top="1440" w:right="1440" w:bottom="1440" w:left="1440" w:header="708" w:footer="708" w:gutter="0"/>
          <w:lnNumType w:countBy="1" w:restart="continuous"/>
          <w:cols w:space="708"/>
          <w:docGrid w:linePitch="360"/>
        </w:sectPr>
      </w:pPr>
    </w:p>
    <w:p w14:paraId="0ECB865C" w14:textId="309F5D7D" w:rsidR="00B65FE2" w:rsidRPr="00F66882" w:rsidRDefault="00B65FE2" w:rsidP="00050B8E">
      <w:pPr>
        <w:ind w:left="720"/>
        <w:contextualSpacing/>
        <w:rPr>
          <w:i/>
          <w:sz w:val="20"/>
          <w:szCs w:val="20"/>
        </w:rPr>
      </w:pPr>
    </w:p>
    <w:tbl>
      <w:tblPr>
        <w:tblStyle w:val="TableGrid"/>
        <w:tblW w:w="5000" w:type="pct"/>
        <w:tblLook w:val="04A0" w:firstRow="1" w:lastRow="0" w:firstColumn="1" w:lastColumn="0" w:noHBand="0" w:noVBand="1"/>
      </w:tblPr>
      <w:tblGrid>
        <w:gridCol w:w="1936"/>
        <w:gridCol w:w="1936"/>
        <w:gridCol w:w="1933"/>
        <w:gridCol w:w="1936"/>
        <w:gridCol w:w="2335"/>
        <w:gridCol w:w="1936"/>
        <w:gridCol w:w="1936"/>
      </w:tblGrid>
      <w:tr w:rsidR="00B65FE2" w:rsidRPr="00104E23" w14:paraId="5F631A6D" w14:textId="77777777" w:rsidTr="000B3F19">
        <w:trPr>
          <w:trHeight w:val="1626"/>
        </w:trPr>
        <w:tc>
          <w:tcPr>
            <w:tcW w:w="694" w:type="pct"/>
            <w:vAlign w:val="center"/>
          </w:tcPr>
          <w:p w14:paraId="30EE2BB9" w14:textId="77777777" w:rsidR="00B65FE2" w:rsidRPr="00104E23" w:rsidRDefault="00B65FE2" w:rsidP="00B65FE2">
            <w:pPr>
              <w:ind w:firstLine="0"/>
              <w:jc w:val="left"/>
              <w:rPr>
                <w:rFonts w:cs="Arial"/>
                <w:b/>
                <w:bCs/>
                <w:sz w:val="20"/>
                <w:szCs w:val="20"/>
              </w:rPr>
            </w:pPr>
            <w:r w:rsidRPr="00104E23">
              <w:rPr>
                <w:rFonts w:cs="Arial"/>
                <w:b/>
                <w:bCs/>
                <w:sz w:val="20"/>
                <w:szCs w:val="20"/>
              </w:rPr>
              <w:t>Question</w:t>
            </w:r>
          </w:p>
        </w:tc>
        <w:tc>
          <w:tcPr>
            <w:tcW w:w="694" w:type="pct"/>
            <w:vAlign w:val="center"/>
          </w:tcPr>
          <w:p w14:paraId="3C1029CE" w14:textId="77777777" w:rsidR="00B65FE2" w:rsidRPr="00104E23" w:rsidRDefault="00B65FE2" w:rsidP="00B65FE2">
            <w:pPr>
              <w:ind w:firstLine="0"/>
              <w:jc w:val="left"/>
              <w:rPr>
                <w:rFonts w:cs="Arial"/>
                <w:b/>
                <w:bCs/>
                <w:sz w:val="20"/>
                <w:szCs w:val="20"/>
              </w:rPr>
            </w:pPr>
            <w:r w:rsidRPr="00104E23">
              <w:rPr>
                <w:rFonts w:cs="Arial"/>
                <w:b/>
                <w:bCs/>
                <w:sz w:val="20"/>
                <w:szCs w:val="20"/>
              </w:rPr>
              <w:t>Hypothesis</w:t>
            </w:r>
          </w:p>
        </w:tc>
        <w:tc>
          <w:tcPr>
            <w:tcW w:w="693" w:type="pct"/>
            <w:vAlign w:val="center"/>
          </w:tcPr>
          <w:p w14:paraId="53209642" w14:textId="77777777" w:rsidR="00B65FE2" w:rsidRPr="00104E23" w:rsidRDefault="00B65FE2" w:rsidP="00B65FE2">
            <w:pPr>
              <w:ind w:firstLine="0"/>
              <w:jc w:val="left"/>
              <w:rPr>
                <w:rFonts w:cs="Arial"/>
                <w:b/>
                <w:bCs/>
                <w:sz w:val="20"/>
                <w:szCs w:val="20"/>
              </w:rPr>
            </w:pPr>
            <w:r w:rsidRPr="00104E23">
              <w:rPr>
                <w:rFonts w:cs="Arial"/>
                <w:b/>
                <w:bCs/>
                <w:sz w:val="20"/>
                <w:szCs w:val="20"/>
              </w:rPr>
              <w:t>Sampling plan</w:t>
            </w:r>
          </w:p>
        </w:tc>
        <w:tc>
          <w:tcPr>
            <w:tcW w:w="694" w:type="pct"/>
            <w:vAlign w:val="center"/>
          </w:tcPr>
          <w:p w14:paraId="24313453" w14:textId="77777777" w:rsidR="00B65FE2" w:rsidRPr="00104E23" w:rsidRDefault="00B65FE2" w:rsidP="00B65FE2">
            <w:pPr>
              <w:ind w:firstLine="0"/>
              <w:jc w:val="left"/>
              <w:rPr>
                <w:rFonts w:cs="Arial"/>
                <w:b/>
                <w:bCs/>
                <w:sz w:val="20"/>
                <w:szCs w:val="20"/>
              </w:rPr>
            </w:pPr>
            <w:r w:rsidRPr="5FE90344">
              <w:rPr>
                <w:rFonts w:cs="Arial"/>
                <w:b/>
                <w:bCs/>
                <w:sz w:val="20"/>
                <w:szCs w:val="20"/>
              </w:rPr>
              <w:t>Analysis plan</w:t>
            </w:r>
          </w:p>
        </w:tc>
        <w:tc>
          <w:tcPr>
            <w:tcW w:w="837" w:type="pct"/>
            <w:vAlign w:val="center"/>
          </w:tcPr>
          <w:p w14:paraId="0EB11F89" w14:textId="77777777" w:rsidR="00B65FE2" w:rsidRPr="00104E23" w:rsidRDefault="00B65FE2" w:rsidP="00B65FE2">
            <w:pPr>
              <w:ind w:firstLine="0"/>
              <w:jc w:val="left"/>
              <w:rPr>
                <w:rFonts w:cs="Arial"/>
                <w:b/>
                <w:bCs/>
                <w:sz w:val="20"/>
                <w:szCs w:val="20"/>
              </w:rPr>
            </w:pPr>
            <w:r w:rsidRPr="00104E23">
              <w:rPr>
                <w:rFonts w:cs="Arial"/>
                <w:b/>
                <w:bCs/>
                <w:sz w:val="20"/>
                <w:szCs w:val="20"/>
              </w:rPr>
              <w:t>Rationale for deciding the sensitivity of the test for confirming or disconfirming the hypothesis</w:t>
            </w:r>
          </w:p>
        </w:tc>
        <w:tc>
          <w:tcPr>
            <w:tcW w:w="694" w:type="pct"/>
            <w:vAlign w:val="center"/>
          </w:tcPr>
          <w:p w14:paraId="3C1373E8" w14:textId="77777777" w:rsidR="00B65FE2" w:rsidRPr="00104E23" w:rsidRDefault="00B65FE2" w:rsidP="00B65FE2">
            <w:pPr>
              <w:ind w:firstLine="0"/>
              <w:jc w:val="left"/>
              <w:rPr>
                <w:rFonts w:cs="Arial"/>
                <w:b/>
                <w:bCs/>
                <w:sz w:val="20"/>
                <w:szCs w:val="20"/>
              </w:rPr>
            </w:pPr>
            <w:r w:rsidRPr="14AE1EAE">
              <w:rPr>
                <w:rFonts w:cs="Arial"/>
                <w:b/>
                <w:bCs/>
                <w:sz w:val="20"/>
                <w:szCs w:val="20"/>
              </w:rPr>
              <w:t>Interpretation given different outcomes</w:t>
            </w:r>
          </w:p>
        </w:tc>
        <w:tc>
          <w:tcPr>
            <w:tcW w:w="694" w:type="pct"/>
            <w:vAlign w:val="center"/>
          </w:tcPr>
          <w:p w14:paraId="51525A68" w14:textId="77777777" w:rsidR="00B65FE2" w:rsidRPr="00104E23" w:rsidRDefault="00B65FE2" w:rsidP="00B65FE2">
            <w:pPr>
              <w:ind w:firstLine="0"/>
              <w:jc w:val="left"/>
              <w:rPr>
                <w:rFonts w:cs="Arial"/>
                <w:b/>
                <w:bCs/>
                <w:sz w:val="20"/>
                <w:szCs w:val="20"/>
              </w:rPr>
            </w:pPr>
            <w:r w:rsidRPr="14AE1EAE">
              <w:rPr>
                <w:rFonts w:cs="Arial"/>
                <w:b/>
                <w:bCs/>
                <w:sz w:val="20"/>
                <w:szCs w:val="20"/>
              </w:rPr>
              <w:t>Theory that could be shown wrong by the outcomes</w:t>
            </w:r>
          </w:p>
        </w:tc>
      </w:tr>
      <w:tr w:rsidR="00B65FE2" w:rsidRPr="00104E23" w14:paraId="40B5A036" w14:textId="77777777" w:rsidTr="5CE66923">
        <w:tc>
          <w:tcPr>
            <w:tcW w:w="5000" w:type="pct"/>
            <w:gridSpan w:val="7"/>
          </w:tcPr>
          <w:p w14:paraId="77F9AED9" w14:textId="77777777" w:rsidR="00B65FE2" w:rsidRPr="00104E23" w:rsidRDefault="00B65FE2" w:rsidP="00B65FE2">
            <w:pPr>
              <w:ind w:firstLine="0"/>
              <w:rPr>
                <w:rFonts w:cs="Arial"/>
                <w:b/>
                <w:bCs/>
                <w:sz w:val="20"/>
                <w:szCs w:val="20"/>
              </w:rPr>
            </w:pPr>
            <w:r w:rsidRPr="707573F5">
              <w:rPr>
                <w:rFonts w:cs="Arial"/>
                <w:b/>
                <w:bCs/>
                <w:sz w:val="20"/>
                <w:szCs w:val="20"/>
              </w:rPr>
              <w:t>Confirmatory Hypothesis 1 (between-groups)</w:t>
            </w:r>
          </w:p>
        </w:tc>
      </w:tr>
      <w:tr w:rsidR="00B65FE2" w:rsidRPr="00104E23" w14:paraId="674F7216" w14:textId="77777777" w:rsidTr="5CE66923">
        <w:trPr>
          <w:trHeight w:val="4590"/>
        </w:trPr>
        <w:tc>
          <w:tcPr>
            <w:tcW w:w="694" w:type="pct"/>
          </w:tcPr>
          <w:p w14:paraId="12D00851" w14:textId="77777777" w:rsidR="00B65FE2" w:rsidRPr="000B3F19" w:rsidRDefault="00B65FE2" w:rsidP="000B3F19">
            <w:pPr>
              <w:pStyle w:val="NoSpacing"/>
              <w:jc w:val="left"/>
              <w:rPr>
                <w:sz w:val="20"/>
                <w:szCs w:val="20"/>
              </w:rPr>
            </w:pPr>
            <w:r w:rsidRPr="000B3F19">
              <w:rPr>
                <w:sz w:val="20"/>
                <w:szCs w:val="20"/>
              </w:rPr>
              <w:t>Do female and male participants differ in the amount of melatonin suppression by evening light?</w:t>
            </w:r>
          </w:p>
        </w:tc>
        <w:tc>
          <w:tcPr>
            <w:tcW w:w="694" w:type="pct"/>
          </w:tcPr>
          <w:p w14:paraId="51DBD6F4" w14:textId="77777777" w:rsidR="00B65FE2" w:rsidRPr="000B3F19" w:rsidRDefault="00B65FE2" w:rsidP="000B3F19">
            <w:pPr>
              <w:pStyle w:val="NoSpacing"/>
              <w:jc w:val="left"/>
              <w:rPr>
                <w:sz w:val="20"/>
                <w:szCs w:val="20"/>
              </w:rPr>
            </w:pPr>
            <w:r w:rsidRPr="000B3F19">
              <w:rPr>
                <w:b/>
                <w:bCs/>
                <w:sz w:val="20"/>
                <w:szCs w:val="20"/>
              </w:rPr>
              <w:t>CH1a</w:t>
            </w:r>
            <w:r w:rsidRPr="000B3F19">
              <w:rPr>
                <w:sz w:val="20"/>
                <w:szCs w:val="20"/>
              </w:rPr>
              <w:t>: We hypothesise an effect of sex on melatonin suppression outcomes, with female participants exhibiting greater melatonin suppression by bright light compared to male participants.</w:t>
            </w:r>
          </w:p>
          <w:p w14:paraId="79D22C13" w14:textId="77777777" w:rsidR="00B65FE2" w:rsidRPr="000B3F19" w:rsidRDefault="00B65FE2" w:rsidP="000B3F19">
            <w:pPr>
              <w:pStyle w:val="NoSpacing"/>
              <w:jc w:val="left"/>
              <w:rPr>
                <w:sz w:val="20"/>
                <w:szCs w:val="20"/>
              </w:rPr>
            </w:pPr>
          </w:p>
          <w:p w14:paraId="0EF1C227" w14:textId="77777777" w:rsidR="00B65FE2" w:rsidRPr="000B3F19" w:rsidRDefault="00B65FE2" w:rsidP="000B3F19">
            <w:pPr>
              <w:pStyle w:val="NoSpacing"/>
              <w:jc w:val="left"/>
              <w:rPr>
                <w:sz w:val="20"/>
                <w:szCs w:val="20"/>
              </w:rPr>
            </w:pPr>
            <w:r w:rsidRPr="000B3F19">
              <w:rPr>
                <w:sz w:val="20"/>
                <w:szCs w:val="20"/>
              </w:rPr>
              <w:t>Effect of interest: sex</w:t>
            </w:r>
            <w:r w:rsidRPr="000B3F19">
              <w:rPr>
                <w:sz w:val="20"/>
                <w:szCs w:val="20"/>
              </w:rPr>
              <w:br/>
            </w:r>
          </w:p>
        </w:tc>
        <w:tc>
          <w:tcPr>
            <w:tcW w:w="693" w:type="pct"/>
          </w:tcPr>
          <w:p w14:paraId="6BB1FF59" w14:textId="77777777" w:rsidR="00B65FE2" w:rsidRPr="000B3F19" w:rsidRDefault="00B65FE2" w:rsidP="000B3F19">
            <w:pPr>
              <w:pStyle w:val="NoSpacing"/>
              <w:jc w:val="left"/>
              <w:rPr>
                <w:sz w:val="20"/>
                <w:szCs w:val="20"/>
              </w:rPr>
            </w:pPr>
            <w:r w:rsidRPr="000B3F19">
              <w:rPr>
                <w:sz w:val="20"/>
                <w:szCs w:val="20"/>
              </w:rPr>
              <w:t>Based on BFDA results of CH3a (</w:t>
            </w:r>
            <w:proofErr w:type="spellStart"/>
            <w:r w:rsidRPr="000B3F19">
              <w:rPr>
                <w:sz w:val="20"/>
                <w:szCs w:val="20"/>
              </w:rPr>
              <w:t>N</w:t>
            </w:r>
            <w:r w:rsidRPr="000B3F19">
              <w:rPr>
                <w:sz w:val="20"/>
                <w:szCs w:val="20"/>
                <w:vertAlign w:val="subscript"/>
              </w:rPr>
              <w:t>max</w:t>
            </w:r>
            <w:proofErr w:type="spellEnd"/>
            <w:r w:rsidRPr="000B3F19">
              <w:rPr>
                <w:sz w:val="20"/>
                <w:szCs w:val="20"/>
                <w:vertAlign w:val="subscript"/>
              </w:rPr>
              <w:t xml:space="preserve"> </w:t>
            </w:r>
            <w:r w:rsidRPr="000B3F19">
              <w:rPr>
                <w:sz w:val="20"/>
                <w:szCs w:val="20"/>
              </w:rPr>
              <w:t>for each group = 12)</w:t>
            </w:r>
          </w:p>
        </w:tc>
        <w:tc>
          <w:tcPr>
            <w:tcW w:w="694" w:type="pct"/>
          </w:tcPr>
          <w:p w14:paraId="269DE77A" w14:textId="77777777" w:rsidR="00B65FE2" w:rsidRPr="000B3F19" w:rsidRDefault="00B65FE2" w:rsidP="000B3F19">
            <w:pPr>
              <w:pStyle w:val="NoSpacing"/>
              <w:jc w:val="left"/>
              <w:rPr>
                <w:sz w:val="20"/>
                <w:szCs w:val="20"/>
              </w:rPr>
            </w:pPr>
            <w:r w:rsidRPr="000B3F19">
              <w:rPr>
                <w:sz w:val="20"/>
                <w:szCs w:val="20"/>
              </w:rPr>
              <w:t>Linear mixed effects model for melatonin suppression</w:t>
            </w:r>
          </w:p>
          <w:p w14:paraId="12C60DC3" w14:textId="77777777" w:rsidR="00B65FE2" w:rsidRPr="000B3F19" w:rsidRDefault="00B65FE2" w:rsidP="000B3F19">
            <w:pPr>
              <w:pStyle w:val="NoSpacing"/>
              <w:jc w:val="left"/>
              <w:rPr>
                <w:sz w:val="20"/>
                <w:szCs w:val="20"/>
              </w:rPr>
            </w:pPr>
          </w:p>
          <w:p w14:paraId="530AAE88" w14:textId="77777777" w:rsidR="00B65FE2" w:rsidRPr="000B3F19" w:rsidRDefault="00B65FE2" w:rsidP="000B3F19">
            <w:pPr>
              <w:pStyle w:val="NoSpacing"/>
              <w:jc w:val="left"/>
              <w:rPr>
                <w:sz w:val="20"/>
                <w:szCs w:val="20"/>
              </w:rPr>
            </w:pPr>
            <w:r w:rsidRPr="000B3F19">
              <w:rPr>
                <w:sz w:val="20"/>
                <w:szCs w:val="20"/>
              </w:rPr>
              <w:t>Fixed effects: sex (categorical with two levels: female and male)</w:t>
            </w:r>
          </w:p>
          <w:p w14:paraId="5BD67630" w14:textId="77777777" w:rsidR="00B65FE2" w:rsidRPr="000B3F19" w:rsidRDefault="00B65FE2" w:rsidP="000B3F19">
            <w:pPr>
              <w:pStyle w:val="NoSpacing"/>
              <w:jc w:val="left"/>
              <w:rPr>
                <w:sz w:val="20"/>
                <w:szCs w:val="20"/>
              </w:rPr>
            </w:pPr>
          </w:p>
          <w:p w14:paraId="4D810706" w14:textId="63FAA4ED" w:rsidR="00B65FE2" w:rsidRPr="000B3F19" w:rsidRDefault="00B65FE2" w:rsidP="000B3F19">
            <w:pPr>
              <w:pStyle w:val="NoSpacing"/>
              <w:jc w:val="left"/>
              <w:rPr>
                <w:sz w:val="20"/>
                <w:szCs w:val="20"/>
              </w:rPr>
            </w:pPr>
            <w:r w:rsidRPr="000B3F19">
              <w:rPr>
                <w:sz w:val="20"/>
                <w:szCs w:val="20"/>
              </w:rPr>
              <w:t xml:space="preserve">Random effects: </w:t>
            </w:r>
            <w:r w:rsidR="009C5371">
              <w:rPr>
                <w:sz w:val="20"/>
                <w:szCs w:val="20"/>
              </w:rPr>
              <w:t xml:space="preserve">random intercept for </w:t>
            </w:r>
            <w:r w:rsidRPr="000B3F19">
              <w:rPr>
                <w:sz w:val="20"/>
                <w:szCs w:val="20"/>
              </w:rPr>
              <w:t>participant ID (categorical with levels corresponding to participant number)</w:t>
            </w:r>
          </w:p>
        </w:tc>
        <w:tc>
          <w:tcPr>
            <w:tcW w:w="837" w:type="pct"/>
          </w:tcPr>
          <w:p w14:paraId="79F916B2" w14:textId="77777777" w:rsidR="000B3F19" w:rsidRPr="000B3F19" w:rsidRDefault="000B3F19" w:rsidP="000B3F19">
            <w:pPr>
              <w:pStyle w:val="NoSpacing"/>
              <w:jc w:val="left"/>
              <w:rPr>
                <w:sz w:val="20"/>
                <w:szCs w:val="20"/>
                <w:u w:val="single"/>
              </w:rPr>
            </w:pPr>
            <w:r w:rsidRPr="000B3F19">
              <w:rPr>
                <w:sz w:val="20"/>
                <w:szCs w:val="20"/>
                <w:u w:val="single"/>
              </w:rPr>
              <w:t>Inconclusive evidence</w:t>
            </w:r>
          </w:p>
          <w:p w14:paraId="63E8A23F" w14:textId="77777777" w:rsidR="000B3F19" w:rsidRPr="000B3F19" w:rsidRDefault="000B3F19" w:rsidP="000B3F19">
            <w:pPr>
              <w:pStyle w:val="NoSpacing"/>
              <w:jc w:val="left"/>
              <w:rPr>
                <w:sz w:val="20"/>
                <w:szCs w:val="20"/>
              </w:rPr>
            </w:pPr>
            <w:r w:rsidRPr="000B3F19">
              <w:rPr>
                <w:sz w:val="20"/>
                <w:szCs w:val="20"/>
              </w:rPr>
              <w:t>1&lt;BF&lt;3 = anecdotal evidence for CH1a</w:t>
            </w:r>
            <w:r w:rsidRPr="000B3F19">
              <w:rPr>
                <w:sz w:val="20"/>
                <w:szCs w:val="20"/>
                <w:vertAlign w:val="subscript"/>
              </w:rPr>
              <w:t>Full</w:t>
            </w:r>
          </w:p>
          <w:p w14:paraId="6EA54731" w14:textId="77777777" w:rsidR="000B3F19" w:rsidRPr="000B3F19" w:rsidRDefault="000B3F19" w:rsidP="000B3F19">
            <w:pPr>
              <w:pStyle w:val="NoSpacing"/>
              <w:jc w:val="left"/>
              <w:rPr>
                <w:sz w:val="20"/>
                <w:szCs w:val="20"/>
                <w:u w:val="single"/>
              </w:rPr>
            </w:pPr>
            <w:r w:rsidRPr="000B3F19">
              <w:rPr>
                <w:sz w:val="20"/>
                <w:szCs w:val="20"/>
              </w:rPr>
              <w:t>1&lt;BF&lt;10 = moderate evidence for CH1a</w:t>
            </w:r>
            <w:r w:rsidRPr="000B3F19">
              <w:rPr>
                <w:sz w:val="20"/>
                <w:szCs w:val="20"/>
                <w:vertAlign w:val="subscript"/>
              </w:rPr>
              <w:t>Full</w:t>
            </w:r>
            <w:r w:rsidRPr="000B3F19">
              <w:rPr>
                <w:sz w:val="20"/>
                <w:szCs w:val="20"/>
                <w:u w:val="single"/>
              </w:rPr>
              <w:br/>
            </w:r>
          </w:p>
          <w:p w14:paraId="55A909C0" w14:textId="77777777" w:rsidR="000B3F19" w:rsidRPr="000B3F19" w:rsidRDefault="000B3F19" w:rsidP="000B3F19">
            <w:pPr>
              <w:pStyle w:val="NoSpacing"/>
              <w:jc w:val="left"/>
              <w:rPr>
                <w:sz w:val="20"/>
                <w:szCs w:val="20"/>
                <w:u w:val="single"/>
              </w:rPr>
            </w:pPr>
            <w:r w:rsidRPr="000B3F19">
              <w:rPr>
                <w:sz w:val="20"/>
                <w:szCs w:val="20"/>
                <w:u w:val="single"/>
              </w:rPr>
              <w:t>Conclusive evidence</w:t>
            </w:r>
          </w:p>
          <w:p w14:paraId="50E7FAC4" w14:textId="77777777" w:rsidR="000B3F19" w:rsidRPr="000B3F19" w:rsidRDefault="000B3F19" w:rsidP="000B3F19">
            <w:pPr>
              <w:pStyle w:val="NoSpacing"/>
              <w:jc w:val="left"/>
              <w:rPr>
                <w:sz w:val="20"/>
                <w:szCs w:val="20"/>
              </w:rPr>
            </w:pPr>
            <w:r w:rsidRPr="000B3F19">
              <w:rPr>
                <w:sz w:val="20"/>
                <w:szCs w:val="20"/>
              </w:rPr>
              <w:t>10&lt;BF&lt;30 = strong evidence for CH1a</w:t>
            </w:r>
            <w:r w:rsidRPr="000B3F19">
              <w:rPr>
                <w:sz w:val="20"/>
                <w:szCs w:val="20"/>
                <w:vertAlign w:val="subscript"/>
              </w:rPr>
              <w:t>Full</w:t>
            </w:r>
          </w:p>
          <w:p w14:paraId="6E8C203F" w14:textId="77777777" w:rsidR="000B3F19" w:rsidRPr="000B3F19" w:rsidRDefault="000B3F19" w:rsidP="000B3F19">
            <w:pPr>
              <w:pStyle w:val="NoSpacing"/>
              <w:jc w:val="left"/>
              <w:rPr>
                <w:sz w:val="20"/>
                <w:szCs w:val="20"/>
              </w:rPr>
            </w:pPr>
            <w:r w:rsidRPr="000B3F19">
              <w:rPr>
                <w:sz w:val="20"/>
                <w:szCs w:val="20"/>
              </w:rPr>
              <w:t>BF&gt;30 = very strong evidence for CH1a</w:t>
            </w:r>
            <w:r w:rsidRPr="000B3F19">
              <w:rPr>
                <w:sz w:val="20"/>
                <w:szCs w:val="20"/>
                <w:vertAlign w:val="subscript"/>
              </w:rPr>
              <w:t>Full</w:t>
            </w:r>
          </w:p>
          <w:p w14:paraId="003C5028" w14:textId="470084F2" w:rsidR="00B65FE2" w:rsidRPr="000B3F19" w:rsidRDefault="00B65FE2" w:rsidP="000B3F19">
            <w:pPr>
              <w:pStyle w:val="NoSpacing"/>
              <w:jc w:val="left"/>
              <w:rPr>
                <w:sz w:val="20"/>
                <w:szCs w:val="20"/>
              </w:rPr>
            </w:pPr>
          </w:p>
        </w:tc>
        <w:tc>
          <w:tcPr>
            <w:tcW w:w="694" w:type="pct"/>
          </w:tcPr>
          <w:p w14:paraId="24DBD198" w14:textId="77777777" w:rsidR="00B65FE2" w:rsidRPr="000B3F19" w:rsidRDefault="00B65FE2" w:rsidP="000B3F19">
            <w:pPr>
              <w:pStyle w:val="NoSpacing"/>
              <w:jc w:val="left"/>
              <w:rPr>
                <w:sz w:val="20"/>
                <w:szCs w:val="20"/>
              </w:rPr>
            </w:pPr>
            <w:r w:rsidRPr="000B3F19">
              <w:rPr>
                <w:sz w:val="20"/>
                <w:szCs w:val="20"/>
              </w:rPr>
              <w:t xml:space="preserve">Conclusive evidence for this hypothesis will identify </w:t>
            </w:r>
            <w:proofErr w:type="gramStart"/>
            <w:r w:rsidRPr="000B3F19">
              <w:rPr>
                <w:sz w:val="20"/>
                <w:szCs w:val="20"/>
              </w:rPr>
              <w:t>that female participants</w:t>
            </w:r>
            <w:proofErr w:type="gramEnd"/>
            <w:r w:rsidRPr="000B3F19">
              <w:rPr>
                <w:sz w:val="20"/>
                <w:szCs w:val="20"/>
              </w:rPr>
              <w:t xml:space="preserve"> do exhibit greater melatonin suppression by evening light compared to male participants. </w:t>
            </w:r>
          </w:p>
        </w:tc>
        <w:tc>
          <w:tcPr>
            <w:tcW w:w="694" w:type="pct"/>
          </w:tcPr>
          <w:p w14:paraId="20047D81" w14:textId="50E8CD2F" w:rsidR="00B65FE2" w:rsidRPr="000B3F19" w:rsidRDefault="5CE66923" w:rsidP="000B3F19">
            <w:pPr>
              <w:pStyle w:val="NoSpacing"/>
              <w:jc w:val="left"/>
              <w:rPr>
                <w:sz w:val="20"/>
                <w:szCs w:val="20"/>
              </w:rPr>
            </w:pPr>
            <w:r w:rsidRPr="000B3F19">
              <w:rPr>
                <w:sz w:val="20"/>
                <w:szCs w:val="20"/>
              </w:rPr>
              <w:t>Among the few studies that have looked at sex differences in melatonin suppression, the two most recent and most powered studies suggest that female participants had higher melatonin suppression by light at night compared to male participants. The result of our study will contribute to this growing evidence on potential sex differences</w:t>
            </w:r>
            <w:r w:rsidR="009C5371">
              <w:rPr>
                <w:sz w:val="20"/>
                <w:szCs w:val="20"/>
              </w:rPr>
              <w:t xml:space="preserve"> and their </w:t>
            </w:r>
            <w:r w:rsidRPr="000B3F19">
              <w:rPr>
                <w:sz w:val="20"/>
                <w:szCs w:val="20"/>
              </w:rPr>
              <w:t>directionality.</w:t>
            </w:r>
          </w:p>
        </w:tc>
      </w:tr>
      <w:tr w:rsidR="00B65FE2" w14:paraId="3990B47E" w14:textId="77777777" w:rsidTr="5CE66923">
        <w:trPr>
          <w:trHeight w:val="300"/>
        </w:trPr>
        <w:tc>
          <w:tcPr>
            <w:tcW w:w="694" w:type="pct"/>
          </w:tcPr>
          <w:p w14:paraId="6DD8A6FB" w14:textId="77777777" w:rsidR="00B65FE2" w:rsidRPr="000B3F19" w:rsidRDefault="00B65FE2" w:rsidP="000B3F19">
            <w:pPr>
              <w:pStyle w:val="NoSpacing"/>
              <w:jc w:val="left"/>
              <w:rPr>
                <w:sz w:val="20"/>
                <w:szCs w:val="20"/>
              </w:rPr>
            </w:pPr>
            <w:r w:rsidRPr="000B3F19">
              <w:rPr>
                <w:sz w:val="20"/>
                <w:szCs w:val="20"/>
              </w:rPr>
              <w:t xml:space="preserve">Is there a sex difference in light sensitivity earlier on along the non-visual pathway, at </w:t>
            </w:r>
            <w:r w:rsidRPr="000B3F19">
              <w:rPr>
                <w:sz w:val="20"/>
                <w:szCs w:val="20"/>
              </w:rPr>
              <w:lastRenderedPageBreak/>
              <w:t xml:space="preserve">the photoreceptor level, measured by melanopsin-mediated pupil size?  </w:t>
            </w:r>
          </w:p>
        </w:tc>
        <w:tc>
          <w:tcPr>
            <w:tcW w:w="694" w:type="pct"/>
          </w:tcPr>
          <w:p w14:paraId="2B8AE817" w14:textId="77777777" w:rsidR="00B65FE2" w:rsidRPr="000B3F19" w:rsidRDefault="00B65FE2" w:rsidP="000B3F19">
            <w:pPr>
              <w:pStyle w:val="NoSpacing"/>
              <w:jc w:val="left"/>
              <w:rPr>
                <w:sz w:val="20"/>
                <w:szCs w:val="20"/>
              </w:rPr>
            </w:pPr>
            <w:r w:rsidRPr="000B3F19">
              <w:rPr>
                <w:b/>
                <w:bCs/>
                <w:sz w:val="20"/>
                <w:szCs w:val="20"/>
              </w:rPr>
              <w:lastRenderedPageBreak/>
              <w:t>CH1b</w:t>
            </w:r>
            <w:r w:rsidRPr="000B3F19">
              <w:rPr>
                <w:sz w:val="20"/>
                <w:szCs w:val="20"/>
              </w:rPr>
              <w:t xml:space="preserve">: We hypothesise an effect of sex on melanopsin-mediated pupil </w:t>
            </w:r>
            <w:r w:rsidRPr="000B3F19">
              <w:rPr>
                <w:sz w:val="20"/>
                <w:szCs w:val="20"/>
              </w:rPr>
              <w:lastRenderedPageBreak/>
              <w:t>responses, whereby female participants exhibit higher melanopsin activation than male participants.</w:t>
            </w:r>
          </w:p>
          <w:p w14:paraId="0AF68C68" w14:textId="77777777" w:rsidR="00B65FE2" w:rsidRPr="000B3F19" w:rsidRDefault="00B65FE2" w:rsidP="000B3F19">
            <w:pPr>
              <w:pStyle w:val="NoSpacing"/>
              <w:jc w:val="left"/>
              <w:rPr>
                <w:sz w:val="20"/>
                <w:szCs w:val="20"/>
              </w:rPr>
            </w:pPr>
          </w:p>
          <w:p w14:paraId="2F75214A" w14:textId="77777777" w:rsidR="00B65FE2" w:rsidRPr="000B3F19" w:rsidRDefault="00B65FE2" w:rsidP="000B3F19">
            <w:pPr>
              <w:pStyle w:val="NoSpacing"/>
              <w:jc w:val="left"/>
              <w:rPr>
                <w:sz w:val="20"/>
                <w:szCs w:val="20"/>
              </w:rPr>
            </w:pPr>
            <w:r w:rsidRPr="000B3F19">
              <w:rPr>
                <w:sz w:val="20"/>
                <w:szCs w:val="20"/>
              </w:rPr>
              <w:t>Effect of interest: sex</w:t>
            </w:r>
          </w:p>
        </w:tc>
        <w:tc>
          <w:tcPr>
            <w:tcW w:w="693" w:type="pct"/>
          </w:tcPr>
          <w:p w14:paraId="3B8ACD81" w14:textId="77777777" w:rsidR="00B65FE2" w:rsidRPr="000B3F19" w:rsidRDefault="00B65FE2" w:rsidP="000B3F19">
            <w:pPr>
              <w:pStyle w:val="NoSpacing"/>
              <w:jc w:val="left"/>
              <w:rPr>
                <w:sz w:val="20"/>
                <w:szCs w:val="20"/>
              </w:rPr>
            </w:pPr>
            <w:r w:rsidRPr="000B3F19">
              <w:rPr>
                <w:sz w:val="20"/>
                <w:szCs w:val="20"/>
              </w:rPr>
              <w:lastRenderedPageBreak/>
              <w:t>Based on BFDA results of CH3a (</w:t>
            </w:r>
            <w:proofErr w:type="spellStart"/>
            <w:r w:rsidRPr="000B3F19">
              <w:rPr>
                <w:sz w:val="20"/>
                <w:szCs w:val="20"/>
              </w:rPr>
              <w:t>N</w:t>
            </w:r>
            <w:r w:rsidRPr="000B3F19">
              <w:rPr>
                <w:sz w:val="20"/>
                <w:szCs w:val="20"/>
                <w:vertAlign w:val="subscript"/>
              </w:rPr>
              <w:t>max</w:t>
            </w:r>
            <w:proofErr w:type="spellEnd"/>
            <w:r w:rsidRPr="000B3F19">
              <w:rPr>
                <w:sz w:val="20"/>
                <w:szCs w:val="20"/>
                <w:vertAlign w:val="subscript"/>
              </w:rPr>
              <w:t xml:space="preserve"> </w:t>
            </w:r>
            <w:r w:rsidRPr="000B3F19">
              <w:rPr>
                <w:sz w:val="20"/>
                <w:szCs w:val="20"/>
              </w:rPr>
              <w:t>for each group = 12)</w:t>
            </w:r>
          </w:p>
        </w:tc>
        <w:tc>
          <w:tcPr>
            <w:tcW w:w="694" w:type="pct"/>
          </w:tcPr>
          <w:p w14:paraId="56FA9B7D" w14:textId="1B9967E0" w:rsidR="00B65FE2" w:rsidRPr="000B3F19" w:rsidRDefault="00B65FE2" w:rsidP="000B3F19">
            <w:pPr>
              <w:pStyle w:val="NoSpacing"/>
              <w:jc w:val="left"/>
              <w:rPr>
                <w:sz w:val="20"/>
                <w:szCs w:val="20"/>
              </w:rPr>
            </w:pPr>
            <w:r w:rsidRPr="000B3F19">
              <w:rPr>
                <w:sz w:val="20"/>
                <w:szCs w:val="20"/>
              </w:rPr>
              <w:t xml:space="preserve">Linear mixed effects model for </w:t>
            </w:r>
            <w:r w:rsidR="000B3F19" w:rsidRPr="000B3F19">
              <w:rPr>
                <w:sz w:val="20"/>
                <w:szCs w:val="20"/>
              </w:rPr>
              <w:t>melanopsin-mediated</w:t>
            </w:r>
            <w:r w:rsidRPr="000B3F19">
              <w:rPr>
                <w:sz w:val="20"/>
                <w:szCs w:val="20"/>
              </w:rPr>
              <w:t xml:space="preserve"> pupil responses</w:t>
            </w:r>
          </w:p>
          <w:p w14:paraId="672BEB24" w14:textId="77777777" w:rsidR="00B65FE2" w:rsidRPr="000B3F19" w:rsidRDefault="00B65FE2" w:rsidP="000B3F19">
            <w:pPr>
              <w:pStyle w:val="NoSpacing"/>
              <w:jc w:val="left"/>
              <w:rPr>
                <w:sz w:val="20"/>
                <w:szCs w:val="20"/>
              </w:rPr>
            </w:pPr>
          </w:p>
          <w:p w14:paraId="1AE8B107" w14:textId="77777777" w:rsidR="00B65FE2" w:rsidRPr="000B3F19" w:rsidRDefault="00B65FE2" w:rsidP="000B3F19">
            <w:pPr>
              <w:pStyle w:val="NoSpacing"/>
              <w:jc w:val="left"/>
              <w:rPr>
                <w:sz w:val="20"/>
                <w:szCs w:val="20"/>
              </w:rPr>
            </w:pPr>
            <w:r w:rsidRPr="000B3F19">
              <w:rPr>
                <w:sz w:val="20"/>
                <w:szCs w:val="20"/>
              </w:rPr>
              <w:t>Fixed effects: sex (categorical with two levels: female and male)</w:t>
            </w:r>
          </w:p>
          <w:p w14:paraId="6BDC1110" w14:textId="77777777" w:rsidR="00B65FE2" w:rsidRPr="000B3F19" w:rsidRDefault="00B65FE2" w:rsidP="000B3F19">
            <w:pPr>
              <w:pStyle w:val="NoSpacing"/>
              <w:jc w:val="left"/>
              <w:rPr>
                <w:sz w:val="20"/>
                <w:szCs w:val="20"/>
              </w:rPr>
            </w:pPr>
          </w:p>
          <w:p w14:paraId="74878380" w14:textId="4F9CFFDA" w:rsidR="00B65FE2" w:rsidRPr="000B3F19" w:rsidRDefault="00B65FE2" w:rsidP="000B3F19">
            <w:pPr>
              <w:pStyle w:val="NoSpacing"/>
              <w:jc w:val="left"/>
              <w:rPr>
                <w:sz w:val="20"/>
                <w:szCs w:val="20"/>
              </w:rPr>
            </w:pPr>
            <w:r w:rsidRPr="000B3F19">
              <w:rPr>
                <w:sz w:val="20"/>
                <w:szCs w:val="20"/>
              </w:rPr>
              <w:t>Random effects: participant ID (categorical with levels corresponding to participant number</w:t>
            </w:r>
            <w:r w:rsidR="000B3F19">
              <w:rPr>
                <w:sz w:val="20"/>
                <w:szCs w:val="20"/>
              </w:rPr>
              <w:t>)</w:t>
            </w:r>
          </w:p>
        </w:tc>
        <w:tc>
          <w:tcPr>
            <w:tcW w:w="837" w:type="pct"/>
          </w:tcPr>
          <w:p w14:paraId="05EBFE7B" w14:textId="77777777" w:rsidR="000B3F19" w:rsidRPr="000B3F19" w:rsidRDefault="000B3F19" w:rsidP="000B3F19">
            <w:pPr>
              <w:pStyle w:val="NoSpacing"/>
              <w:rPr>
                <w:sz w:val="20"/>
                <w:szCs w:val="20"/>
                <w:u w:val="single"/>
              </w:rPr>
            </w:pPr>
            <w:r w:rsidRPr="000B3F19">
              <w:rPr>
                <w:sz w:val="20"/>
                <w:szCs w:val="20"/>
                <w:u w:val="single"/>
              </w:rPr>
              <w:lastRenderedPageBreak/>
              <w:t>Inconclusive evidence</w:t>
            </w:r>
          </w:p>
          <w:p w14:paraId="498E6037" w14:textId="77777777" w:rsidR="000B3F19" w:rsidRPr="000B3F19" w:rsidRDefault="000B3F19" w:rsidP="000B3F19">
            <w:pPr>
              <w:pStyle w:val="NoSpacing"/>
              <w:rPr>
                <w:sz w:val="20"/>
                <w:szCs w:val="20"/>
              </w:rPr>
            </w:pPr>
            <w:r w:rsidRPr="000B3F19">
              <w:rPr>
                <w:sz w:val="20"/>
                <w:szCs w:val="20"/>
              </w:rPr>
              <w:t>1&lt;BF&lt;3 = anecdotal evidence for CH1b</w:t>
            </w:r>
            <w:r w:rsidRPr="000B3F19">
              <w:rPr>
                <w:sz w:val="20"/>
                <w:szCs w:val="20"/>
                <w:vertAlign w:val="subscript"/>
              </w:rPr>
              <w:t>Full</w:t>
            </w:r>
          </w:p>
          <w:p w14:paraId="760E0C46" w14:textId="77777777" w:rsidR="000B3F19" w:rsidRPr="000B3F19" w:rsidRDefault="000B3F19" w:rsidP="000B3F19">
            <w:pPr>
              <w:pStyle w:val="NoSpacing"/>
              <w:rPr>
                <w:sz w:val="20"/>
                <w:szCs w:val="20"/>
                <w:u w:val="single"/>
              </w:rPr>
            </w:pPr>
            <w:r w:rsidRPr="000B3F19">
              <w:rPr>
                <w:sz w:val="20"/>
                <w:szCs w:val="20"/>
              </w:rPr>
              <w:lastRenderedPageBreak/>
              <w:t>1&lt;BF&lt;10 = moderate evidence for CH1b</w:t>
            </w:r>
            <w:r w:rsidRPr="000B3F19">
              <w:rPr>
                <w:sz w:val="20"/>
                <w:szCs w:val="20"/>
                <w:vertAlign w:val="subscript"/>
              </w:rPr>
              <w:t>Full</w:t>
            </w:r>
            <w:r w:rsidRPr="000B3F19">
              <w:rPr>
                <w:sz w:val="20"/>
                <w:szCs w:val="20"/>
                <w:u w:val="single"/>
              </w:rPr>
              <w:br/>
            </w:r>
          </w:p>
          <w:p w14:paraId="13F9C1A8" w14:textId="77777777" w:rsidR="000B3F19" w:rsidRPr="000B3F19" w:rsidRDefault="000B3F19" w:rsidP="000B3F19">
            <w:pPr>
              <w:pStyle w:val="NoSpacing"/>
              <w:rPr>
                <w:sz w:val="20"/>
                <w:szCs w:val="20"/>
                <w:u w:val="single"/>
              </w:rPr>
            </w:pPr>
            <w:r w:rsidRPr="000B3F19">
              <w:rPr>
                <w:sz w:val="20"/>
                <w:szCs w:val="20"/>
                <w:u w:val="single"/>
              </w:rPr>
              <w:t>Conclusive evidence</w:t>
            </w:r>
          </w:p>
          <w:p w14:paraId="6F8716FB" w14:textId="77777777" w:rsidR="000B3F19" w:rsidRPr="000B3F19" w:rsidRDefault="000B3F19" w:rsidP="000B3F19">
            <w:pPr>
              <w:pStyle w:val="NoSpacing"/>
              <w:rPr>
                <w:sz w:val="20"/>
                <w:szCs w:val="20"/>
              </w:rPr>
            </w:pPr>
            <w:r w:rsidRPr="000B3F19">
              <w:rPr>
                <w:sz w:val="20"/>
                <w:szCs w:val="20"/>
              </w:rPr>
              <w:t>10&lt;BF&lt;30 = strong evidence for CH1b</w:t>
            </w:r>
            <w:r w:rsidRPr="000B3F19">
              <w:rPr>
                <w:sz w:val="20"/>
                <w:szCs w:val="20"/>
                <w:vertAlign w:val="subscript"/>
              </w:rPr>
              <w:t>Full</w:t>
            </w:r>
          </w:p>
          <w:p w14:paraId="2C8989EE" w14:textId="77777777" w:rsidR="000B3F19" w:rsidRPr="000B3F19" w:rsidRDefault="000B3F19" w:rsidP="000B3F19">
            <w:pPr>
              <w:pStyle w:val="NoSpacing"/>
              <w:rPr>
                <w:sz w:val="20"/>
                <w:szCs w:val="20"/>
              </w:rPr>
            </w:pPr>
            <w:r w:rsidRPr="000B3F19">
              <w:rPr>
                <w:sz w:val="20"/>
                <w:szCs w:val="20"/>
              </w:rPr>
              <w:t>BF&gt;30 = very strong evidence for CH1b</w:t>
            </w:r>
            <w:r w:rsidRPr="000B3F19">
              <w:rPr>
                <w:sz w:val="20"/>
                <w:szCs w:val="20"/>
                <w:vertAlign w:val="subscript"/>
              </w:rPr>
              <w:t>Full</w:t>
            </w:r>
          </w:p>
          <w:p w14:paraId="7BB489F1" w14:textId="77777777" w:rsidR="00B65FE2" w:rsidRPr="000B3F19" w:rsidRDefault="00B65FE2" w:rsidP="000B3F19">
            <w:pPr>
              <w:pStyle w:val="NoSpacing"/>
              <w:jc w:val="left"/>
              <w:rPr>
                <w:sz w:val="20"/>
                <w:szCs w:val="20"/>
              </w:rPr>
            </w:pPr>
          </w:p>
        </w:tc>
        <w:tc>
          <w:tcPr>
            <w:tcW w:w="694" w:type="pct"/>
          </w:tcPr>
          <w:p w14:paraId="581CD437" w14:textId="77777777" w:rsidR="00B65FE2" w:rsidRPr="000B3F19" w:rsidRDefault="00B65FE2" w:rsidP="000B3F19">
            <w:pPr>
              <w:pStyle w:val="NoSpacing"/>
              <w:jc w:val="left"/>
              <w:rPr>
                <w:sz w:val="20"/>
                <w:szCs w:val="20"/>
              </w:rPr>
            </w:pPr>
            <w:r w:rsidRPr="000B3F19">
              <w:rPr>
                <w:sz w:val="20"/>
                <w:szCs w:val="20"/>
              </w:rPr>
              <w:lastRenderedPageBreak/>
              <w:t xml:space="preserve">Conclusive evidence for this hypothesis will identify </w:t>
            </w:r>
            <w:proofErr w:type="gramStart"/>
            <w:r w:rsidRPr="000B3F19">
              <w:rPr>
                <w:sz w:val="20"/>
                <w:szCs w:val="20"/>
              </w:rPr>
              <w:t>that female participants</w:t>
            </w:r>
            <w:proofErr w:type="gramEnd"/>
            <w:r w:rsidRPr="000B3F19">
              <w:rPr>
                <w:sz w:val="20"/>
                <w:szCs w:val="20"/>
              </w:rPr>
              <w:t xml:space="preserve"> have </w:t>
            </w:r>
            <w:r w:rsidRPr="000B3F19">
              <w:rPr>
                <w:sz w:val="20"/>
                <w:szCs w:val="20"/>
              </w:rPr>
              <w:lastRenderedPageBreak/>
              <w:t>higher melanopsin sensitivity compared to male participants.</w:t>
            </w:r>
          </w:p>
        </w:tc>
        <w:tc>
          <w:tcPr>
            <w:tcW w:w="694" w:type="pct"/>
          </w:tcPr>
          <w:p w14:paraId="650630F3" w14:textId="5A44B7DB" w:rsidR="00B65FE2" w:rsidRPr="000B3F19" w:rsidRDefault="00B65FE2" w:rsidP="000B3F19">
            <w:pPr>
              <w:pStyle w:val="NoSpacing"/>
              <w:jc w:val="left"/>
              <w:rPr>
                <w:sz w:val="20"/>
                <w:szCs w:val="20"/>
              </w:rPr>
            </w:pPr>
            <w:r w:rsidRPr="000B3F19">
              <w:rPr>
                <w:sz w:val="20"/>
                <w:szCs w:val="20"/>
              </w:rPr>
              <w:lastRenderedPageBreak/>
              <w:t xml:space="preserve">The outcome of this analysis will inform whether sex differences in light sensitivity are </w:t>
            </w:r>
            <w:r w:rsidRPr="000B3F19">
              <w:rPr>
                <w:sz w:val="20"/>
                <w:szCs w:val="20"/>
              </w:rPr>
              <w:lastRenderedPageBreak/>
              <w:t xml:space="preserve">present at the retinal level (quantified by melanopsin-mediated pupil responses). This analysis builds on the one performed in CH1a, to assess where, along the non-visual pathway, sex differences are to be observed. Refer to Table </w:t>
            </w:r>
            <w:r w:rsidR="00672953">
              <w:rPr>
                <w:sz w:val="20"/>
                <w:szCs w:val="20"/>
              </w:rPr>
              <w:t>7</w:t>
            </w:r>
            <w:r w:rsidRPr="000B3F19">
              <w:rPr>
                <w:sz w:val="20"/>
                <w:szCs w:val="20"/>
              </w:rPr>
              <w:t xml:space="preserve"> for detailed interpretation. </w:t>
            </w:r>
          </w:p>
        </w:tc>
      </w:tr>
      <w:tr w:rsidR="00B65FE2" w14:paraId="6FEFC159" w14:textId="77777777" w:rsidTr="5CE66923">
        <w:trPr>
          <w:trHeight w:val="300"/>
        </w:trPr>
        <w:tc>
          <w:tcPr>
            <w:tcW w:w="5000" w:type="pct"/>
            <w:gridSpan w:val="7"/>
          </w:tcPr>
          <w:p w14:paraId="7D2E2FE1" w14:textId="50058BA4" w:rsidR="00B65FE2" w:rsidRPr="000B3F19" w:rsidRDefault="00B65FE2" w:rsidP="00B65FE2">
            <w:pPr>
              <w:ind w:firstLine="0"/>
              <w:rPr>
                <w:rFonts w:cs="Arial"/>
                <w:b/>
                <w:bCs/>
                <w:sz w:val="20"/>
                <w:szCs w:val="20"/>
              </w:rPr>
            </w:pPr>
            <w:r w:rsidRPr="707573F5">
              <w:rPr>
                <w:rFonts w:cs="Arial"/>
                <w:b/>
                <w:bCs/>
                <w:sz w:val="20"/>
                <w:szCs w:val="20"/>
              </w:rPr>
              <w:lastRenderedPageBreak/>
              <w:t>Confirmatory Hypothesis 2 (between-groups)</w:t>
            </w:r>
          </w:p>
        </w:tc>
      </w:tr>
      <w:tr w:rsidR="00B65FE2" w:rsidRPr="00104E23" w14:paraId="5EDE8FD8" w14:textId="77777777" w:rsidTr="5CE66923">
        <w:trPr>
          <w:trHeight w:val="976"/>
        </w:trPr>
        <w:tc>
          <w:tcPr>
            <w:tcW w:w="694" w:type="pct"/>
          </w:tcPr>
          <w:p w14:paraId="5BD961DA" w14:textId="77777777" w:rsidR="00B65FE2" w:rsidRPr="000B3F19" w:rsidRDefault="00B65FE2" w:rsidP="000B3F19">
            <w:pPr>
              <w:pStyle w:val="NoSpacing"/>
              <w:jc w:val="left"/>
              <w:rPr>
                <w:sz w:val="20"/>
                <w:szCs w:val="20"/>
              </w:rPr>
            </w:pPr>
            <w:r w:rsidRPr="000B3F19">
              <w:rPr>
                <w:sz w:val="20"/>
                <w:szCs w:val="20"/>
              </w:rPr>
              <w:t>Do different hormonal profiles (NC group, MCOC group, HM group) influence the amount of melatonin suppression by evening light?</w:t>
            </w:r>
          </w:p>
        </w:tc>
        <w:tc>
          <w:tcPr>
            <w:tcW w:w="694" w:type="pct"/>
          </w:tcPr>
          <w:p w14:paraId="3D8BBF0A" w14:textId="77777777" w:rsidR="00B65FE2" w:rsidRPr="000B3F19" w:rsidRDefault="00B65FE2" w:rsidP="000B3F19">
            <w:pPr>
              <w:pStyle w:val="NoSpacing"/>
              <w:jc w:val="left"/>
              <w:rPr>
                <w:sz w:val="20"/>
                <w:szCs w:val="20"/>
              </w:rPr>
            </w:pPr>
            <w:r w:rsidRPr="000B3F19">
              <w:rPr>
                <w:b/>
                <w:bCs/>
                <w:sz w:val="20"/>
                <w:szCs w:val="20"/>
              </w:rPr>
              <w:t>CH2a</w:t>
            </w:r>
            <w:r w:rsidRPr="000B3F19">
              <w:rPr>
                <w:sz w:val="20"/>
                <w:szCs w:val="20"/>
              </w:rPr>
              <w:t xml:space="preserve">: We hypothesise a group effect on light-induced melatonin suppression, whereby melatonin suppression differs between naturally cycling individuals (NC group), individuals taking oral contraceptives (MCOC group), and healthy male participants (HM group). </w:t>
            </w:r>
          </w:p>
          <w:p w14:paraId="352CAA1E" w14:textId="77777777" w:rsidR="00B65FE2" w:rsidRPr="000B3F19" w:rsidRDefault="00B65FE2" w:rsidP="000B3F19">
            <w:pPr>
              <w:pStyle w:val="NoSpacing"/>
              <w:jc w:val="left"/>
              <w:rPr>
                <w:sz w:val="20"/>
                <w:szCs w:val="20"/>
              </w:rPr>
            </w:pPr>
            <w:r w:rsidRPr="000B3F19">
              <w:rPr>
                <w:sz w:val="20"/>
                <w:szCs w:val="20"/>
              </w:rPr>
              <w:br/>
              <w:t>Effect of interest: group</w:t>
            </w:r>
          </w:p>
        </w:tc>
        <w:tc>
          <w:tcPr>
            <w:tcW w:w="693" w:type="pct"/>
          </w:tcPr>
          <w:p w14:paraId="0D86FF51" w14:textId="77777777" w:rsidR="00B65FE2" w:rsidRPr="000B3F19" w:rsidRDefault="00B65FE2" w:rsidP="000B3F19">
            <w:pPr>
              <w:pStyle w:val="NoSpacing"/>
              <w:jc w:val="left"/>
              <w:rPr>
                <w:sz w:val="20"/>
                <w:szCs w:val="20"/>
              </w:rPr>
            </w:pPr>
            <w:r w:rsidRPr="000B3F19">
              <w:rPr>
                <w:sz w:val="20"/>
                <w:szCs w:val="20"/>
              </w:rPr>
              <w:t>Based on BFDA results of CH3a (</w:t>
            </w:r>
            <w:proofErr w:type="spellStart"/>
            <w:r w:rsidRPr="000B3F19">
              <w:rPr>
                <w:sz w:val="20"/>
                <w:szCs w:val="20"/>
              </w:rPr>
              <w:t>N</w:t>
            </w:r>
            <w:r w:rsidRPr="000B3F19">
              <w:rPr>
                <w:sz w:val="20"/>
                <w:szCs w:val="20"/>
                <w:vertAlign w:val="subscript"/>
              </w:rPr>
              <w:t>max</w:t>
            </w:r>
            <w:proofErr w:type="spellEnd"/>
            <w:r w:rsidRPr="000B3F19">
              <w:rPr>
                <w:sz w:val="20"/>
                <w:szCs w:val="20"/>
              </w:rPr>
              <w:t xml:space="preserve"> for each group</w:t>
            </w:r>
            <w:r w:rsidRPr="000B3F19">
              <w:rPr>
                <w:sz w:val="20"/>
                <w:szCs w:val="20"/>
                <w:vertAlign w:val="subscript"/>
              </w:rPr>
              <w:t xml:space="preserve"> </w:t>
            </w:r>
            <w:r w:rsidRPr="000B3F19">
              <w:rPr>
                <w:sz w:val="20"/>
                <w:szCs w:val="20"/>
              </w:rPr>
              <w:t>= 12)</w:t>
            </w:r>
          </w:p>
        </w:tc>
        <w:tc>
          <w:tcPr>
            <w:tcW w:w="694" w:type="pct"/>
          </w:tcPr>
          <w:p w14:paraId="0EFD85AB" w14:textId="77777777" w:rsidR="00B65FE2" w:rsidRPr="000B3F19" w:rsidRDefault="00B65FE2" w:rsidP="000B3F19">
            <w:pPr>
              <w:pStyle w:val="NoSpacing"/>
              <w:jc w:val="left"/>
              <w:rPr>
                <w:sz w:val="20"/>
                <w:szCs w:val="20"/>
              </w:rPr>
            </w:pPr>
            <w:r w:rsidRPr="000B3F19">
              <w:rPr>
                <w:sz w:val="20"/>
                <w:szCs w:val="20"/>
              </w:rPr>
              <w:t>Linear mixed effects model for melatonin suppression</w:t>
            </w:r>
          </w:p>
          <w:p w14:paraId="2EFDB049" w14:textId="77777777" w:rsidR="00B65FE2" w:rsidRPr="000B3F19" w:rsidRDefault="00B65FE2" w:rsidP="000B3F19">
            <w:pPr>
              <w:pStyle w:val="NoSpacing"/>
              <w:jc w:val="left"/>
              <w:rPr>
                <w:sz w:val="20"/>
                <w:szCs w:val="20"/>
              </w:rPr>
            </w:pPr>
          </w:p>
          <w:p w14:paraId="5560BF14" w14:textId="77777777" w:rsidR="00B65FE2" w:rsidRPr="000B3F19" w:rsidRDefault="00B65FE2" w:rsidP="000B3F19">
            <w:pPr>
              <w:pStyle w:val="NoSpacing"/>
              <w:jc w:val="left"/>
              <w:rPr>
                <w:sz w:val="20"/>
                <w:szCs w:val="20"/>
              </w:rPr>
            </w:pPr>
            <w:r w:rsidRPr="000B3F19">
              <w:rPr>
                <w:sz w:val="20"/>
                <w:szCs w:val="20"/>
              </w:rPr>
              <w:t>Fixed effects: group (categorical with three levels: NC, MCOC and HM)</w:t>
            </w:r>
          </w:p>
          <w:p w14:paraId="7B8F44F1" w14:textId="77777777" w:rsidR="00B65FE2" w:rsidRPr="000B3F19" w:rsidRDefault="00B65FE2" w:rsidP="000B3F19">
            <w:pPr>
              <w:pStyle w:val="NoSpacing"/>
              <w:jc w:val="left"/>
              <w:rPr>
                <w:sz w:val="20"/>
                <w:szCs w:val="20"/>
              </w:rPr>
            </w:pPr>
          </w:p>
          <w:p w14:paraId="4254DA38" w14:textId="15F5A41C" w:rsidR="00B65FE2" w:rsidRPr="000B3F19" w:rsidRDefault="00B65FE2" w:rsidP="000B3F19">
            <w:pPr>
              <w:pStyle w:val="NoSpacing"/>
              <w:jc w:val="left"/>
              <w:rPr>
                <w:sz w:val="20"/>
                <w:szCs w:val="20"/>
              </w:rPr>
            </w:pPr>
            <w:r w:rsidRPr="000B3F19">
              <w:rPr>
                <w:sz w:val="20"/>
                <w:szCs w:val="20"/>
              </w:rPr>
              <w:t>Random effects: participant ID (categorical with levels corresponding to participant number)</w:t>
            </w:r>
          </w:p>
        </w:tc>
        <w:tc>
          <w:tcPr>
            <w:tcW w:w="837" w:type="pct"/>
          </w:tcPr>
          <w:p w14:paraId="60A9CCA1" w14:textId="77777777" w:rsidR="000B3F19" w:rsidRPr="000B3F19" w:rsidRDefault="000B3F19" w:rsidP="000B3F19">
            <w:pPr>
              <w:spacing w:line="276" w:lineRule="auto"/>
              <w:ind w:firstLine="0"/>
              <w:jc w:val="left"/>
              <w:rPr>
                <w:rFonts w:eastAsia="Times New Roman" w:cs="Arial"/>
                <w:color w:val="000000"/>
                <w:sz w:val="20"/>
                <w:szCs w:val="20"/>
                <w:u w:val="single"/>
              </w:rPr>
            </w:pPr>
            <w:r w:rsidRPr="000B3F19">
              <w:rPr>
                <w:rFonts w:eastAsia="Times New Roman" w:cs="Arial"/>
                <w:color w:val="000000"/>
                <w:sz w:val="20"/>
                <w:szCs w:val="20"/>
                <w:u w:val="single"/>
              </w:rPr>
              <w:t>Inconclusive evidence</w:t>
            </w:r>
          </w:p>
          <w:p w14:paraId="6D1C2469" w14:textId="77777777" w:rsidR="000B3F19" w:rsidRPr="000B3F19" w:rsidRDefault="000B3F19" w:rsidP="000B3F19">
            <w:pPr>
              <w:spacing w:line="276" w:lineRule="auto"/>
              <w:ind w:firstLine="0"/>
              <w:jc w:val="left"/>
              <w:rPr>
                <w:rFonts w:eastAsia="Times New Roman" w:cs="Arial"/>
                <w:color w:val="000000"/>
                <w:sz w:val="20"/>
                <w:szCs w:val="20"/>
              </w:rPr>
            </w:pPr>
            <w:r w:rsidRPr="000B3F19">
              <w:rPr>
                <w:rFonts w:eastAsia="Times New Roman" w:cs="Arial"/>
                <w:color w:val="000000"/>
                <w:sz w:val="20"/>
                <w:szCs w:val="20"/>
              </w:rPr>
              <w:t>1&lt;BF&lt;3 = anecdotal evidence for CH2a</w:t>
            </w:r>
            <w:r w:rsidRPr="000B3F19">
              <w:rPr>
                <w:rFonts w:eastAsia="Times New Roman" w:cs="Arial"/>
                <w:color w:val="000000"/>
                <w:sz w:val="20"/>
                <w:szCs w:val="20"/>
                <w:vertAlign w:val="subscript"/>
              </w:rPr>
              <w:t>Full</w:t>
            </w:r>
          </w:p>
          <w:p w14:paraId="6BADCDDF" w14:textId="77777777" w:rsidR="000B3F19" w:rsidRPr="000B3F19" w:rsidRDefault="000B3F19" w:rsidP="000B3F19">
            <w:pPr>
              <w:spacing w:line="276" w:lineRule="auto"/>
              <w:ind w:firstLine="0"/>
              <w:jc w:val="left"/>
              <w:rPr>
                <w:rFonts w:eastAsia="Times New Roman" w:cs="Arial"/>
                <w:color w:val="000000"/>
                <w:sz w:val="20"/>
                <w:szCs w:val="20"/>
              </w:rPr>
            </w:pPr>
            <w:r w:rsidRPr="000B3F19">
              <w:rPr>
                <w:rFonts w:eastAsia="Times New Roman" w:cs="Arial"/>
                <w:color w:val="000000"/>
                <w:sz w:val="20"/>
                <w:szCs w:val="20"/>
              </w:rPr>
              <w:t>1&lt;BF&lt;10 = moderate evidence for CH2a</w:t>
            </w:r>
            <w:r w:rsidRPr="000B3F19">
              <w:rPr>
                <w:rFonts w:eastAsia="Times New Roman" w:cs="Arial"/>
                <w:color w:val="000000"/>
                <w:sz w:val="20"/>
                <w:szCs w:val="20"/>
                <w:vertAlign w:val="subscript"/>
              </w:rPr>
              <w:t>Full</w:t>
            </w:r>
            <w:r w:rsidRPr="000B3F19">
              <w:rPr>
                <w:rFonts w:eastAsia="Times New Roman" w:cs="Arial"/>
                <w:color w:val="000000"/>
              </w:rPr>
              <w:br/>
            </w:r>
          </w:p>
          <w:p w14:paraId="05BFDC6D" w14:textId="77777777" w:rsidR="000B3F19" w:rsidRPr="000B3F19" w:rsidRDefault="000B3F19" w:rsidP="000B3F19">
            <w:pPr>
              <w:spacing w:line="276" w:lineRule="auto"/>
              <w:ind w:firstLine="0"/>
              <w:jc w:val="left"/>
              <w:rPr>
                <w:rFonts w:eastAsia="Times New Roman" w:cs="Arial"/>
                <w:color w:val="000000"/>
                <w:sz w:val="20"/>
                <w:szCs w:val="20"/>
                <w:u w:val="single"/>
              </w:rPr>
            </w:pPr>
            <w:r w:rsidRPr="000B3F19">
              <w:rPr>
                <w:rFonts w:eastAsia="Times New Roman" w:cs="Arial"/>
                <w:color w:val="000000"/>
                <w:sz w:val="20"/>
                <w:szCs w:val="20"/>
                <w:u w:val="single"/>
              </w:rPr>
              <w:t>Conclusive evidence</w:t>
            </w:r>
          </w:p>
          <w:p w14:paraId="2C77F12E" w14:textId="77777777" w:rsidR="000B3F19" w:rsidRPr="000B3F19" w:rsidRDefault="000B3F19" w:rsidP="000B3F19">
            <w:pPr>
              <w:spacing w:line="276" w:lineRule="auto"/>
              <w:ind w:firstLine="0"/>
              <w:jc w:val="left"/>
              <w:rPr>
                <w:rFonts w:eastAsia="Times New Roman" w:cs="Arial"/>
                <w:color w:val="000000"/>
                <w:sz w:val="20"/>
                <w:szCs w:val="20"/>
              </w:rPr>
            </w:pPr>
            <w:r w:rsidRPr="000B3F19">
              <w:rPr>
                <w:rFonts w:eastAsia="Times New Roman" w:cs="Arial"/>
                <w:color w:val="000000"/>
                <w:sz w:val="20"/>
                <w:szCs w:val="20"/>
              </w:rPr>
              <w:t>10&lt;BF&lt;30 = strong evidence for CH2a</w:t>
            </w:r>
            <w:r w:rsidRPr="000B3F19">
              <w:rPr>
                <w:rFonts w:eastAsia="Times New Roman" w:cs="Arial"/>
                <w:color w:val="000000"/>
                <w:sz w:val="20"/>
                <w:szCs w:val="20"/>
                <w:vertAlign w:val="subscript"/>
              </w:rPr>
              <w:t>Full</w:t>
            </w:r>
          </w:p>
          <w:p w14:paraId="106C324D" w14:textId="77777777" w:rsidR="000B3F19" w:rsidRPr="000B3F19" w:rsidRDefault="000B3F19" w:rsidP="000B3F19">
            <w:pPr>
              <w:spacing w:line="276" w:lineRule="auto"/>
              <w:ind w:firstLine="0"/>
              <w:jc w:val="left"/>
              <w:rPr>
                <w:rFonts w:eastAsia="Times New Roman" w:cs="Arial"/>
                <w:color w:val="000000"/>
                <w:sz w:val="20"/>
                <w:szCs w:val="20"/>
              </w:rPr>
            </w:pPr>
            <w:r w:rsidRPr="000B3F19">
              <w:rPr>
                <w:rFonts w:eastAsia="Times New Roman" w:cs="Arial"/>
                <w:color w:val="000000"/>
                <w:sz w:val="20"/>
                <w:szCs w:val="20"/>
              </w:rPr>
              <w:t>BF&gt;30 = very strong evidence for CH2a</w:t>
            </w:r>
            <w:r w:rsidRPr="000B3F19">
              <w:rPr>
                <w:rFonts w:eastAsia="Times New Roman" w:cs="Arial"/>
                <w:color w:val="000000"/>
                <w:sz w:val="20"/>
                <w:szCs w:val="20"/>
                <w:vertAlign w:val="subscript"/>
              </w:rPr>
              <w:t>Full</w:t>
            </w:r>
          </w:p>
          <w:p w14:paraId="468815B4" w14:textId="77F65381" w:rsidR="24B7B8C8" w:rsidRPr="000B3F19" w:rsidRDefault="24B7B8C8" w:rsidP="000B3F19">
            <w:pPr>
              <w:pStyle w:val="NoSpacing"/>
              <w:jc w:val="left"/>
              <w:rPr>
                <w:sz w:val="20"/>
                <w:szCs w:val="20"/>
                <w:vertAlign w:val="subscript"/>
              </w:rPr>
            </w:pPr>
          </w:p>
          <w:p w14:paraId="665795C0" w14:textId="77777777" w:rsidR="00B65FE2" w:rsidRPr="000B3F19" w:rsidRDefault="00B65FE2" w:rsidP="000B3F19">
            <w:pPr>
              <w:pStyle w:val="NoSpacing"/>
              <w:jc w:val="left"/>
              <w:rPr>
                <w:sz w:val="20"/>
                <w:szCs w:val="20"/>
              </w:rPr>
            </w:pPr>
          </w:p>
        </w:tc>
        <w:tc>
          <w:tcPr>
            <w:tcW w:w="694" w:type="pct"/>
          </w:tcPr>
          <w:p w14:paraId="4918CD54" w14:textId="77777777" w:rsidR="00B65FE2" w:rsidRPr="000B3F19" w:rsidRDefault="00B65FE2" w:rsidP="000B3F19">
            <w:pPr>
              <w:pStyle w:val="NoSpacing"/>
              <w:jc w:val="left"/>
              <w:rPr>
                <w:sz w:val="20"/>
                <w:szCs w:val="20"/>
              </w:rPr>
            </w:pPr>
            <w:r w:rsidRPr="000B3F19">
              <w:rPr>
                <w:sz w:val="20"/>
                <w:szCs w:val="20"/>
              </w:rPr>
              <w:t xml:space="preserve">Conclusive evidence for this hypothesis will demonstrate that different hormonal profiles influence melatonin suppression. </w:t>
            </w:r>
          </w:p>
        </w:tc>
        <w:tc>
          <w:tcPr>
            <w:tcW w:w="694" w:type="pct"/>
          </w:tcPr>
          <w:p w14:paraId="5789DC8A" w14:textId="415D6969" w:rsidR="00B65FE2" w:rsidRPr="000B3F19" w:rsidRDefault="00B65FE2" w:rsidP="000B3F19">
            <w:pPr>
              <w:pStyle w:val="NoSpacing"/>
              <w:jc w:val="left"/>
              <w:rPr>
                <w:sz w:val="20"/>
                <w:szCs w:val="20"/>
              </w:rPr>
            </w:pPr>
            <w:r w:rsidRPr="000B3F19">
              <w:rPr>
                <w:sz w:val="20"/>
                <w:szCs w:val="20"/>
              </w:rPr>
              <w:t xml:space="preserve">To the best of our knowledge, no study has investigated melatonin suppression differences in the three participant groups included in this study. The outcomes of this analysis will provide the first account </w:t>
            </w:r>
            <w:r w:rsidR="009C5371">
              <w:rPr>
                <w:sz w:val="20"/>
                <w:szCs w:val="20"/>
              </w:rPr>
              <w:t>of the role of three different hormonal profiles in</w:t>
            </w:r>
            <w:r w:rsidRPr="000B3F19">
              <w:rPr>
                <w:sz w:val="20"/>
                <w:szCs w:val="20"/>
              </w:rPr>
              <w:t xml:space="preserve"> melatonin suppression. </w:t>
            </w:r>
          </w:p>
        </w:tc>
      </w:tr>
      <w:tr w:rsidR="00B65FE2" w:rsidRPr="00104E23" w14:paraId="5CD3B5FC" w14:textId="77777777" w:rsidTr="5CE66923">
        <w:trPr>
          <w:trHeight w:val="978"/>
        </w:trPr>
        <w:tc>
          <w:tcPr>
            <w:tcW w:w="694" w:type="pct"/>
          </w:tcPr>
          <w:p w14:paraId="1B413906" w14:textId="77777777" w:rsidR="00B65FE2" w:rsidRPr="000B3F19" w:rsidRDefault="00B65FE2" w:rsidP="000B3F19">
            <w:pPr>
              <w:pStyle w:val="NoSpacing"/>
              <w:jc w:val="left"/>
              <w:rPr>
                <w:sz w:val="20"/>
                <w:szCs w:val="20"/>
              </w:rPr>
            </w:pPr>
            <w:r w:rsidRPr="000B3F19">
              <w:rPr>
                <w:sz w:val="20"/>
                <w:szCs w:val="20"/>
              </w:rPr>
              <w:lastRenderedPageBreak/>
              <w:t>Do different hormonal profiles (NC group, MCOC group, HM group) influence melanopsin-mediated pupil responses?</w:t>
            </w:r>
          </w:p>
        </w:tc>
        <w:tc>
          <w:tcPr>
            <w:tcW w:w="694" w:type="pct"/>
          </w:tcPr>
          <w:p w14:paraId="30354FB5" w14:textId="77777777" w:rsidR="00B65FE2" w:rsidRPr="000B3F19" w:rsidRDefault="00B65FE2" w:rsidP="000B3F19">
            <w:pPr>
              <w:pStyle w:val="NoSpacing"/>
              <w:jc w:val="left"/>
              <w:rPr>
                <w:b/>
                <w:bCs/>
                <w:sz w:val="20"/>
                <w:szCs w:val="20"/>
              </w:rPr>
            </w:pPr>
            <w:r w:rsidRPr="000B3F19">
              <w:rPr>
                <w:b/>
                <w:bCs/>
                <w:sz w:val="20"/>
                <w:szCs w:val="20"/>
              </w:rPr>
              <w:t>CH2b</w:t>
            </w:r>
            <w:r w:rsidRPr="000B3F19">
              <w:rPr>
                <w:sz w:val="20"/>
                <w:szCs w:val="20"/>
              </w:rPr>
              <w:t>: We expect that a group effect (NC/MCOC/HM) on melanopsin-mediated pupil responses.</w:t>
            </w:r>
            <w:r w:rsidRPr="000B3F19">
              <w:rPr>
                <w:sz w:val="20"/>
                <w:szCs w:val="20"/>
              </w:rPr>
              <w:br/>
            </w:r>
            <w:r w:rsidRPr="000B3F19">
              <w:rPr>
                <w:sz w:val="20"/>
                <w:szCs w:val="20"/>
              </w:rPr>
              <w:br/>
              <w:t>Effect of interest: group</w:t>
            </w:r>
          </w:p>
        </w:tc>
        <w:tc>
          <w:tcPr>
            <w:tcW w:w="693" w:type="pct"/>
          </w:tcPr>
          <w:p w14:paraId="083F92E5" w14:textId="77777777" w:rsidR="00B65FE2" w:rsidRPr="000B3F19" w:rsidRDefault="00B65FE2" w:rsidP="000B3F19">
            <w:pPr>
              <w:pStyle w:val="NoSpacing"/>
              <w:jc w:val="left"/>
              <w:rPr>
                <w:sz w:val="20"/>
                <w:szCs w:val="20"/>
              </w:rPr>
            </w:pPr>
            <w:r w:rsidRPr="000B3F19">
              <w:rPr>
                <w:sz w:val="20"/>
                <w:szCs w:val="20"/>
              </w:rPr>
              <w:t>Based on BFDA results of CH3a (</w:t>
            </w:r>
            <w:proofErr w:type="spellStart"/>
            <w:r w:rsidRPr="000B3F19">
              <w:rPr>
                <w:sz w:val="20"/>
                <w:szCs w:val="20"/>
              </w:rPr>
              <w:t>N</w:t>
            </w:r>
            <w:r w:rsidRPr="000B3F19">
              <w:rPr>
                <w:sz w:val="20"/>
                <w:szCs w:val="20"/>
                <w:vertAlign w:val="subscript"/>
              </w:rPr>
              <w:t>max</w:t>
            </w:r>
            <w:proofErr w:type="spellEnd"/>
            <w:r w:rsidRPr="000B3F19">
              <w:rPr>
                <w:sz w:val="20"/>
                <w:szCs w:val="20"/>
                <w:vertAlign w:val="subscript"/>
              </w:rPr>
              <w:t xml:space="preserve"> </w:t>
            </w:r>
            <w:r w:rsidRPr="000B3F19">
              <w:rPr>
                <w:sz w:val="20"/>
                <w:szCs w:val="20"/>
              </w:rPr>
              <w:t>for each group = 12)</w:t>
            </w:r>
          </w:p>
        </w:tc>
        <w:tc>
          <w:tcPr>
            <w:tcW w:w="694" w:type="pct"/>
          </w:tcPr>
          <w:p w14:paraId="09F32141" w14:textId="77777777" w:rsidR="00B65FE2" w:rsidRPr="000B3F19" w:rsidRDefault="00B65FE2" w:rsidP="000B3F19">
            <w:pPr>
              <w:pStyle w:val="NoSpacing"/>
              <w:jc w:val="left"/>
              <w:rPr>
                <w:sz w:val="20"/>
                <w:szCs w:val="20"/>
              </w:rPr>
            </w:pPr>
            <w:r w:rsidRPr="000B3F19">
              <w:rPr>
                <w:sz w:val="20"/>
                <w:szCs w:val="20"/>
              </w:rPr>
              <w:t>Linear mixed effects model for melatonin suppression</w:t>
            </w:r>
          </w:p>
          <w:p w14:paraId="4F4F67B8" w14:textId="77777777" w:rsidR="00B65FE2" w:rsidRPr="000B3F19" w:rsidRDefault="00B65FE2" w:rsidP="000B3F19">
            <w:pPr>
              <w:pStyle w:val="NoSpacing"/>
              <w:jc w:val="left"/>
              <w:rPr>
                <w:sz w:val="20"/>
                <w:szCs w:val="20"/>
              </w:rPr>
            </w:pPr>
          </w:p>
          <w:p w14:paraId="344AE505" w14:textId="77777777" w:rsidR="00B65FE2" w:rsidRPr="000B3F19" w:rsidRDefault="00B65FE2" w:rsidP="000B3F19">
            <w:pPr>
              <w:pStyle w:val="NoSpacing"/>
              <w:jc w:val="left"/>
              <w:rPr>
                <w:sz w:val="20"/>
                <w:szCs w:val="20"/>
              </w:rPr>
            </w:pPr>
            <w:r w:rsidRPr="000B3F19">
              <w:rPr>
                <w:sz w:val="20"/>
                <w:szCs w:val="20"/>
              </w:rPr>
              <w:t>Fixed effects: group (categorical with three levels: NC, MCOC and HM)</w:t>
            </w:r>
          </w:p>
          <w:p w14:paraId="3840CF3A" w14:textId="77777777" w:rsidR="00B65FE2" w:rsidRPr="000B3F19" w:rsidRDefault="00B65FE2" w:rsidP="000B3F19">
            <w:pPr>
              <w:pStyle w:val="NoSpacing"/>
              <w:jc w:val="left"/>
              <w:rPr>
                <w:sz w:val="20"/>
                <w:szCs w:val="20"/>
              </w:rPr>
            </w:pPr>
          </w:p>
          <w:p w14:paraId="295AB8D1" w14:textId="10991B7B" w:rsidR="00B65FE2" w:rsidRPr="000B3F19" w:rsidRDefault="00B65FE2" w:rsidP="000B3F19">
            <w:pPr>
              <w:pStyle w:val="NoSpacing"/>
              <w:jc w:val="left"/>
              <w:rPr>
                <w:sz w:val="20"/>
                <w:szCs w:val="20"/>
              </w:rPr>
            </w:pPr>
            <w:r w:rsidRPr="000B3F19">
              <w:rPr>
                <w:sz w:val="20"/>
                <w:szCs w:val="20"/>
              </w:rPr>
              <w:t>Random effects: participant ID (categorical with levels corresponding to participant number</w:t>
            </w:r>
            <w:r w:rsidR="000B3F19">
              <w:rPr>
                <w:sz w:val="20"/>
                <w:szCs w:val="20"/>
              </w:rPr>
              <w:t>)</w:t>
            </w:r>
          </w:p>
        </w:tc>
        <w:tc>
          <w:tcPr>
            <w:tcW w:w="837" w:type="pct"/>
          </w:tcPr>
          <w:p w14:paraId="5EEE24CC" w14:textId="77777777" w:rsidR="000B3F19" w:rsidRPr="000B3F19" w:rsidRDefault="000B3F19" w:rsidP="000B3F19">
            <w:pPr>
              <w:spacing w:line="276" w:lineRule="auto"/>
              <w:ind w:firstLine="0"/>
              <w:jc w:val="left"/>
              <w:rPr>
                <w:rFonts w:eastAsia="Times New Roman" w:cs="Arial"/>
                <w:color w:val="000000"/>
                <w:sz w:val="20"/>
                <w:szCs w:val="20"/>
                <w:u w:val="single"/>
              </w:rPr>
            </w:pPr>
            <w:r w:rsidRPr="000B3F19">
              <w:rPr>
                <w:rFonts w:eastAsia="Times New Roman" w:cs="Arial"/>
                <w:color w:val="000000"/>
                <w:sz w:val="20"/>
                <w:szCs w:val="20"/>
                <w:u w:val="single"/>
              </w:rPr>
              <w:t>Inconclusive evidence</w:t>
            </w:r>
          </w:p>
          <w:p w14:paraId="71069EBE" w14:textId="77777777" w:rsidR="000B3F19" w:rsidRPr="000B3F19" w:rsidRDefault="000B3F19" w:rsidP="000B3F19">
            <w:pPr>
              <w:spacing w:line="276" w:lineRule="auto"/>
              <w:ind w:firstLine="0"/>
              <w:jc w:val="left"/>
              <w:rPr>
                <w:rFonts w:eastAsia="Times New Roman" w:cs="Arial"/>
                <w:color w:val="000000"/>
                <w:sz w:val="20"/>
                <w:szCs w:val="20"/>
              </w:rPr>
            </w:pPr>
            <w:r w:rsidRPr="000B3F19">
              <w:rPr>
                <w:rFonts w:eastAsia="Times New Roman" w:cs="Arial"/>
                <w:color w:val="000000"/>
                <w:sz w:val="20"/>
                <w:szCs w:val="20"/>
              </w:rPr>
              <w:t>1&lt;BF&lt;3 = anecdotal evidence for CH2b</w:t>
            </w:r>
            <w:r w:rsidRPr="000B3F19">
              <w:rPr>
                <w:rFonts w:eastAsia="Times New Roman" w:cs="Arial"/>
                <w:color w:val="000000"/>
                <w:sz w:val="20"/>
                <w:szCs w:val="20"/>
                <w:vertAlign w:val="subscript"/>
              </w:rPr>
              <w:t>Full</w:t>
            </w:r>
          </w:p>
          <w:p w14:paraId="2604C9CC" w14:textId="77777777" w:rsidR="000B3F19" w:rsidRPr="000B3F19" w:rsidRDefault="000B3F19" w:rsidP="000B3F19">
            <w:pPr>
              <w:spacing w:line="276" w:lineRule="auto"/>
              <w:ind w:firstLine="0"/>
              <w:jc w:val="left"/>
              <w:rPr>
                <w:rFonts w:eastAsia="Times New Roman" w:cs="Arial"/>
                <w:color w:val="000000"/>
                <w:sz w:val="20"/>
                <w:szCs w:val="20"/>
              </w:rPr>
            </w:pPr>
            <w:r w:rsidRPr="000B3F19">
              <w:rPr>
                <w:rFonts w:eastAsia="Times New Roman" w:cs="Arial"/>
                <w:color w:val="000000"/>
                <w:sz w:val="20"/>
                <w:szCs w:val="20"/>
              </w:rPr>
              <w:t>1&lt;BF&lt;10 = moderate evidence for CH2b</w:t>
            </w:r>
            <w:r w:rsidRPr="000B3F19">
              <w:rPr>
                <w:rFonts w:eastAsia="Times New Roman" w:cs="Arial"/>
                <w:color w:val="000000"/>
                <w:sz w:val="20"/>
                <w:szCs w:val="20"/>
                <w:vertAlign w:val="subscript"/>
              </w:rPr>
              <w:t>Full</w:t>
            </w:r>
            <w:r w:rsidRPr="000B3F19">
              <w:rPr>
                <w:rFonts w:eastAsia="Times New Roman" w:cs="Arial"/>
                <w:color w:val="000000"/>
              </w:rPr>
              <w:br/>
            </w:r>
          </w:p>
          <w:p w14:paraId="20BE6ACE" w14:textId="77777777" w:rsidR="000B3F19" w:rsidRPr="000B3F19" w:rsidRDefault="000B3F19" w:rsidP="000B3F19">
            <w:pPr>
              <w:spacing w:line="276" w:lineRule="auto"/>
              <w:ind w:firstLine="0"/>
              <w:jc w:val="left"/>
              <w:rPr>
                <w:rFonts w:eastAsia="Times New Roman" w:cs="Arial"/>
                <w:color w:val="000000"/>
                <w:sz w:val="20"/>
                <w:szCs w:val="20"/>
                <w:u w:val="single"/>
              </w:rPr>
            </w:pPr>
            <w:r w:rsidRPr="000B3F19">
              <w:rPr>
                <w:rFonts w:eastAsia="Times New Roman" w:cs="Arial"/>
                <w:color w:val="000000"/>
                <w:sz w:val="20"/>
                <w:szCs w:val="20"/>
                <w:u w:val="single"/>
              </w:rPr>
              <w:t>Conclusive evidence</w:t>
            </w:r>
          </w:p>
          <w:p w14:paraId="4414368E" w14:textId="77777777" w:rsidR="000B3F19" w:rsidRPr="000B3F19" w:rsidRDefault="000B3F19" w:rsidP="000B3F19">
            <w:pPr>
              <w:spacing w:line="276" w:lineRule="auto"/>
              <w:ind w:firstLine="0"/>
              <w:jc w:val="left"/>
              <w:rPr>
                <w:rFonts w:eastAsia="Times New Roman" w:cs="Arial"/>
                <w:color w:val="000000"/>
                <w:sz w:val="20"/>
                <w:szCs w:val="20"/>
              </w:rPr>
            </w:pPr>
            <w:r w:rsidRPr="000B3F19">
              <w:rPr>
                <w:rFonts w:eastAsia="Times New Roman" w:cs="Arial"/>
                <w:color w:val="000000"/>
                <w:sz w:val="20"/>
                <w:szCs w:val="20"/>
              </w:rPr>
              <w:t>10&lt;BF&lt;30 = strong evidence for CH2b</w:t>
            </w:r>
            <w:r w:rsidRPr="000B3F19">
              <w:rPr>
                <w:rFonts w:eastAsia="Times New Roman" w:cs="Arial"/>
                <w:color w:val="000000"/>
                <w:sz w:val="20"/>
                <w:szCs w:val="20"/>
                <w:vertAlign w:val="subscript"/>
              </w:rPr>
              <w:t>Full</w:t>
            </w:r>
          </w:p>
          <w:p w14:paraId="567DB7A2" w14:textId="77777777" w:rsidR="000B3F19" w:rsidRPr="000B3F19" w:rsidRDefault="000B3F19" w:rsidP="000B3F19">
            <w:pPr>
              <w:spacing w:line="276" w:lineRule="auto"/>
              <w:ind w:firstLine="0"/>
              <w:jc w:val="left"/>
              <w:rPr>
                <w:rFonts w:eastAsia="Times New Roman" w:cs="Arial"/>
                <w:color w:val="000000"/>
                <w:sz w:val="20"/>
                <w:szCs w:val="20"/>
              </w:rPr>
            </w:pPr>
            <w:r w:rsidRPr="000B3F19">
              <w:rPr>
                <w:rFonts w:eastAsia="Times New Roman" w:cs="Arial"/>
                <w:color w:val="000000"/>
                <w:sz w:val="20"/>
                <w:szCs w:val="20"/>
              </w:rPr>
              <w:t>BF&gt;30 = very strong evidence for CH2b</w:t>
            </w:r>
            <w:r w:rsidRPr="000B3F19">
              <w:rPr>
                <w:rFonts w:eastAsia="Times New Roman" w:cs="Arial"/>
                <w:color w:val="000000"/>
                <w:sz w:val="20"/>
                <w:szCs w:val="20"/>
                <w:vertAlign w:val="subscript"/>
              </w:rPr>
              <w:t>Full</w:t>
            </w:r>
          </w:p>
          <w:p w14:paraId="3E1FA416" w14:textId="4BA2BDC5" w:rsidR="24B7B8C8" w:rsidRPr="000B3F19" w:rsidRDefault="24B7B8C8" w:rsidP="000B3F19">
            <w:pPr>
              <w:pStyle w:val="NoSpacing"/>
              <w:jc w:val="left"/>
              <w:rPr>
                <w:sz w:val="20"/>
                <w:szCs w:val="20"/>
                <w:vertAlign w:val="subscript"/>
              </w:rPr>
            </w:pPr>
          </w:p>
          <w:p w14:paraId="1452B9C0" w14:textId="77777777" w:rsidR="00B65FE2" w:rsidRPr="000B3F19" w:rsidRDefault="00B65FE2" w:rsidP="000B3F19">
            <w:pPr>
              <w:pStyle w:val="NoSpacing"/>
              <w:jc w:val="left"/>
              <w:rPr>
                <w:sz w:val="20"/>
                <w:szCs w:val="20"/>
              </w:rPr>
            </w:pPr>
          </w:p>
        </w:tc>
        <w:tc>
          <w:tcPr>
            <w:tcW w:w="694" w:type="pct"/>
          </w:tcPr>
          <w:p w14:paraId="44ACC1B5" w14:textId="77777777" w:rsidR="00B65FE2" w:rsidRPr="000B3F19" w:rsidRDefault="00B65FE2" w:rsidP="000B3F19">
            <w:pPr>
              <w:pStyle w:val="NoSpacing"/>
              <w:jc w:val="left"/>
              <w:rPr>
                <w:sz w:val="20"/>
                <w:szCs w:val="20"/>
              </w:rPr>
            </w:pPr>
            <w:r w:rsidRPr="000B3F19">
              <w:rPr>
                <w:sz w:val="20"/>
                <w:szCs w:val="20"/>
              </w:rPr>
              <w:t xml:space="preserve">Conclusive evidence for this hypothesis will demonstrate that different hormonal profiles influence melanopsin sensitivity. </w:t>
            </w:r>
          </w:p>
        </w:tc>
        <w:tc>
          <w:tcPr>
            <w:tcW w:w="694" w:type="pct"/>
          </w:tcPr>
          <w:p w14:paraId="3290171E" w14:textId="0893039D" w:rsidR="00B65FE2" w:rsidRPr="000B3F19" w:rsidRDefault="00B65FE2" w:rsidP="000B3F19">
            <w:pPr>
              <w:pStyle w:val="NoSpacing"/>
              <w:jc w:val="left"/>
              <w:rPr>
                <w:sz w:val="20"/>
                <w:szCs w:val="20"/>
              </w:rPr>
            </w:pPr>
            <w:r w:rsidRPr="000B3F19">
              <w:rPr>
                <w:sz w:val="20"/>
                <w:szCs w:val="20"/>
              </w:rPr>
              <w:t xml:space="preserve">The outcome of this analysis will inform whether group differences in light sensitivity are present at the retinal level (quantified by melanopsin-mediated pupil responses). This analysis builds on the one performed in CH2a, to assess where, along the non-visual pathway, group differences are to be observed. Refer to Table </w:t>
            </w:r>
            <w:r w:rsidR="00672953">
              <w:rPr>
                <w:sz w:val="20"/>
                <w:szCs w:val="20"/>
              </w:rPr>
              <w:t>7</w:t>
            </w:r>
            <w:r w:rsidRPr="000B3F19">
              <w:rPr>
                <w:sz w:val="20"/>
                <w:szCs w:val="20"/>
              </w:rPr>
              <w:t xml:space="preserve"> for detailed interpretation.</w:t>
            </w:r>
          </w:p>
        </w:tc>
      </w:tr>
      <w:tr w:rsidR="00B65FE2" w:rsidRPr="00104E23" w14:paraId="3B029DFD" w14:textId="77777777" w:rsidTr="5CE66923">
        <w:trPr>
          <w:trHeight w:val="311"/>
        </w:trPr>
        <w:tc>
          <w:tcPr>
            <w:tcW w:w="5000" w:type="pct"/>
            <w:gridSpan w:val="7"/>
          </w:tcPr>
          <w:p w14:paraId="40F96774" w14:textId="77777777" w:rsidR="00B65FE2" w:rsidRPr="00104E23" w:rsidRDefault="00B65FE2" w:rsidP="00B65FE2">
            <w:pPr>
              <w:ind w:firstLine="0"/>
              <w:rPr>
                <w:rFonts w:cs="Arial"/>
                <w:sz w:val="20"/>
                <w:szCs w:val="20"/>
              </w:rPr>
            </w:pPr>
            <w:r w:rsidRPr="707573F5">
              <w:rPr>
                <w:rFonts w:cs="Arial"/>
                <w:b/>
                <w:bCs/>
                <w:sz w:val="20"/>
                <w:szCs w:val="20"/>
              </w:rPr>
              <w:t>Confirmatory Hypothesis 3 (within-group, NC group)</w:t>
            </w:r>
          </w:p>
        </w:tc>
      </w:tr>
      <w:tr w:rsidR="00B65FE2" w:rsidRPr="00104E23" w14:paraId="3EC504B1" w14:textId="77777777" w:rsidTr="5CE66923">
        <w:trPr>
          <w:trHeight w:val="978"/>
        </w:trPr>
        <w:tc>
          <w:tcPr>
            <w:tcW w:w="694" w:type="pct"/>
          </w:tcPr>
          <w:p w14:paraId="6E73CC5F" w14:textId="77777777" w:rsidR="00B65FE2" w:rsidRPr="000B3F19" w:rsidRDefault="00B65FE2" w:rsidP="000B3F19">
            <w:pPr>
              <w:pStyle w:val="NoSpacing"/>
              <w:jc w:val="left"/>
              <w:rPr>
                <w:sz w:val="20"/>
                <w:szCs w:val="20"/>
              </w:rPr>
            </w:pPr>
            <w:r w:rsidRPr="000B3F19">
              <w:rPr>
                <w:sz w:val="20"/>
                <w:szCs w:val="20"/>
              </w:rPr>
              <w:t>Do endogenous sex steroid hormones influence melatonin suppression across the menstrual cycle?</w:t>
            </w:r>
          </w:p>
        </w:tc>
        <w:tc>
          <w:tcPr>
            <w:tcW w:w="694" w:type="pct"/>
          </w:tcPr>
          <w:p w14:paraId="6B745411" w14:textId="77777777" w:rsidR="00B65FE2" w:rsidRPr="000B3F19" w:rsidRDefault="00B65FE2" w:rsidP="000B3F19">
            <w:pPr>
              <w:pStyle w:val="NoSpacing"/>
              <w:jc w:val="left"/>
              <w:rPr>
                <w:sz w:val="20"/>
                <w:szCs w:val="20"/>
              </w:rPr>
            </w:pPr>
            <w:r w:rsidRPr="000B3F19">
              <w:rPr>
                <w:b/>
                <w:bCs/>
                <w:sz w:val="20"/>
                <w:szCs w:val="20"/>
              </w:rPr>
              <w:t>CH3a</w:t>
            </w:r>
            <w:r w:rsidRPr="000B3F19">
              <w:rPr>
                <w:sz w:val="20"/>
                <w:szCs w:val="20"/>
              </w:rPr>
              <w:t>:</w:t>
            </w:r>
            <w:r w:rsidRPr="000B3F19">
              <w:rPr>
                <w:rFonts w:eastAsia="Arial"/>
                <w:sz w:val="20"/>
                <w:szCs w:val="20"/>
              </w:rPr>
              <w:t xml:space="preserve"> </w:t>
            </w:r>
            <w:r w:rsidRPr="000B3F19">
              <w:rPr>
                <w:sz w:val="20"/>
                <w:szCs w:val="20"/>
              </w:rPr>
              <w:t xml:space="preserve">In naturally cycling individuals (NC group), we hypothesise an effect of the endogenous sex steroid hormones </w:t>
            </w:r>
            <w:proofErr w:type="spellStart"/>
            <w:r w:rsidRPr="000B3F19">
              <w:rPr>
                <w:sz w:val="20"/>
                <w:szCs w:val="20"/>
              </w:rPr>
              <w:t>estradiol</w:t>
            </w:r>
            <w:proofErr w:type="spellEnd"/>
            <w:r w:rsidRPr="000B3F19">
              <w:rPr>
                <w:sz w:val="20"/>
                <w:szCs w:val="20"/>
              </w:rPr>
              <w:t xml:space="preserve"> (E2) and progesterone (P4) on light-induced melatonin suppression. </w:t>
            </w:r>
          </w:p>
          <w:p w14:paraId="68C9FE3E" w14:textId="77777777" w:rsidR="00B65FE2" w:rsidRPr="000B3F19" w:rsidRDefault="00B65FE2" w:rsidP="000B3F19">
            <w:pPr>
              <w:pStyle w:val="NoSpacing"/>
              <w:jc w:val="left"/>
              <w:rPr>
                <w:sz w:val="20"/>
                <w:szCs w:val="20"/>
              </w:rPr>
            </w:pPr>
          </w:p>
          <w:p w14:paraId="282B8A49" w14:textId="77777777" w:rsidR="00B65FE2" w:rsidRPr="000B3F19" w:rsidRDefault="00B65FE2" w:rsidP="000B3F19">
            <w:pPr>
              <w:pStyle w:val="NoSpacing"/>
              <w:jc w:val="left"/>
              <w:rPr>
                <w:sz w:val="20"/>
                <w:szCs w:val="20"/>
              </w:rPr>
            </w:pPr>
            <w:r w:rsidRPr="000B3F19">
              <w:rPr>
                <w:sz w:val="20"/>
                <w:szCs w:val="20"/>
              </w:rPr>
              <w:lastRenderedPageBreak/>
              <w:t xml:space="preserve">Effect of interest: E2 levels and P4 levels </w:t>
            </w:r>
          </w:p>
        </w:tc>
        <w:tc>
          <w:tcPr>
            <w:tcW w:w="693" w:type="pct"/>
          </w:tcPr>
          <w:p w14:paraId="2964CC5E" w14:textId="77777777" w:rsidR="00B65FE2" w:rsidRPr="000B3F19" w:rsidRDefault="00B65FE2" w:rsidP="000B3F19">
            <w:pPr>
              <w:pStyle w:val="NoSpacing"/>
              <w:jc w:val="left"/>
              <w:rPr>
                <w:sz w:val="20"/>
                <w:szCs w:val="20"/>
              </w:rPr>
            </w:pPr>
            <w:r w:rsidRPr="000B3F19">
              <w:rPr>
                <w:sz w:val="20"/>
                <w:szCs w:val="20"/>
              </w:rPr>
              <w:lastRenderedPageBreak/>
              <w:t>Fixed-n Bayes Factor Design Analysis (</w:t>
            </w:r>
            <w:proofErr w:type="spellStart"/>
            <w:r w:rsidRPr="000B3F19">
              <w:rPr>
                <w:sz w:val="20"/>
                <w:szCs w:val="20"/>
              </w:rPr>
              <w:t>N</w:t>
            </w:r>
            <w:r w:rsidRPr="000B3F19">
              <w:rPr>
                <w:sz w:val="20"/>
                <w:szCs w:val="20"/>
                <w:vertAlign w:val="subscript"/>
              </w:rPr>
              <w:t>max</w:t>
            </w:r>
            <w:proofErr w:type="spellEnd"/>
            <w:r w:rsidRPr="000B3F19">
              <w:rPr>
                <w:sz w:val="20"/>
                <w:szCs w:val="20"/>
                <w:vertAlign w:val="subscript"/>
              </w:rPr>
              <w:t xml:space="preserve"> </w:t>
            </w:r>
            <w:r w:rsidRPr="000B3F19">
              <w:rPr>
                <w:sz w:val="20"/>
                <w:szCs w:val="20"/>
              </w:rPr>
              <w:t>= 12)</w:t>
            </w:r>
          </w:p>
        </w:tc>
        <w:tc>
          <w:tcPr>
            <w:tcW w:w="694" w:type="pct"/>
          </w:tcPr>
          <w:p w14:paraId="1B00EE52" w14:textId="77777777" w:rsidR="00B65FE2" w:rsidRPr="000B3F19" w:rsidRDefault="00B65FE2" w:rsidP="000B3F19">
            <w:pPr>
              <w:pStyle w:val="NoSpacing"/>
              <w:jc w:val="left"/>
              <w:rPr>
                <w:sz w:val="20"/>
                <w:szCs w:val="20"/>
              </w:rPr>
            </w:pPr>
            <w:r w:rsidRPr="000B3F19">
              <w:rPr>
                <w:sz w:val="20"/>
                <w:szCs w:val="20"/>
              </w:rPr>
              <w:t>Linear mixed effects model for melatonin suppression</w:t>
            </w:r>
          </w:p>
          <w:p w14:paraId="0DC36DCC" w14:textId="77777777" w:rsidR="00B65FE2" w:rsidRPr="000B3F19" w:rsidRDefault="00B65FE2" w:rsidP="000B3F19">
            <w:pPr>
              <w:pStyle w:val="NoSpacing"/>
              <w:jc w:val="left"/>
              <w:rPr>
                <w:sz w:val="20"/>
                <w:szCs w:val="20"/>
              </w:rPr>
            </w:pPr>
          </w:p>
          <w:p w14:paraId="1D57F2D1" w14:textId="77777777" w:rsidR="00B65FE2" w:rsidRPr="000B3F19" w:rsidRDefault="00B65FE2" w:rsidP="000B3F19">
            <w:pPr>
              <w:pStyle w:val="NoSpacing"/>
              <w:jc w:val="left"/>
              <w:rPr>
                <w:sz w:val="20"/>
                <w:szCs w:val="20"/>
              </w:rPr>
            </w:pPr>
            <w:r w:rsidRPr="000B3F19">
              <w:rPr>
                <w:sz w:val="20"/>
                <w:szCs w:val="20"/>
              </w:rPr>
              <w:t>Fixed effects: E2 levels (continuous) and P4 level (continuous)</w:t>
            </w:r>
          </w:p>
          <w:p w14:paraId="520B0F3F" w14:textId="2421C455" w:rsidR="00B65FE2" w:rsidRPr="000B3F19" w:rsidRDefault="00B65FE2" w:rsidP="000B3F19">
            <w:pPr>
              <w:pStyle w:val="NoSpacing"/>
              <w:jc w:val="left"/>
              <w:rPr>
                <w:sz w:val="20"/>
                <w:szCs w:val="20"/>
              </w:rPr>
            </w:pPr>
            <w:r w:rsidRPr="000B3F19">
              <w:rPr>
                <w:sz w:val="20"/>
                <w:szCs w:val="20"/>
              </w:rPr>
              <w:br/>
              <w:t>Random effects:</w:t>
            </w:r>
            <w:r w:rsidR="00630261">
              <w:rPr>
                <w:sz w:val="20"/>
                <w:szCs w:val="20"/>
              </w:rPr>
              <w:t xml:space="preserve"> intercept and slopes for E2 and P4 levels by</w:t>
            </w:r>
            <w:r w:rsidRPr="000B3F19">
              <w:rPr>
                <w:sz w:val="20"/>
                <w:szCs w:val="20"/>
              </w:rPr>
              <w:t xml:space="preserve"> </w:t>
            </w:r>
            <w:r w:rsidR="00D66D7A" w:rsidRPr="000B3F19">
              <w:rPr>
                <w:sz w:val="20"/>
                <w:szCs w:val="20"/>
              </w:rPr>
              <w:t xml:space="preserve">participant ID </w:t>
            </w:r>
            <w:r w:rsidR="00D66D7A" w:rsidRPr="000B3F19">
              <w:rPr>
                <w:sz w:val="20"/>
                <w:szCs w:val="20"/>
              </w:rPr>
              <w:lastRenderedPageBreak/>
              <w:t>(categorical with levels corresponding to participant number</w:t>
            </w:r>
            <w:r w:rsidR="00D66D7A">
              <w:rPr>
                <w:sz w:val="20"/>
                <w:szCs w:val="20"/>
              </w:rPr>
              <w:t>)</w:t>
            </w:r>
          </w:p>
        </w:tc>
        <w:tc>
          <w:tcPr>
            <w:tcW w:w="837" w:type="pct"/>
          </w:tcPr>
          <w:p w14:paraId="05168D90" w14:textId="77777777" w:rsidR="00D66D7A" w:rsidRPr="00D66D7A" w:rsidRDefault="00D66D7A" w:rsidP="00D66D7A">
            <w:pPr>
              <w:spacing w:line="276" w:lineRule="auto"/>
              <w:ind w:firstLine="0"/>
              <w:jc w:val="left"/>
              <w:rPr>
                <w:rFonts w:eastAsia="Times New Roman" w:cs="Arial"/>
                <w:color w:val="000000"/>
                <w:sz w:val="20"/>
                <w:szCs w:val="20"/>
                <w:u w:val="single"/>
              </w:rPr>
            </w:pPr>
            <w:r w:rsidRPr="00D66D7A">
              <w:rPr>
                <w:rFonts w:eastAsia="Times New Roman" w:cs="Arial"/>
                <w:color w:val="000000"/>
                <w:sz w:val="20"/>
                <w:szCs w:val="20"/>
                <w:u w:val="single"/>
              </w:rPr>
              <w:lastRenderedPageBreak/>
              <w:t>Inconclusive evidence</w:t>
            </w:r>
          </w:p>
          <w:p w14:paraId="4D418CB4"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1&lt;BF&lt;3 = anecdotal evidence for CH3a</w:t>
            </w:r>
            <w:r w:rsidRPr="00D66D7A">
              <w:rPr>
                <w:rFonts w:eastAsia="Times New Roman" w:cs="Arial"/>
                <w:color w:val="000000"/>
                <w:sz w:val="20"/>
                <w:szCs w:val="20"/>
                <w:vertAlign w:val="subscript"/>
              </w:rPr>
              <w:t>Full</w:t>
            </w:r>
          </w:p>
          <w:p w14:paraId="66BFA27D"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1&lt;BF&lt;10 = moderate evidence for CH3a</w:t>
            </w:r>
            <w:r w:rsidRPr="00D66D7A">
              <w:rPr>
                <w:rFonts w:eastAsia="Times New Roman" w:cs="Arial"/>
                <w:color w:val="000000"/>
                <w:sz w:val="20"/>
                <w:szCs w:val="20"/>
                <w:vertAlign w:val="subscript"/>
              </w:rPr>
              <w:t>Full</w:t>
            </w:r>
            <w:r w:rsidRPr="00D66D7A">
              <w:rPr>
                <w:rFonts w:eastAsia="Times New Roman" w:cs="Arial"/>
                <w:color w:val="000000"/>
              </w:rPr>
              <w:br/>
            </w:r>
          </w:p>
          <w:p w14:paraId="60C99217" w14:textId="77777777" w:rsidR="00D66D7A" w:rsidRPr="00D66D7A" w:rsidRDefault="00D66D7A" w:rsidP="00D66D7A">
            <w:pPr>
              <w:spacing w:line="276" w:lineRule="auto"/>
              <w:ind w:firstLine="0"/>
              <w:jc w:val="left"/>
              <w:rPr>
                <w:rFonts w:eastAsia="Times New Roman" w:cs="Arial"/>
                <w:color w:val="000000"/>
                <w:sz w:val="20"/>
                <w:szCs w:val="20"/>
                <w:u w:val="single"/>
              </w:rPr>
            </w:pPr>
            <w:r w:rsidRPr="00D66D7A">
              <w:rPr>
                <w:rFonts w:eastAsia="Times New Roman" w:cs="Arial"/>
                <w:color w:val="000000"/>
                <w:sz w:val="20"/>
                <w:szCs w:val="20"/>
                <w:u w:val="single"/>
              </w:rPr>
              <w:t>Conclusive evidence</w:t>
            </w:r>
          </w:p>
          <w:p w14:paraId="2FF65FC9"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10&lt;BF&lt;30 = strong evidence for CH3a</w:t>
            </w:r>
            <w:r w:rsidRPr="00D66D7A">
              <w:rPr>
                <w:rFonts w:eastAsia="Times New Roman" w:cs="Arial"/>
                <w:color w:val="000000"/>
                <w:sz w:val="20"/>
                <w:szCs w:val="20"/>
                <w:vertAlign w:val="subscript"/>
              </w:rPr>
              <w:t>Full</w:t>
            </w:r>
          </w:p>
          <w:p w14:paraId="19C57D49"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BF&gt;30 = very strong evidence for CH3a</w:t>
            </w:r>
            <w:r w:rsidRPr="00D66D7A">
              <w:rPr>
                <w:rFonts w:eastAsia="Times New Roman" w:cs="Arial"/>
                <w:color w:val="000000"/>
                <w:sz w:val="20"/>
                <w:szCs w:val="20"/>
                <w:vertAlign w:val="subscript"/>
              </w:rPr>
              <w:t>Full</w:t>
            </w:r>
          </w:p>
          <w:p w14:paraId="443CAE2D" w14:textId="40BD2619" w:rsidR="00B65FE2" w:rsidRPr="000B3F19" w:rsidRDefault="00B65FE2" w:rsidP="000B3F19">
            <w:pPr>
              <w:pStyle w:val="NoSpacing"/>
              <w:jc w:val="left"/>
              <w:rPr>
                <w:sz w:val="20"/>
                <w:szCs w:val="20"/>
              </w:rPr>
            </w:pPr>
          </w:p>
        </w:tc>
        <w:tc>
          <w:tcPr>
            <w:tcW w:w="694" w:type="pct"/>
          </w:tcPr>
          <w:p w14:paraId="66F2BC47" w14:textId="77777777" w:rsidR="00B65FE2" w:rsidRPr="000B3F19" w:rsidRDefault="00B65FE2" w:rsidP="000B3F19">
            <w:pPr>
              <w:pStyle w:val="NoSpacing"/>
              <w:jc w:val="left"/>
              <w:rPr>
                <w:sz w:val="20"/>
                <w:szCs w:val="20"/>
              </w:rPr>
            </w:pPr>
            <w:r w:rsidRPr="000B3F19">
              <w:rPr>
                <w:sz w:val="20"/>
                <w:szCs w:val="20"/>
              </w:rPr>
              <w:t>Conclusive evidence for this hypothesis will demonstrate that absolute E2 and P4 levels influence melatonin suppression in naturally cycling individuals.</w:t>
            </w:r>
          </w:p>
        </w:tc>
        <w:tc>
          <w:tcPr>
            <w:tcW w:w="694" w:type="pct"/>
          </w:tcPr>
          <w:p w14:paraId="092DD806" w14:textId="77777777" w:rsidR="00B65FE2" w:rsidRPr="000B3F19" w:rsidRDefault="00B65FE2" w:rsidP="000B3F19">
            <w:pPr>
              <w:pStyle w:val="NoSpacing"/>
              <w:jc w:val="left"/>
              <w:rPr>
                <w:sz w:val="20"/>
                <w:szCs w:val="20"/>
              </w:rPr>
            </w:pPr>
            <w:r w:rsidRPr="000B3F19">
              <w:rPr>
                <w:sz w:val="20"/>
                <w:szCs w:val="20"/>
              </w:rPr>
              <w:t xml:space="preserve">To our knowledge, only one between-subject study indicated that salivary E2 and P4 did not have an effect on melatonin suppression in female participants. Thus, the outcome of this within-subject analysis will inform whether levels of endogenous sex </w:t>
            </w:r>
            <w:r w:rsidRPr="000B3F19">
              <w:rPr>
                <w:sz w:val="20"/>
                <w:szCs w:val="20"/>
              </w:rPr>
              <w:lastRenderedPageBreak/>
              <w:t>steroid hormones across the menstrual cycle, reliably measured in plasma rather than saliva, influence melatonin suppression.</w:t>
            </w:r>
          </w:p>
        </w:tc>
      </w:tr>
      <w:tr w:rsidR="00B65FE2" w:rsidRPr="00104E23" w14:paraId="2DFBD6B0" w14:textId="77777777" w:rsidTr="5CE66923">
        <w:trPr>
          <w:trHeight w:val="978"/>
        </w:trPr>
        <w:tc>
          <w:tcPr>
            <w:tcW w:w="694" w:type="pct"/>
          </w:tcPr>
          <w:p w14:paraId="2751E214" w14:textId="77777777" w:rsidR="00B65FE2" w:rsidRPr="000B3F19" w:rsidRDefault="00B65FE2" w:rsidP="000B3F19">
            <w:pPr>
              <w:pStyle w:val="NoSpacing"/>
              <w:jc w:val="left"/>
              <w:rPr>
                <w:sz w:val="20"/>
                <w:szCs w:val="20"/>
              </w:rPr>
            </w:pPr>
            <w:r w:rsidRPr="000B3F19">
              <w:rPr>
                <w:sz w:val="20"/>
                <w:szCs w:val="20"/>
              </w:rPr>
              <w:lastRenderedPageBreak/>
              <w:t>Do endogenous sex steroid hormones across the menstrual cycle influence light sensitivity at the retinal level, as quantified by melanopsin-mediated pupil responses?</w:t>
            </w:r>
          </w:p>
        </w:tc>
        <w:tc>
          <w:tcPr>
            <w:tcW w:w="694" w:type="pct"/>
          </w:tcPr>
          <w:p w14:paraId="0B5AE2B3" w14:textId="77777777" w:rsidR="00B65FE2" w:rsidRPr="000B3F19" w:rsidRDefault="00B65FE2" w:rsidP="000B3F19">
            <w:pPr>
              <w:pStyle w:val="NoSpacing"/>
              <w:jc w:val="left"/>
              <w:rPr>
                <w:sz w:val="20"/>
                <w:szCs w:val="20"/>
              </w:rPr>
            </w:pPr>
            <w:r w:rsidRPr="000B3F19">
              <w:rPr>
                <w:b/>
                <w:bCs/>
                <w:sz w:val="20"/>
                <w:szCs w:val="20"/>
              </w:rPr>
              <w:t xml:space="preserve">CH3b: </w:t>
            </w:r>
            <w:r w:rsidRPr="000B3F19">
              <w:rPr>
                <w:sz w:val="20"/>
                <w:szCs w:val="20"/>
              </w:rPr>
              <w:t>In naturally cycling individuals, we hypothesise an effect of endogenous sex steroid hormones E2 and P4 on melanopsin-mediated pupil responses.</w:t>
            </w:r>
          </w:p>
          <w:p w14:paraId="38B7A0CE" w14:textId="77777777" w:rsidR="00B65FE2" w:rsidRPr="000B3F19" w:rsidRDefault="00B65FE2" w:rsidP="000B3F19">
            <w:pPr>
              <w:pStyle w:val="NoSpacing"/>
              <w:jc w:val="left"/>
              <w:rPr>
                <w:sz w:val="20"/>
                <w:szCs w:val="20"/>
              </w:rPr>
            </w:pPr>
          </w:p>
          <w:p w14:paraId="77A0C604" w14:textId="153D59DE" w:rsidR="00B65FE2" w:rsidRPr="000B3F19" w:rsidRDefault="00B65FE2" w:rsidP="000B3F19">
            <w:pPr>
              <w:pStyle w:val="NoSpacing"/>
              <w:jc w:val="left"/>
              <w:rPr>
                <w:b/>
                <w:bCs/>
                <w:sz w:val="20"/>
                <w:szCs w:val="20"/>
              </w:rPr>
            </w:pPr>
            <w:r w:rsidRPr="000B3F19">
              <w:rPr>
                <w:sz w:val="20"/>
                <w:szCs w:val="20"/>
              </w:rPr>
              <w:t>Effect of interest: E2 levels, and</w:t>
            </w:r>
            <w:r w:rsidR="00D66D7A">
              <w:rPr>
                <w:sz w:val="20"/>
                <w:szCs w:val="20"/>
              </w:rPr>
              <w:t xml:space="preserve"> </w:t>
            </w:r>
            <w:r w:rsidRPr="000B3F19">
              <w:rPr>
                <w:sz w:val="20"/>
                <w:szCs w:val="20"/>
              </w:rPr>
              <w:t>P4 levels</w:t>
            </w:r>
          </w:p>
        </w:tc>
        <w:tc>
          <w:tcPr>
            <w:tcW w:w="693" w:type="pct"/>
          </w:tcPr>
          <w:p w14:paraId="6DD976B8" w14:textId="77777777" w:rsidR="00B65FE2" w:rsidRPr="000B3F19" w:rsidRDefault="00B65FE2" w:rsidP="000B3F19">
            <w:pPr>
              <w:pStyle w:val="NoSpacing"/>
              <w:jc w:val="left"/>
              <w:rPr>
                <w:sz w:val="20"/>
                <w:szCs w:val="20"/>
              </w:rPr>
            </w:pPr>
            <w:r w:rsidRPr="000B3F19">
              <w:rPr>
                <w:sz w:val="20"/>
                <w:szCs w:val="20"/>
              </w:rPr>
              <w:t>Based on BFDA results of CH3a (</w:t>
            </w:r>
            <w:proofErr w:type="spellStart"/>
            <w:r w:rsidRPr="000B3F19">
              <w:rPr>
                <w:sz w:val="20"/>
                <w:szCs w:val="20"/>
              </w:rPr>
              <w:t>N</w:t>
            </w:r>
            <w:r w:rsidRPr="000B3F19">
              <w:rPr>
                <w:sz w:val="20"/>
                <w:szCs w:val="20"/>
                <w:vertAlign w:val="subscript"/>
              </w:rPr>
              <w:t>max</w:t>
            </w:r>
            <w:proofErr w:type="spellEnd"/>
            <w:r w:rsidRPr="000B3F19">
              <w:rPr>
                <w:sz w:val="20"/>
                <w:szCs w:val="20"/>
                <w:vertAlign w:val="subscript"/>
              </w:rPr>
              <w:t xml:space="preserve"> </w:t>
            </w:r>
            <w:r w:rsidRPr="000B3F19">
              <w:rPr>
                <w:sz w:val="20"/>
                <w:szCs w:val="20"/>
              </w:rPr>
              <w:t>= 12)</w:t>
            </w:r>
          </w:p>
        </w:tc>
        <w:tc>
          <w:tcPr>
            <w:tcW w:w="694" w:type="pct"/>
          </w:tcPr>
          <w:p w14:paraId="4AAC6701" w14:textId="77777777" w:rsidR="00B65FE2" w:rsidRPr="000B3F19" w:rsidRDefault="00B65FE2" w:rsidP="000B3F19">
            <w:pPr>
              <w:pStyle w:val="NoSpacing"/>
              <w:jc w:val="left"/>
              <w:rPr>
                <w:sz w:val="20"/>
                <w:szCs w:val="20"/>
              </w:rPr>
            </w:pPr>
            <w:r w:rsidRPr="000B3F19">
              <w:rPr>
                <w:sz w:val="20"/>
                <w:szCs w:val="20"/>
              </w:rPr>
              <w:t>Linear mixed effects model for melanopsin activation</w:t>
            </w:r>
          </w:p>
          <w:p w14:paraId="52F87C6F" w14:textId="77777777" w:rsidR="00B65FE2" w:rsidRPr="000B3F19" w:rsidRDefault="00B65FE2" w:rsidP="000B3F19">
            <w:pPr>
              <w:pStyle w:val="NoSpacing"/>
              <w:jc w:val="left"/>
              <w:rPr>
                <w:sz w:val="20"/>
                <w:szCs w:val="20"/>
              </w:rPr>
            </w:pPr>
          </w:p>
          <w:p w14:paraId="21CA9DD2" w14:textId="154AC04D" w:rsidR="00B65FE2" w:rsidRPr="000B3F19" w:rsidRDefault="00B65FE2" w:rsidP="000B3F19">
            <w:pPr>
              <w:pStyle w:val="NoSpacing"/>
              <w:jc w:val="left"/>
              <w:rPr>
                <w:sz w:val="20"/>
                <w:szCs w:val="20"/>
              </w:rPr>
            </w:pPr>
            <w:r w:rsidRPr="000B3F19">
              <w:rPr>
                <w:sz w:val="20"/>
                <w:szCs w:val="20"/>
              </w:rPr>
              <w:t xml:space="preserve">Fixed effects: E2 levels (continuous) and P4 level (continuous) </w:t>
            </w:r>
            <w:r w:rsidRPr="000B3F19">
              <w:rPr>
                <w:sz w:val="20"/>
                <w:szCs w:val="20"/>
              </w:rPr>
              <w:br/>
            </w:r>
            <w:r w:rsidRPr="000B3F19">
              <w:rPr>
                <w:sz w:val="20"/>
                <w:szCs w:val="20"/>
              </w:rPr>
              <w:br/>
              <w:t xml:space="preserve">Random effects: </w:t>
            </w:r>
            <w:r w:rsidR="00630261">
              <w:rPr>
                <w:sz w:val="20"/>
                <w:szCs w:val="20"/>
              </w:rPr>
              <w:t xml:space="preserve">intercept and slopes for E2 and P4 levels by </w:t>
            </w:r>
            <w:r w:rsidR="00D66D7A" w:rsidRPr="000B3F19">
              <w:rPr>
                <w:sz w:val="20"/>
                <w:szCs w:val="20"/>
              </w:rPr>
              <w:t>participant ID (categorical with levels corresponding to participant number</w:t>
            </w:r>
            <w:r w:rsidR="00D66D7A">
              <w:rPr>
                <w:sz w:val="20"/>
                <w:szCs w:val="20"/>
              </w:rPr>
              <w:t>)</w:t>
            </w:r>
          </w:p>
        </w:tc>
        <w:tc>
          <w:tcPr>
            <w:tcW w:w="837" w:type="pct"/>
          </w:tcPr>
          <w:p w14:paraId="2F307123" w14:textId="77777777" w:rsidR="00D66D7A" w:rsidRPr="00D66D7A" w:rsidRDefault="00D66D7A" w:rsidP="00D66D7A">
            <w:pPr>
              <w:spacing w:line="276" w:lineRule="auto"/>
              <w:ind w:firstLine="0"/>
              <w:jc w:val="left"/>
              <w:rPr>
                <w:rFonts w:eastAsia="Times New Roman" w:cs="Arial"/>
                <w:color w:val="000000"/>
                <w:sz w:val="20"/>
                <w:szCs w:val="20"/>
                <w:u w:val="single"/>
              </w:rPr>
            </w:pPr>
            <w:r w:rsidRPr="00D66D7A">
              <w:rPr>
                <w:rFonts w:eastAsia="Times New Roman" w:cs="Arial"/>
                <w:color w:val="000000"/>
                <w:sz w:val="20"/>
                <w:szCs w:val="20"/>
                <w:u w:val="single"/>
              </w:rPr>
              <w:t>Inconclusive evidence</w:t>
            </w:r>
          </w:p>
          <w:p w14:paraId="70711DC2"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1&lt;BF&lt;3 = anecdotal evidence for CH3b</w:t>
            </w:r>
            <w:r w:rsidRPr="00D66D7A">
              <w:rPr>
                <w:rFonts w:eastAsia="Times New Roman" w:cs="Arial"/>
                <w:color w:val="000000"/>
                <w:sz w:val="20"/>
                <w:szCs w:val="20"/>
                <w:vertAlign w:val="subscript"/>
              </w:rPr>
              <w:t>Full</w:t>
            </w:r>
          </w:p>
          <w:p w14:paraId="3E8F97B5"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1&lt;BF&lt;10 = moderate evidence for CH3b</w:t>
            </w:r>
            <w:r w:rsidRPr="00D66D7A">
              <w:rPr>
                <w:rFonts w:eastAsia="Times New Roman" w:cs="Arial"/>
                <w:color w:val="000000"/>
                <w:sz w:val="20"/>
                <w:szCs w:val="20"/>
                <w:vertAlign w:val="subscript"/>
              </w:rPr>
              <w:t>Full</w:t>
            </w:r>
            <w:r w:rsidRPr="00D66D7A">
              <w:rPr>
                <w:rFonts w:eastAsia="Times New Roman" w:cs="Arial"/>
                <w:color w:val="000000"/>
              </w:rPr>
              <w:br/>
            </w:r>
          </w:p>
          <w:p w14:paraId="25BBDAE4" w14:textId="77777777" w:rsidR="00D66D7A" w:rsidRPr="00D66D7A" w:rsidRDefault="00D66D7A" w:rsidP="00D66D7A">
            <w:pPr>
              <w:spacing w:line="276" w:lineRule="auto"/>
              <w:ind w:firstLine="0"/>
              <w:jc w:val="left"/>
              <w:rPr>
                <w:rFonts w:eastAsia="Times New Roman" w:cs="Arial"/>
                <w:color w:val="000000"/>
                <w:sz w:val="20"/>
                <w:szCs w:val="20"/>
                <w:u w:val="single"/>
              </w:rPr>
            </w:pPr>
            <w:r w:rsidRPr="00D66D7A">
              <w:rPr>
                <w:rFonts w:eastAsia="Times New Roman" w:cs="Arial"/>
                <w:color w:val="000000"/>
                <w:sz w:val="20"/>
                <w:szCs w:val="20"/>
                <w:u w:val="single"/>
              </w:rPr>
              <w:t>Conclusive evidence</w:t>
            </w:r>
          </w:p>
          <w:p w14:paraId="32C91207"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10&lt;BF&lt;30 = strong evidence for CH3b</w:t>
            </w:r>
            <w:r w:rsidRPr="00D66D7A">
              <w:rPr>
                <w:rFonts w:eastAsia="Times New Roman" w:cs="Arial"/>
                <w:color w:val="000000"/>
                <w:sz w:val="20"/>
                <w:szCs w:val="20"/>
                <w:vertAlign w:val="subscript"/>
              </w:rPr>
              <w:t>Full</w:t>
            </w:r>
          </w:p>
          <w:p w14:paraId="66C56F08"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BF&gt;30 = very strong evidence for CH3b</w:t>
            </w:r>
            <w:r w:rsidRPr="00D66D7A">
              <w:rPr>
                <w:rFonts w:eastAsia="Times New Roman" w:cs="Arial"/>
                <w:color w:val="000000"/>
                <w:sz w:val="20"/>
                <w:szCs w:val="20"/>
                <w:vertAlign w:val="subscript"/>
              </w:rPr>
              <w:t>Full</w:t>
            </w:r>
          </w:p>
          <w:p w14:paraId="42E3E50E" w14:textId="743FDB1F" w:rsidR="24B7B8C8" w:rsidRPr="000B3F19" w:rsidRDefault="24B7B8C8" w:rsidP="000B3F19">
            <w:pPr>
              <w:pStyle w:val="NoSpacing"/>
              <w:jc w:val="left"/>
              <w:rPr>
                <w:sz w:val="20"/>
                <w:szCs w:val="20"/>
                <w:vertAlign w:val="subscript"/>
              </w:rPr>
            </w:pPr>
          </w:p>
          <w:p w14:paraId="3886345E" w14:textId="77777777" w:rsidR="00B65FE2" w:rsidRPr="000B3F19" w:rsidRDefault="00B65FE2" w:rsidP="000B3F19">
            <w:pPr>
              <w:pStyle w:val="NoSpacing"/>
              <w:jc w:val="left"/>
              <w:rPr>
                <w:sz w:val="20"/>
                <w:szCs w:val="20"/>
              </w:rPr>
            </w:pPr>
          </w:p>
        </w:tc>
        <w:tc>
          <w:tcPr>
            <w:tcW w:w="694" w:type="pct"/>
          </w:tcPr>
          <w:p w14:paraId="0F93C83A" w14:textId="77777777" w:rsidR="00B65FE2" w:rsidRPr="000B3F19" w:rsidRDefault="00B65FE2" w:rsidP="000B3F19">
            <w:pPr>
              <w:pStyle w:val="NoSpacing"/>
              <w:jc w:val="left"/>
              <w:rPr>
                <w:sz w:val="20"/>
                <w:szCs w:val="20"/>
              </w:rPr>
            </w:pPr>
            <w:r w:rsidRPr="000B3F19">
              <w:rPr>
                <w:sz w:val="20"/>
                <w:szCs w:val="20"/>
              </w:rPr>
              <w:t xml:space="preserve">Conclusive evidence for this hypothesis will demonstrate that absolute E2 and P4 levels influence melanopsin-mediated pupil responses in naturally cycling individuals. </w:t>
            </w:r>
          </w:p>
        </w:tc>
        <w:tc>
          <w:tcPr>
            <w:tcW w:w="694" w:type="pct"/>
          </w:tcPr>
          <w:p w14:paraId="337516E3" w14:textId="3A210078" w:rsidR="00B65FE2" w:rsidRPr="000B3F19" w:rsidRDefault="00B65FE2" w:rsidP="000B3F19">
            <w:pPr>
              <w:pStyle w:val="NoSpacing"/>
              <w:jc w:val="left"/>
              <w:rPr>
                <w:sz w:val="20"/>
                <w:szCs w:val="20"/>
              </w:rPr>
            </w:pPr>
            <w:r w:rsidRPr="000B3F19">
              <w:rPr>
                <w:sz w:val="20"/>
                <w:szCs w:val="20"/>
              </w:rPr>
              <w:t xml:space="preserve">The outcome of this analysis will inform whether endogenous sex hormones across the menstrual cycle influence light sensitivity at the retinal level (quantified by melanopsin-mediated pupil responses). This analysis builds on the one performed in CH3a to assess where, along the non-visual pathway, endogenous hormones influence light sensitivity. Refer to Table </w:t>
            </w:r>
            <w:r w:rsidR="00672953">
              <w:rPr>
                <w:sz w:val="20"/>
                <w:szCs w:val="20"/>
              </w:rPr>
              <w:t>7</w:t>
            </w:r>
            <w:r w:rsidRPr="000B3F19">
              <w:rPr>
                <w:sz w:val="20"/>
                <w:szCs w:val="20"/>
              </w:rPr>
              <w:t xml:space="preserve"> for detailed interpretation.</w:t>
            </w:r>
          </w:p>
        </w:tc>
      </w:tr>
      <w:tr w:rsidR="00B65FE2" w:rsidRPr="00104E23" w14:paraId="77CB1650" w14:textId="77777777" w:rsidTr="5CE66923">
        <w:trPr>
          <w:trHeight w:val="345"/>
        </w:trPr>
        <w:tc>
          <w:tcPr>
            <w:tcW w:w="5000" w:type="pct"/>
            <w:gridSpan w:val="7"/>
          </w:tcPr>
          <w:p w14:paraId="3167D7B5" w14:textId="77777777" w:rsidR="00B65FE2" w:rsidRDefault="00B65FE2" w:rsidP="00B65FE2">
            <w:pPr>
              <w:ind w:firstLine="0"/>
              <w:rPr>
                <w:sz w:val="20"/>
                <w:szCs w:val="20"/>
              </w:rPr>
            </w:pPr>
            <w:r w:rsidRPr="707573F5">
              <w:rPr>
                <w:rFonts w:cs="Arial"/>
                <w:b/>
                <w:bCs/>
                <w:sz w:val="20"/>
                <w:szCs w:val="20"/>
              </w:rPr>
              <w:t>Confirmatory Hypothesis 4 (within-group, MCOC group)</w:t>
            </w:r>
          </w:p>
        </w:tc>
      </w:tr>
      <w:tr w:rsidR="00B65FE2" w:rsidRPr="00104E23" w14:paraId="245AE1BF" w14:textId="77777777" w:rsidTr="5CE66923">
        <w:trPr>
          <w:trHeight w:val="992"/>
        </w:trPr>
        <w:tc>
          <w:tcPr>
            <w:tcW w:w="694" w:type="pct"/>
          </w:tcPr>
          <w:p w14:paraId="4523F9EB" w14:textId="77777777" w:rsidR="00B65FE2" w:rsidRPr="00D66D7A" w:rsidRDefault="00B65FE2" w:rsidP="00D66D7A">
            <w:pPr>
              <w:pStyle w:val="NoSpacing"/>
              <w:jc w:val="left"/>
              <w:rPr>
                <w:sz w:val="20"/>
                <w:szCs w:val="20"/>
              </w:rPr>
            </w:pPr>
            <w:r w:rsidRPr="00D66D7A">
              <w:rPr>
                <w:sz w:val="20"/>
                <w:szCs w:val="20"/>
              </w:rPr>
              <w:lastRenderedPageBreak/>
              <w:t>Do exogenous sex steroid hormones influence melatonin suppression across the pill cycle?</w:t>
            </w:r>
          </w:p>
        </w:tc>
        <w:tc>
          <w:tcPr>
            <w:tcW w:w="694" w:type="pct"/>
          </w:tcPr>
          <w:p w14:paraId="103773C8" w14:textId="6DAD5810" w:rsidR="00B65FE2" w:rsidRPr="00D66D7A" w:rsidRDefault="00B65FE2" w:rsidP="00D66D7A">
            <w:pPr>
              <w:pStyle w:val="NoSpacing"/>
              <w:jc w:val="left"/>
              <w:rPr>
                <w:sz w:val="20"/>
                <w:szCs w:val="20"/>
              </w:rPr>
            </w:pPr>
            <w:r w:rsidRPr="00D66D7A">
              <w:rPr>
                <w:b/>
                <w:bCs/>
                <w:sz w:val="20"/>
                <w:szCs w:val="20"/>
              </w:rPr>
              <w:t>CH4a:</w:t>
            </w:r>
            <w:r w:rsidRPr="00D66D7A">
              <w:rPr>
                <w:rFonts w:eastAsia="Arial"/>
                <w:sz w:val="20"/>
                <w:szCs w:val="20"/>
              </w:rPr>
              <w:t xml:space="preserve"> </w:t>
            </w:r>
            <w:r w:rsidRPr="00D66D7A">
              <w:rPr>
                <w:sz w:val="20"/>
                <w:szCs w:val="20"/>
              </w:rPr>
              <w:t xml:space="preserve">In individuals taking oral contraceptives (MCOC group), we hypothesise an effect of the exogenous sex hormones </w:t>
            </w:r>
            <w:proofErr w:type="spellStart"/>
            <w:r w:rsidRPr="00D66D7A">
              <w:rPr>
                <w:sz w:val="20"/>
                <w:szCs w:val="20"/>
              </w:rPr>
              <w:t>eth</w:t>
            </w:r>
            <w:r w:rsidR="0029634B" w:rsidRPr="00D66D7A">
              <w:rPr>
                <w:sz w:val="20"/>
                <w:szCs w:val="20"/>
              </w:rPr>
              <w:t>i</w:t>
            </w:r>
            <w:r w:rsidRPr="00D66D7A">
              <w:rPr>
                <w:sz w:val="20"/>
                <w:szCs w:val="20"/>
              </w:rPr>
              <w:t>nylestradiol</w:t>
            </w:r>
            <w:proofErr w:type="spellEnd"/>
            <w:r w:rsidRPr="00D66D7A">
              <w:rPr>
                <w:sz w:val="20"/>
                <w:szCs w:val="20"/>
              </w:rPr>
              <w:t xml:space="preserve"> (EE) and synthetic progestin (SP) on light-induced melatonin suppression</w:t>
            </w:r>
            <w:r w:rsidRPr="00D66D7A">
              <w:rPr>
                <w:sz w:val="20"/>
                <w:szCs w:val="20"/>
              </w:rPr>
              <w:br/>
            </w:r>
          </w:p>
          <w:p w14:paraId="3A61771B" w14:textId="77777777" w:rsidR="00B65FE2" w:rsidRPr="00D66D7A" w:rsidRDefault="00B65FE2" w:rsidP="00D66D7A">
            <w:pPr>
              <w:pStyle w:val="NoSpacing"/>
              <w:jc w:val="left"/>
              <w:rPr>
                <w:sz w:val="20"/>
                <w:szCs w:val="20"/>
              </w:rPr>
            </w:pPr>
            <w:r w:rsidRPr="00D66D7A">
              <w:rPr>
                <w:sz w:val="20"/>
                <w:szCs w:val="20"/>
              </w:rPr>
              <w:t xml:space="preserve">Effect of interest: EE levels and SP levels </w:t>
            </w:r>
          </w:p>
        </w:tc>
        <w:tc>
          <w:tcPr>
            <w:tcW w:w="693" w:type="pct"/>
          </w:tcPr>
          <w:p w14:paraId="48230A2B" w14:textId="77777777" w:rsidR="00B65FE2" w:rsidRPr="00D66D7A" w:rsidRDefault="00B65FE2" w:rsidP="00D66D7A">
            <w:pPr>
              <w:pStyle w:val="NoSpacing"/>
              <w:jc w:val="left"/>
              <w:rPr>
                <w:sz w:val="20"/>
                <w:szCs w:val="20"/>
              </w:rPr>
            </w:pPr>
            <w:r w:rsidRPr="00D66D7A">
              <w:rPr>
                <w:sz w:val="20"/>
                <w:szCs w:val="20"/>
              </w:rPr>
              <w:t>Based on BFDA results of CH3a (</w:t>
            </w:r>
            <w:proofErr w:type="spellStart"/>
            <w:r w:rsidRPr="00D66D7A">
              <w:rPr>
                <w:sz w:val="20"/>
                <w:szCs w:val="20"/>
              </w:rPr>
              <w:t>N</w:t>
            </w:r>
            <w:r w:rsidRPr="00D66D7A">
              <w:rPr>
                <w:sz w:val="20"/>
                <w:szCs w:val="20"/>
                <w:vertAlign w:val="subscript"/>
              </w:rPr>
              <w:t>max</w:t>
            </w:r>
            <w:proofErr w:type="spellEnd"/>
            <w:r w:rsidRPr="00D66D7A">
              <w:rPr>
                <w:sz w:val="20"/>
                <w:szCs w:val="20"/>
                <w:vertAlign w:val="subscript"/>
              </w:rPr>
              <w:t xml:space="preserve"> </w:t>
            </w:r>
            <w:r w:rsidRPr="00D66D7A">
              <w:rPr>
                <w:sz w:val="20"/>
                <w:szCs w:val="20"/>
              </w:rPr>
              <w:t>= 12)</w:t>
            </w:r>
          </w:p>
        </w:tc>
        <w:tc>
          <w:tcPr>
            <w:tcW w:w="694" w:type="pct"/>
          </w:tcPr>
          <w:p w14:paraId="0349F8C7" w14:textId="77777777" w:rsidR="00B65FE2" w:rsidRPr="00D66D7A" w:rsidRDefault="00B65FE2" w:rsidP="00D66D7A">
            <w:pPr>
              <w:pStyle w:val="NoSpacing"/>
              <w:jc w:val="left"/>
              <w:rPr>
                <w:sz w:val="20"/>
                <w:szCs w:val="20"/>
              </w:rPr>
            </w:pPr>
            <w:r w:rsidRPr="00D66D7A">
              <w:rPr>
                <w:sz w:val="20"/>
                <w:szCs w:val="20"/>
              </w:rPr>
              <w:t>Linear mixed effects model for melatonin suppression</w:t>
            </w:r>
          </w:p>
          <w:p w14:paraId="47D9A603" w14:textId="77777777" w:rsidR="00B65FE2" w:rsidRPr="00D66D7A" w:rsidRDefault="00B65FE2" w:rsidP="00D66D7A">
            <w:pPr>
              <w:pStyle w:val="NoSpacing"/>
              <w:jc w:val="left"/>
              <w:rPr>
                <w:sz w:val="20"/>
                <w:szCs w:val="20"/>
              </w:rPr>
            </w:pPr>
          </w:p>
          <w:p w14:paraId="03C29205" w14:textId="75820C50" w:rsidR="00B65FE2" w:rsidRPr="00D66D7A" w:rsidRDefault="00B65FE2" w:rsidP="00D66D7A">
            <w:pPr>
              <w:pStyle w:val="NoSpacing"/>
              <w:jc w:val="left"/>
              <w:rPr>
                <w:sz w:val="20"/>
                <w:szCs w:val="20"/>
              </w:rPr>
            </w:pPr>
            <w:r w:rsidRPr="00D66D7A">
              <w:rPr>
                <w:sz w:val="20"/>
                <w:szCs w:val="20"/>
              </w:rPr>
              <w:t>Fixed effects: EE levels (continuous) and SP levels (continuous)</w:t>
            </w:r>
            <w:r w:rsidRPr="00D66D7A">
              <w:rPr>
                <w:sz w:val="20"/>
                <w:szCs w:val="20"/>
              </w:rPr>
              <w:br/>
            </w:r>
            <w:r w:rsidRPr="00D66D7A">
              <w:rPr>
                <w:sz w:val="20"/>
                <w:szCs w:val="20"/>
              </w:rPr>
              <w:br/>
              <w:t xml:space="preserve">Random effects: </w:t>
            </w:r>
            <w:r w:rsidR="00630261">
              <w:rPr>
                <w:sz w:val="20"/>
                <w:szCs w:val="20"/>
              </w:rPr>
              <w:t xml:space="preserve">intercept and slopes for EE and SP levels </w:t>
            </w:r>
            <w:r w:rsidR="00E074CF">
              <w:rPr>
                <w:sz w:val="20"/>
                <w:szCs w:val="20"/>
              </w:rPr>
              <w:t xml:space="preserve">by </w:t>
            </w:r>
            <w:r w:rsidR="00D66D7A" w:rsidRPr="00D66D7A">
              <w:rPr>
                <w:sz w:val="20"/>
                <w:szCs w:val="20"/>
              </w:rPr>
              <w:t>participant ID (categorical with levels corresponding to participant number)</w:t>
            </w:r>
          </w:p>
        </w:tc>
        <w:tc>
          <w:tcPr>
            <w:tcW w:w="837" w:type="pct"/>
          </w:tcPr>
          <w:p w14:paraId="0BB624D3" w14:textId="77777777" w:rsidR="00D66D7A" w:rsidRPr="00D66D7A" w:rsidRDefault="00D66D7A" w:rsidP="00D66D7A">
            <w:pPr>
              <w:spacing w:line="276" w:lineRule="auto"/>
              <w:ind w:firstLine="0"/>
              <w:jc w:val="left"/>
              <w:rPr>
                <w:rFonts w:eastAsia="Times New Roman" w:cs="Arial"/>
                <w:color w:val="000000"/>
                <w:sz w:val="20"/>
                <w:szCs w:val="20"/>
                <w:u w:val="single"/>
              </w:rPr>
            </w:pPr>
            <w:r w:rsidRPr="00D66D7A">
              <w:rPr>
                <w:rFonts w:eastAsia="Times New Roman" w:cs="Arial"/>
                <w:color w:val="000000"/>
                <w:sz w:val="20"/>
                <w:szCs w:val="20"/>
                <w:u w:val="single"/>
              </w:rPr>
              <w:t>Inconclusive evidence</w:t>
            </w:r>
          </w:p>
          <w:p w14:paraId="65AF611B"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1&lt;BF&lt;3 = anecdotal evidence for CH4a</w:t>
            </w:r>
            <w:r w:rsidRPr="00D66D7A">
              <w:rPr>
                <w:rFonts w:eastAsia="Times New Roman" w:cs="Arial"/>
                <w:color w:val="000000"/>
                <w:sz w:val="20"/>
                <w:szCs w:val="20"/>
                <w:vertAlign w:val="subscript"/>
              </w:rPr>
              <w:t>Full</w:t>
            </w:r>
          </w:p>
          <w:p w14:paraId="142D3A54"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1&lt;BF&lt;10 = moderate evidence for CH4a</w:t>
            </w:r>
            <w:r w:rsidRPr="00D66D7A">
              <w:rPr>
                <w:rFonts w:eastAsia="Times New Roman" w:cs="Arial"/>
                <w:color w:val="000000"/>
                <w:sz w:val="20"/>
                <w:szCs w:val="20"/>
                <w:vertAlign w:val="subscript"/>
              </w:rPr>
              <w:t>Full</w:t>
            </w:r>
            <w:r w:rsidRPr="00D66D7A">
              <w:rPr>
                <w:rFonts w:eastAsia="Times New Roman" w:cs="Arial"/>
                <w:color w:val="000000"/>
              </w:rPr>
              <w:br/>
            </w:r>
          </w:p>
          <w:p w14:paraId="2623631D" w14:textId="77777777" w:rsidR="00D66D7A" w:rsidRPr="00D66D7A" w:rsidRDefault="00D66D7A" w:rsidP="00D66D7A">
            <w:pPr>
              <w:spacing w:line="276" w:lineRule="auto"/>
              <w:ind w:firstLine="0"/>
              <w:jc w:val="left"/>
              <w:rPr>
                <w:rFonts w:eastAsia="Times New Roman" w:cs="Arial"/>
                <w:color w:val="000000"/>
                <w:sz w:val="20"/>
                <w:szCs w:val="20"/>
                <w:u w:val="single"/>
              </w:rPr>
            </w:pPr>
            <w:r w:rsidRPr="00D66D7A">
              <w:rPr>
                <w:rFonts w:eastAsia="Times New Roman" w:cs="Arial"/>
                <w:color w:val="000000"/>
                <w:sz w:val="20"/>
                <w:szCs w:val="20"/>
                <w:u w:val="single"/>
              </w:rPr>
              <w:t>Conclusive evidence</w:t>
            </w:r>
          </w:p>
          <w:p w14:paraId="369E04A9"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10&lt;BF&lt;30 = strong evidence for CH4a</w:t>
            </w:r>
            <w:r w:rsidRPr="00D66D7A">
              <w:rPr>
                <w:rFonts w:eastAsia="Times New Roman" w:cs="Arial"/>
                <w:color w:val="000000"/>
                <w:sz w:val="20"/>
                <w:szCs w:val="20"/>
                <w:vertAlign w:val="subscript"/>
              </w:rPr>
              <w:t>Full</w:t>
            </w:r>
          </w:p>
          <w:p w14:paraId="672598EA"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BF&gt;30 = very strong evidence for CH4a</w:t>
            </w:r>
            <w:r w:rsidRPr="00D66D7A">
              <w:rPr>
                <w:rFonts w:eastAsia="Times New Roman" w:cs="Arial"/>
                <w:color w:val="000000"/>
                <w:sz w:val="20"/>
                <w:szCs w:val="20"/>
                <w:vertAlign w:val="subscript"/>
              </w:rPr>
              <w:t>Full</w:t>
            </w:r>
          </w:p>
          <w:p w14:paraId="69588A61" w14:textId="465BDEBB" w:rsidR="00B65FE2" w:rsidRPr="00D66D7A" w:rsidRDefault="00B65FE2" w:rsidP="00D66D7A">
            <w:pPr>
              <w:pStyle w:val="NoSpacing"/>
              <w:jc w:val="left"/>
              <w:rPr>
                <w:sz w:val="20"/>
                <w:szCs w:val="20"/>
                <w:vertAlign w:val="subscript"/>
              </w:rPr>
            </w:pPr>
          </w:p>
          <w:p w14:paraId="04C1ACCB" w14:textId="77777777" w:rsidR="00B65FE2" w:rsidRPr="00D66D7A" w:rsidRDefault="00B65FE2" w:rsidP="00D66D7A">
            <w:pPr>
              <w:pStyle w:val="NoSpacing"/>
              <w:jc w:val="left"/>
              <w:rPr>
                <w:sz w:val="20"/>
                <w:szCs w:val="20"/>
              </w:rPr>
            </w:pPr>
          </w:p>
          <w:p w14:paraId="150E9D66" w14:textId="77777777" w:rsidR="00B65FE2" w:rsidRPr="00D66D7A" w:rsidRDefault="00B65FE2" w:rsidP="00D66D7A">
            <w:pPr>
              <w:pStyle w:val="NoSpacing"/>
              <w:jc w:val="left"/>
              <w:rPr>
                <w:sz w:val="20"/>
                <w:szCs w:val="20"/>
              </w:rPr>
            </w:pPr>
          </w:p>
        </w:tc>
        <w:tc>
          <w:tcPr>
            <w:tcW w:w="694" w:type="pct"/>
          </w:tcPr>
          <w:p w14:paraId="6CB907A0" w14:textId="77777777" w:rsidR="00B65FE2" w:rsidRPr="00D66D7A" w:rsidRDefault="00B65FE2" w:rsidP="00D66D7A">
            <w:pPr>
              <w:pStyle w:val="NoSpacing"/>
              <w:jc w:val="left"/>
              <w:rPr>
                <w:sz w:val="20"/>
                <w:szCs w:val="20"/>
              </w:rPr>
            </w:pPr>
            <w:r w:rsidRPr="00D66D7A">
              <w:rPr>
                <w:sz w:val="20"/>
                <w:szCs w:val="20"/>
              </w:rPr>
              <w:t xml:space="preserve">Conclusive evidence for this hypothesis will demonstrate that absolute exogenous hormone levels (EE and SP) influence melatonin suppression in individuals taking the monophasic combined oral contraceptive pill. </w:t>
            </w:r>
          </w:p>
        </w:tc>
        <w:tc>
          <w:tcPr>
            <w:tcW w:w="694" w:type="pct"/>
          </w:tcPr>
          <w:p w14:paraId="11668076" w14:textId="77777777" w:rsidR="00B65FE2" w:rsidRPr="00D66D7A" w:rsidRDefault="00B65FE2" w:rsidP="00D66D7A">
            <w:pPr>
              <w:pStyle w:val="NoSpacing"/>
              <w:jc w:val="left"/>
              <w:rPr>
                <w:sz w:val="20"/>
                <w:szCs w:val="20"/>
              </w:rPr>
            </w:pPr>
            <w:r w:rsidRPr="00D66D7A">
              <w:rPr>
                <w:sz w:val="20"/>
                <w:szCs w:val="20"/>
              </w:rPr>
              <w:t>To our knowledge, no study has investigated the effects of exogenous sex hormones in the oral contraceptive pill on melatonin suppression. Thus, the outcome of this analysis will provide a first account of whether levels of exogenous sex steroid hormones across the pill cycle influence melatonin suppression.</w:t>
            </w:r>
          </w:p>
        </w:tc>
      </w:tr>
      <w:tr w:rsidR="00B65FE2" w:rsidRPr="00104E23" w14:paraId="369774E3" w14:textId="77777777" w:rsidTr="5CE66923">
        <w:trPr>
          <w:trHeight w:val="992"/>
        </w:trPr>
        <w:tc>
          <w:tcPr>
            <w:tcW w:w="694" w:type="pct"/>
          </w:tcPr>
          <w:p w14:paraId="4D931CAD" w14:textId="77777777" w:rsidR="00B65FE2" w:rsidRPr="00D66D7A" w:rsidRDefault="00B65FE2" w:rsidP="00D66D7A">
            <w:pPr>
              <w:pStyle w:val="NoSpacing"/>
              <w:jc w:val="left"/>
              <w:rPr>
                <w:sz w:val="20"/>
                <w:szCs w:val="20"/>
              </w:rPr>
            </w:pPr>
            <w:r w:rsidRPr="00D66D7A">
              <w:rPr>
                <w:sz w:val="20"/>
                <w:szCs w:val="20"/>
              </w:rPr>
              <w:t xml:space="preserve">Do exogenous sex steroid hormones influence light sensitivity at the retinal level (quantified by melanopsin-mediated pupil response) across the pill cycle? </w:t>
            </w:r>
          </w:p>
        </w:tc>
        <w:tc>
          <w:tcPr>
            <w:tcW w:w="694" w:type="pct"/>
          </w:tcPr>
          <w:p w14:paraId="1FBFECD8" w14:textId="77777777" w:rsidR="00B65FE2" w:rsidRPr="00D66D7A" w:rsidRDefault="00B65FE2" w:rsidP="00D66D7A">
            <w:pPr>
              <w:pStyle w:val="NoSpacing"/>
              <w:jc w:val="left"/>
              <w:rPr>
                <w:sz w:val="20"/>
                <w:szCs w:val="20"/>
              </w:rPr>
            </w:pPr>
            <w:r w:rsidRPr="00D66D7A">
              <w:rPr>
                <w:b/>
                <w:bCs/>
                <w:sz w:val="20"/>
                <w:szCs w:val="20"/>
              </w:rPr>
              <w:t>CH4b</w:t>
            </w:r>
            <w:r w:rsidRPr="00D66D7A">
              <w:rPr>
                <w:sz w:val="20"/>
                <w:szCs w:val="20"/>
              </w:rPr>
              <w:t>: In individuals taking oral contraceptives, we expect an effect of EE and SP on melanopsin-mediated pupil responses.</w:t>
            </w:r>
          </w:p>
          <w:p w14:paraId="20EDE5B3" w14:textId="77777777" w:rsidR="00B65FE2" w:rsidRPr="00D66D7A" w:rsidRDefault="00B65FE2" w:rsidP="00D66D7A">
            <w:pPr>
              <w:pStyle w:val="NoSpacing"/>
              <w:jc w:val="left"/>
              <w:rPr>
                <w:sz w:val="20"/>
                <w:szCs w:val="20"/>
              </w:rPr>
            </w:pPr>
          </w:p>
          <w:p w14:paraId="6191C596" w14:textId="77777777" w:rsidR="00B65FE2" w:rsidRPr="00D66D7A" w:rsidRDefault="00B65FE2" w:rsidP="00D66D7A">
            <w:pPr>
              <w:pStyle w:val="NoSpacing"/>
              <w:jc w:val="left"/>
              <w:rPr>
                <w:sz w:val="20"/>
                <w:szCs w:val="20"/>
              </w:rPr>
            </w:pPr>
            <w:r w:rsidRPr="00D66D7A">
              <w:rPr>
                <w:sz w:val="20"/>
                <w:szCs w:val="20"/>
              </w:rPr>
              <w:t>Effect of interest: EE levels and SP levels</w:t>
            </w:r>
          </w:p>
        </w:tc>
        <w:tc>
          <w:tcPr>
            <w:tcW w:w="693" w:type="pct"/>
          </w:tcPr>
          <w:p w14:paraId="30560939" w14:textId="77777777" w:rsidR="00B65FE2" w:rsidRPr="00D66D7A" w:rsidRDefault="00B65FE2" w:rsidP="00D66D7A">
            <w:pPr>
              <w:pStyle w:val="NoSpacing"/>
              <w:jc w:val="left"/>
              <w:rPr>
                <w:sz w:val="20"/>
                <w:szCs w:val="20"/>
              </w:rPr>
            </w:pPr>
            <w:r w:rsidRPr="00D66D7A">
              <w:rPr>
                <w:sz w:val="20"/>
                <w:szCs w:val="20"/>
              </w:rPr>
              <w:t>Based on BFDA results of CH3a (</w:t>
            </w:r>
            <w:proofErr w:type="spellStart"/>
            <w:r w:rsidRPr="00D66D7A">
              <w:rPr>
                <w:sz w:val="20"/>
                <w:szCs w:val="20"/>
              </w:rPr>
              <w:t>N</w:t>
            </w:r>
            <w:r w:rsidRPr="00D66D7A">
              <w:rPr>
                <w:sz w:val="20"/>
                <w:szCs w:val="20"/>
                <w:vertAlign w:val="subscript"/>
              </w:rPr>
              <w:t>max</w:t>
            </w:r>
            <w:proofErr w:type="spellEnd"/>
            <w:r w:rsidRPr="00D66D7A">
              <w:rPr>
                <w:sz w:val="20"/>
                <w:szCs w:val="20"/>
                <w:vertAlign w:val="subscript"/>
              </w:rPr>
              <w:t xml:space="preserve"> </w:t>
            </w:r>
            <w:r w:rsidRPr="00D66D7A">
              <w:rPr>
                <w:sz w:val="20"/>
                <w:szCs w:val="20"/>
              </w:rPr>
              <w:t>= 12)</w:t>
            </w:r>
          </w:p>
        </w:tc>
        <w:tc>
          <w:tcPr>
            <w:tcW w:w="694" w:type="pct"/>
          </w:tcPr>
          <w:p w14:paraId="6FACA19A" w14:textId="77777777" w:rsidR="00B65FE2" w:rsidRPr="00D66D7A" w:rsidRDefault="00B65FE2" w:rsidP="00D66D7A">
            <w:pPr>
              <w:pStyle w:val="NoSpacing"/>
              <w:jc w:val="left"/>
              <w:rPr>
                <w:sz w:val="20"/>
                <w:szCs w:val="20"/>
              </w:rPr>
            </w:pPr>
            <w:r w:rsidRPr="00D66D7A">
              <w:rPr>
                <w:sz w:val="20"/>
                <w:szCs w:val="20"/>
              </w:rPr>
              <w:t>Linear mixed effects model for melanopsin-mediated pupil responses</w:t>
            </w:r>
          </w:p>
          <w:p w14:paraId="4CC07F3D" w14:textId="77777777" w:rsidR="00B65FE2" w:rsidRPr="00D66D7A" w:rsidRDefault="00B65FE2" w:rsidP="00D66D7A">
            <w:pPr>
              <w:pStyle w:val="NoSpacing"/>
              <w:jc w:val="left"/>
              <w:rPr>
                <w:sz w:val="20"/>
                <w:szCs w:val="20"/>
              </w:rPr>
            </w:pPr>
          </w:p>
          <w:p w14:paraId="0FDE2F64" w14:textId="74977693" w:rsidR="00B65FE2" w:rsidRPr="00D66D7A" w:rsidRDefault="00B65FE2" w:rsidP="00D66D7A">
            <w:pPr>
              <w:pStyle w:val="NoSpacing"/>
              <w:jc w:val="left"/>
              <w:rPr>
                <w:sz w:val="20"/>
                <w:szCs w:val="20"/>
              </w:rPr>
            </w:pPr>
            <w:r w:rsidRPr="00D66D7A">
              <w:rPr>
                <w:sz w:val="20"/>
                <w:szCs w:val="20"/>
              </w:rPr>
              <w:t>Fixed effects: EE levels (continuous) and SP levels (continuous)</w:t>
            </w:r>
            <w:r w:rsidRPr="00D66D7A">
              <w:rPr>
                <w:sz w:val="20"/>
                <w:szCs w:val="20"/>
              </w:rPr>
              <w:br/>
            </w:r>
            <w:r w:rsidRPr="00D66D7A">
              <w:rPr>
                <w:sz w:val="20"/>
                <w:szCs w:val="20"/>
              </w:rPr>
              <w:br/>
              <w:t xml:space="preserve">Random effects: </w:t>
            </w:r>
            <w:r w:rsidR="00E074CF">
              <w:rPr>
                <w:sz w:val="20"/>
                <w:szCs w:val="20"/>
              </w:rPr>
              <w:t xml:space="preserve">intercept and slopes for EE and SP levels by </w:t>
            </w:r>
            <w:r w:rsidR="00E074CF" w:rsidRPr="00D66D7A">
              <w:rPr>
                <w:sz w:val="20"/>
                <w:szCs w:val="20"/>
              </w:rPr>
              <w:t xml:space="preserve">participant ID </w:t>
            </w:r>
            <w:r w:rsidR="00D66D7A" w:rsidRPr="00D66D7A">
              <w:rPr>
                <w:sz w:val="20"/>
                <w:szCs w:val="20"/>
              </w:rPr>
              <w:t xml:space="preserve">(categorical with levels corresponding to </w:t>
            </w:r>
            <w:r w:rsidR="00D66D7A" w:rsidRPr="00D66D7A">
              <w:rPr>
                <w:sz w:val="20"/>
                <w:szCs w:val="20"/>
              </w:rPr>
              <w:lastRenderedPageBreak/>
              <w:t>participant number)</w:t>
            </w:r>
          </w:p>
        </w:tc>
        <w:tc>
          <w:tcPr>
            <w:tcW w:w="837" w:type="pct"/>
          </w:tcPr>
          <w:p w14:paraId="254E292E" w14:textId="77777777" w:rsidR="00D66D7A" w:rsidRPr="00D66D7A" w:rsidRDefault="00D66D7A" w:rsidP="00D66D7A">
            <w:pPr>
              <w:spacing w:line="276" w:lineRule="auto"/>
              <w:ind w:firstLine="0"/>
              <w:jc w:val="left"/>
              <w:rPr>
                <w:rFonts w:eastAsia="Times New Roman" w:cs="Arial"/>
                <w:color w:val="000000"/>
                <w:sz w:val="20"/>
                <w:szCs w:val="20"/>
                <w:u w:val="single"/>
              </w:rPr>
            </w:pPr>
            <w:r w:rsidRPr="00D66D7A">
              <w:rPr>
                <w:rFonts w:eastAsia="Times New Roman" w:cs="Arial"/>
                <w:color w:val="000000"/>
                <w:sz w:val="20"/>
                <w:szCs w:val="20"/>
                <w:u w:val="single"/>
              </w:rPr>
              <w:lastRenderedPageBreak/>
              <w:t>Inconclusive evidence</w:t>
            </w:r>
          </w:p>
          <w:p w14:paraId="428E9564"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1&lt;BF&lt;3 = anecdotal evidence for CH4b</w:t>
            </w:r>
            <w:r w:rsidRPr="00D66D7A">
              <w:rPr>
                <w:rFonts w:eastAsia="Times New Roman" w:cs="Arial"/>
                <w:color w:val="000000"/>
                <w:sz w:val="20"/>
                <w:szCs w:val="20"/>
                <w:vertAlign w:val="subscript"/>
              </w:rPr>
              <w:t>Full</w:t>
            </w:r>
          </w:p>
          <w:p w14:paraId="7305E256"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1&lt;BF&lt;10 = moderate evidence for CH4b</w:t>
            </w:r>
            <w:r w:rsidRPr="00D66D7A">
              <w:rPr>
                <w:rFonts w:eastAsia="Times New Roman" w:cs="Arial"/>
                <w:color w:val="000000"/>
                <w:sz w:val="20"/>
                <w:szCs w:val="20"/>
                <w:vertAlign w:val="subscript"/>
              </w:rPr>
              <w:t>Full</w:t>
            </w:r>
            <w:r w:rsidRPr="00D66D7A">
              <w:rPr>
                <w:rFonts w:eastAsia="Times New Roman" w:cs="Arial"/>
                <w:color w:val="000000"/>
              </w:rPr>
              <w:br/>
            </w:r>
          </w:p>
          <w:p w14:paraId="43C8E23F" w14:textId="77777777" w:rsidR="00D66D7A" w:rsidRPr="00D66D7A" w:rsidRDefault="00D66D7A" w:rsidP="00D66D7A">
            <w:pPr>
              <w:spacing w:line="276" w:lineRule="auto"/>
              <w:ind w:firstLine="0"/>
              <w:jc w:val="left"/>
              <w:rPr>
                <w:rFonts w:eastAsia="Times New Roman" w:cs="Arial"/>
                <w:color w:val="000000"/>
                <w:sz w:val="20"/>
                <w:szCs w:val="20"/>
                <w:u w:val="single"/>
              </w:rPr>
            </w:pPr>
            <w:r w:rsidRPr="00D66D7A">
              <w:rPr>
                <w:rFonts w:eastAsia="Times New Roman" w:cs="Arial"/>
                <w:color w:val="000000"/>
                <w:sz w:val="20"/>
                <w:szCs w:val="20"/>
                <w:u w:val="single"/>
              </w:rPr>
              <w:t>Conclusive evidence</w:t>
            </w:r>
          </w:p>
          <w:p w14:paraId="0C9C5F09"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10&lt;BF&lt;30 = strong evidence for CH4b</w:t>
            </w:r>
            <w:r w:rsidRPr="00D66D7A">
              <w:rPr>
                <w:rFonts w:eastAsia="Times New Roman" w:cs="Arial"/>
                <w:color w:val="000000"/>
                <w:sz w:val="20"/>
                <w:szCs w:val="20"/>
                <w:vertAlign w:val="subscript"/>
              </w:rPr>
              <w:t>Full</w:t>
            </w:r>
          </w:p>
          <w:p w14:paraId="65F68F12" w14:textId="77777777" w:rsidR="00D66D7A" w:rsidRPr="00D66D7A" w:rsidRDefault="00D66D7A" w:rsidP="00D66D7A">
            <w:pPr>
              <w:spacing w:line="276" w:lineRule="auto"/>
              <w:ind w:firstLine="0"/>
              <w:jc w:val="left"/>
              <w:rPr>
                <w:rFonts w:eastAsia="Times New Roman" w:cs="Arial"/>
                <w:color w:val="000000"/>
                <w:sz w:val="20"/>
                <w:szCs w:val="20"/>
              </w:rPr>
            </w:pPr>
            <w:r w:rsidRPr="00D66D7A">
              <w:rPr>
                <w:rFonts w:eastAsia="Times New Roman" w:cs="Arial"/>
                <w:color w:val="000000"/>
                <w:sz w:val="20"/>
                <w:szCs w:val="20"/>
              </w:rPr>
              <w:t>BF&gt;30 = very strong evidence for CH4b</w:t>
            </w:r>
            <w:r w:rsidRPr="00D66D7A">
              <w:rPr>
                <w:rFonts w:eastAsia="Times New Roman" w:cs="Arial"/>
                <w:color w:val="000000"/>
                <w:sz w:val="20"/>
                <w:szCs w:val="20"/>
                <w:vertAlign w:val="subscript"/>
              </w:rPr>
              <w:t>Full</w:t>
            </w:r>
          </w:p>
          <w:p w14:paraId="27E45EE7" w14:textId="69BF81AD" w:rsidR="00B65FE2" w:rsidRPr="00D66D7A" w:rsidRDefault="00B65FE2" w:rsidP="00D66D7A">
            <w:pPr>
              <w:pStyle w:val="NoSpacing"/>
              <w:jc w:val="left"/>
              <w:rPr>
                <w:sz w:val="20"/>
                <w:szCs w:val="20"/>
                <w:vertAlign w:val="subscript"/>
              </w:rPr>
            </w:pPr>
          </w:p>
          <w:p w14:paraId="7F1993A3" w14:textId="77777777" w:rsidR="00B65FE2" w:rsidRPr="00D66D7A" w:rsidRDefault="00B65FE2" w:rsidP="00D66D7A">
            <w:pPr>
              <w:pStyle w:val="NoSpacing"/>
              <w:jc w:val="left"/>
              <w:rPr>
                <w:sz w:val="20"/>
                <w:szCs w:val="20"/>
              </w:rPr>
            </w:pPr>
          </w:p>
        </w:tc>
        <w:tc>
          <w:tcPr>
            <w:tcW w:w="694" w:type="pct"/>
          </w:tcPr>
          <w:p w14:paraId="1341DE9C" w14:textId="77777777" w:rsidR="00B65FE2" w:rsidRPr="00D66D7A" w:rsidRDefault="00B65FE2" w:rsidP="00D66D7A">
            <w:pPr>
              <w:pStyle w:val="NoSpacing"/>
              <w:jc w:val="left"/>
              <w:rPr>
                <w:sz w:val="20"/>
                <w:szCs w:val="20"/>
              </w:rPr>
            </w:pPr>
            <w:r w:rsidRPr="00D66D7A">
              <w:rPr>
                <w:sz w:val="20"/>
                <w:szCs w:val="20"/>
              </w:rPr>
              <w:t>Conclusive evidence for this hypothesis will demonstrate that absolute exogenous hormone levels (EE and SP) influence melanopsin-mediated pupil responses in individuals taking the monophasic combined oral contraceptive pill.</w:t>
            </w:r>
          </w:p>
        </w:tc>
        <w:tc>
          <w:tcPr>
            <w:tcW w:w="694" w:type="pct"/>
          </w:tcPr>
          <w:p w14:paraId="6105CD07" w14:textId="4877F83E" w:rsidR="00B65FE2" w:rsidRPr="00D66D7A" w:rsidRDefault="00B65FE2" w:rsidP="00D66D7A">
            <w:pPr>
              <w:pStyle w:val="NoSpacing"/>
              <w:jc w:val="left"/>
              <w:rPr>
                <w:sz w:val="20"/>
                <w:szCs w:val="20"/>
              </w:rPr>
            </w:pPr>
            <w:r w:rsidRPr="00D66D7A">
              <w:rPr>
                <w:sz w:val="20"/>
                <w:szCs w:val="20"/>
              </w:rPr>
              <w:t xml:space="preserve">Adding to the CH4a analysis, this analysis will inform on the site of action of exogenous hormones on light sensitivity along the non-visual pathway. This analysis builds on the one performed in CH4a to assess where, along the non-visual pathway, exogenous hormones influence light </w:t>
            </w:r>
            <w:r w:rsidRPr="00D66D7A">
              <w:rPr>
                <w:sz w:val="20"/>
                <w:szCs w:val="20"/>
              </w:rPr>
              <w:lastRenderedPageBreak/>
              <w:t xml:space="preserve">sensitivity. Refer to Table </w:t>
            </w:r>
            <w:r w:rsidR="00672953">
              <w:rPr>
                <w:sz w:val="20"/>
                <w:szCs w:val="20"/>
              </w:rPr>
              <w:t>7</w:t>
            </w:r>
            <w:r w:rsidRPr="00D66D7A">
              <w:rPr>
                <w:sz w:val="20"/>
                <w:szCs w:val="20"/>
              </w:rPr>
              <w:t xml:space="preserve"> for detailed interpretation.</w:t>
            </w:r>
          </w:p>
        </w:tc>
      </w:tr>
    </w:tbl>
    <w:p w14:paraId="6B6BFF28" w14:textId="7702BCB2" w:rsidR="00B65FE2" w:rsidRPr="002C3C78" w:rsidRDefault="00B65FE2" w:rsidP="005B1863">
      <w:pPr>
        <w:pStyle w:val="NoSpacing"/>
        <w:rPr>
          <w:sz w:val="20"/>
          <w:szCs w:val="20"/>
          <w:lang w:eastAsia="en-GB"/>
        </w:rPr>
      </w:pPr>
      <w:r w:rsidRPr="002C3C78">
        <w:rPr>
          <w:sz w:val="20"/>
          <w:szCs w:val="20"/>
          <w:lang w:eastAsia="en-GB"/>
        </w:rPr>
        <w:lastRenderedPageBreak/>
        <w:t xml:space="preserve">Table </w:t>
      </w:r>
      <w:r w:rsidR="00672953">
        <w:rPr>
          <w:sz w:val="20"/>
          <w:szCs w:val="20"/>
          <w:lang w:eastAsia="en-GB"/>
        </w:rPr>
        <w:t>6</w:t>
      </w:r>
      <w:r w:rsidRPr="002C3C78">
        <w:rPr>
          <w:sz w:val="20"/>
          <w:szCs w:val="20"/>
          <w:lang w:eastAsia="en-GB"/>
        </w:rPr>
        <w:t>.</w:t>
      </w:r>
      <w:r w:rsidRPr="002C3C78">
        <w:rPr>
          <w:b/>
          <w:bCs/>
          <w:sz w:val="20"/>
          <w:szCs w:val="20"/>
          <w:lang w:eastAsia="en-GB"/>
        </w:rPr>
        <w:t xml:space="preserve"> </w:t>
      </w:r>
      <w:r w:rsidRPr="002C3C78">
        <w:rPr>
          <w:sz w:val="20"/>
          <w:szCs w:val="20"/>
          <w:lang w:eastAsia="en-GB"/>
        </w:rPr>
        <w:t xml:space="preserve">Design table. </w:t>
      </w:r>
    </w:p>
    <w:p w14:paraId="29288171" w14:textId="77777777" w:rsidR="00B65FE2" w:rsidRDefault="00B65FE2" w:rsidP="3BA45619">
      <w:pPr>
        <w:spacing w:beforeAutospacing="1" w:afterAutospacing="1" w:line="240" w:lineRule="auto"/>
        <w:rPr>
          <w:b/>
          <w:bCs/>
          <w:sz w:val="16"/>
          <w:szCs w:val="16"/>
          <w:lang w:eastAsia="en-GB"/>
        </w:rPr>
      </w:pPr>
    </w:p>
    <w:p w14:paraId="11FA92B6" w14:textId="77777777" w:rsidR="00B65FE2" w:rsidRDefault="00B65FE2" w:rsidP="3BA45619">
      <w:pPr>
        <w:spacing w:beforeAutospacing="1" w:afterAutospacing="1" w:line="240" w:lineRule="auto"/>
        <w:rPr>
          <w:b/>
          <w:bCs/>
          <w:sz w:val="16"/>
          <w:szCs w:val="16"/>
          <w:lang w:eastAsia="en-GB"/>
        </w:rPr>
      </w:pPr>
    </w:p>
    <w:p w14:paraId="54DB0E9B" w14:textId="77777777" w:rsidR="00B65FE2" w:rsidRDefault="00B65FE2">
      <w:pPr>
        <w:rPr>
          <w:sz w:val="16"/>
          <w:szCs w:val="16"/>
          <w:lang w:eastAsia="en-GB"/>
        </w:rPr>
      </w:pPr>
    </w:p>
    <w:p w14:paraId="72CC3CE0" w14:textId="77777777" w:rsidR="00B65FE2" w:rsidRDefault="00B65FE2">
      <w:pPr>
        <w:rPr>
          <w:sz w:val="16"/>
          <w:szCs w:val="16"/>
          <w:lang w:eastAsia="en-GB"/>
        </w:rPr>
      </w:pPr>
      <w:r>
        <w:rPr>
          <w:sz w:val="16"/>
          <w:szCs w:val="16"/>
          <w:lang w:eastAsia="en-GB"/>
        </w:rPr>
        <w:br w:type="page"/>
      </w:r>
    </w:p>
    <w:p w14:paraId="20486526" w14:textId="77777777" w:rsidR="00B65FE2" w:rsidRDefault="00B65FE2" w:rsidP="5FE90344">
      <w:pPr>
        <w:spacing w:before="100" w:beforeAutospacing="1" w:after="100" w:afterAutospacing="1" w:line="240" w:lineRule="auto"/>
        <w:rPr>
          <w:b/>
          <w:bCs/>
          <w:color w:val="1D1C1D"/>
        </w:rPr>
      </w:pPr>
      <w:r w:rsidRPr="5FE90344">
        <w:rPr>
          <w:b/>
          <w:bCs/>
          <w:color w:val="1D1C1D"/>
        </w:rPr>
        <w:lastRenderedPageBreak/>
        <w:t>Outcome interpretation matrix for hormonal effects of neuroendocrine (melatonin suppression) and pupillary (melanopsin sensitivity) outcomes</w:t>
      </w:r>
    </w:p>
    <w:p w14:paraId="145D1B61" w14:textId="77777777" w:rsidR="00B65FE2" w:rsidRPr="009D6F2F" w:rsidRDefault="00B65FE2" w:rsidP="5FE90344">
      <w:pPr>
        <w:spacing w:before="100" w:beforeAutospacing="1" w:after="100" w:afterAutospacing="1" w:line="240" w:lineRule="auto"/>
        <w:rPr>
          <w:b/>
          <w:bCs/>
          <w:color w:val="1D1C1D"/>
        </w:rPr>
      </w:pPr>
      <w:r w:rsidRPr="5FE90344">
        <w:rPr>
          <w:color w:val="1D1C1D"/>
        </w:rPr>
        <w:t>For each Confirmatory hypothesis of this study, we analyse the influence of a given parameter of interest (</w:t>
      </w:r>
      <w:proofErr w:type="gramStart"/>
      <w:r w:rsidRPr="5FE90344">
        <w:rPr>
          <w:color w:val="1D1C1D"/>
        </w:rPr>
        <w:t>e.g.</w:t>
      </w:r>
      <w:proofErr w:type="gramEnd"/>
      <w:r w:rsidRPr="5FE90344">
        <w:rPr>
          <w:color w:val="1D1C1D"/>
        </w:rPr>
        <w:t xml:space="preserve"> sex, group, hormone levels) on melatonin suppression as well as melanopsin activation. The rationale for performing these two analyses in parallel is that looking at melanopsin function could provide mechanistic insights into whether any sex, group, or hormone effect on melatonin suppression already exists at the retinal level. The table below adds details on how we will interpret and compare results from these models looking at light sensitivity at different sites along the non-visual pathway (neuroendocrine: melatonin suppression, pupillary: melanopsin sensitivity). Here, we present an example for interpreting results from CH</w:t>
      </w:r>
      <w:r>
        <w:rPr>
          <w:color w:val="1D1C1D"/>
        </w:rPr>
        <w:t>3a</w:t>
      </w:r>
      <w:r w:rsidRPr="5FE90344">
        <w:rPr>
          <w:color w:val="1D1C1D"/>
        </w:rPr>
        <w:t xml:space="preserve"> and CH</w:t>
      </w:r>
      <w:r>
        <w:rPr>
          <w:color w:val="1D1C1D"/>
        </w:rPr>
        <w:t>3b.</w:t>
      </w:r>
      <w:r w:rsidRPr="5FE90344">
        <w:rPr>
          <w:color w:val="1D1C1D"/>
        </w:rPr>
        <w:t xml:space="preserve"> </w:t>
      </w:r>
    </w:p>
    <w:tbl>
      <w:tblPr>
        <w:tblW w:w="1445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6"/>
        <w:gridCol w:w="1949"/>
        <w:gridCol w:w="4961"/>
        <w:gridCol w:w="5245"/>
      </w:tblGrid>
      <w:tr w:rsidR="00B65FE2" w:rsidRPr="00837FD5" w14:paraId="130438CC" w14:textId="77777777" w:rsidTr="5CE66923">
        <w:trPr>
          <w:trHeight w:val="300"/>
        </w:trPr>
        <w:tc>
          <w:tcPr>
            <w:tcW w:w="4245" w:type="dxa"/>
            <w:gridSpan w:val="2"/>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2F01108" w14:textId="77777777" w:rsidR="00B65FE2" w:rsidRPr="00AF0F28" w:rsidRDefault="00B65FE2" w:rsidP="008F3E7F">
            <w:pPr>
              <w:spacing w:line="240" w:lineRule="auto"/>
              <w:jc w:val="center"/>
              <w:textAlignment w:val="baseline"/>
              <w:rPr>
                <w:b/>
                <w:bCs/>
                <w:sz w:val="18"/>
                <w:szCs w:val="18"/>
                <w:lang w:eastAsia="en-GB"/>
              </w:rPr>
            </w:pPr>
            <w:r w:rsidRPr="00AF0F28">
              <w:rPr>
                <w:b/>
                <w:bCs/>
                <w:lang w:eastAsia="en-GB"/>
              </w:rPr>
              <w:t>NC group</w:t>
            </w:r>
          </w:p>
        </w:tc>
        <w:tc>
          <w:tcPr>
            <w:tcW w:w="10206"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ECA53F8" w14:textId="77777777" w:rsidR="00B65FE2" w:rsidRPr="00837FD5" w:rsidRDefault="00B65FE2" w:rsidP="008F3E7F">
            <w:pPr>
              <w:spacing w:line="240" w:lineRule="auto"/>
              <w:jc w:val="center"/>
              <w:textAlignment w:val="baseline"/>
              <w:rPr>
                <w:rFonts w:ascii="Segoe UI" w:hAnsi="Segoe UI" w:cs="Segoe UI"/>
                <w:sz w:val="18"/>
                <w:szCs w:val="18"/>
                <w:lang w:eastAsia="en-GB"/>
              </w:rPr>
            </w:pPr>
            <w:r>
              <w:rPr>
                <w:b/>
                <w:bCs/>
                <w:lang w:eastAsia="en-GB"/>
              </w:rPr>
              <w:t>Effect of E2 and P4 levels on melatonin suppression</w:t>
            </w:r>
          </w:p>
        </w:tc>
      </w:tr>
      <w:tr w:rsidR="00B65FE2" w:rsidRPr="00837FD5" w14:paraId="5B9D2815" w14:textId="77777777" w:rsidTr="5CE66923">
        <w:trPr>
          <w:trHeight w:val="300"/>
        </w:trPr>
        <w:tc>
          <w:tcPr>
            <w:tcW w:w="4245" w:type="dxa"/>
            <w:gridSpan w:val="2"/>
            <w:vMerge/>
            <w:vAlign w:val="center"/>
            <w:hideMark/>
          </w:tcPr>
          <w:p w14:paraId="2403AC93" w14:textId="77777777" w:rsidR="00B65FE2" w:rsidRPr="00837FD5" w:rsidRDefault="00B65FE2" w:rsidP="008F3E7F">
            <w:pPr>
              <w:spacing w:line="240" w:lineRule="auto"/>
              <w:jc w:val="center"/>
              <w:rPr>
                <w:rFonts w:ascii="Segoe UI" w:hAnsi="Segoe UI" w:cs="Segoe UI"/>
                <w:sz w:val="18"/>
                <w:szCs w:val="18"/>
                <w:lang w:eastAsia="en-GB"/>
              </w:rPr>
            </w:pPr>
          </w:p>
        </w:tc>
        <w:tc>
          <w:tcPr>
            <w:tcW w:w="49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C003B4D" w14:textId="2C22C48D" w:rsidR="00B65FE2" w:rsidRPr="00837FD5" w:rsidRDefault="1BA531AA" w:rsidP="24B7B8C8">
            <w:pPr>
              <w:spacing w:line="240" w:lineRule="auto"/>
              <w:jc w:val="center"/>
            </w:pPr>
            <w:r w:rsidRPr="24B7B8C8">
              <w:rPr>
                <w:lang w:eastAsia="en-GB"/>
              </w:rPr>
              <w:t>Conclusive evidence</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FEFBFC7" w14:textId="1ECC032D" w:rsidR="00B65FE2" w:rsidRPr="00837FD5" w:rsidRDefault="1BA531AA" w:rsidP="008F3E7F">
            <w:pPr>
              <w:spacing w:line="240" w:lineRule="auto"/>
              <w:jc w:val="center"/>
              <w:textAlignment w:val="baseline"/>
              <w:rPr>
                <w:rFonts w:ascii="Segoe UI" w:hAnsi="Segoe UI" w:cs="Segoe UI"/>
                <w:sz w:val="18"/>
                <w:szCs w:val="18"/>
                <w:lang w:eastAsia="en-GB"/>
              </w:rPr>
            </w:pPr>
            <w:r w:rsidRPr="24B7B8C8">
              <w:rPr>
                <w:lang w:eastAsia="en-GB"/>
              </w:rPr>
              <w:t>Lack of</w:t>
            </w:r>
            <w:r w:rsidR="00B65FE2" w:rsidRPr="24B7B8C8">
              <w:rPr>
                <w:lang w:eastAsia="en-GB"/>
              </w:rPr>
              <w:t xml:space="preserve"> evidence </w:t>
            </w:r>
          </w:p>
        </w:tc>
      </w:tr>
      <w:tr w:rsidR="00B65FE2" w:rsidRPr="00837FD5" w14:paraId="1D00F754" w14:textId="77777777" w:rsidTr="5CE66923">
        <w:trPr>
          <w:trHeight w:val="2111"/>
        </w:trPr>
        <w:tc>
          <w:tcPr>
            <w:tcW w:w="2296"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71791F5" w14:textId="77777777" w:rsidR="00B65FE2" w:rsidRPr="00837FD5" w:rsidRDefault="00B65FE2" w:rsidP="008F3E7F">
            <w:pPr>
              <w:spacing w:line="240" w:lineRule="auto"/>
              <w:jc w:val="center"/>
              <w:textAlignment w:val="baseline"/>
              <w:rPr>
                <w:rFonts w:ascii="Segoe UI" w:hAnsi="Segoe UI" w:cs="Segoe UI"/>
                <w:sz w:val="18"/>
                <w:szCs w:val="18"/>
                <w:lang w:eastAsia="en-GB"/>
              </w:rPr>
            </w:pPr>
            <w:r w:rsidRPr="5FE90344">
              <w:rPr>
                <w:b/>
                <w:bCs/>
                <w:lang w:eastAsia="en-GB"/>
              </w:rPr>
              <w:t>Effect of E2 and P4 levels on melanopsin sensitivity</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E47462A" w14:textId="21BC761E" w:rsidR="00B65FE2" w:rsidRPr="00837FD5" w:rsidRDefault="5CE66923" w:rsidP="0029634B">
            <w:pPr>
              <w:ind w:firstLine="0"/>
              <w:jc w:val="center"/>
              <w:rPr>
                <w:lang w:eastAsia="en-GB"/>
              </w:rPr>
            </w:pPr>
            <w:r w:rsidRPr="5CE66923">
              <w:rPr>
                <w:lang w:eastAsia="en-GB"/>
              </w:rPr>
              <w:t>Conclusive evidence</w:t>
            </w:r>
          </w:p>
        </w:tc>
        <w:tc>
          <w:tcPr>
            <w:tcW w:w="49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F5B6AC9" w14:textId="77777777" w:rsidR="00B65FE2" w:rsidRPr="00837FD5" w:rsidRDefault="00B65FE2" w:rsidP="008F3E7F">
            <w:pPr>
              <w:spacing w:line="240" w:lineRule="auto"/>
              <w:jc w:val="center"/>
              <w:textAlignment w:val="baseline"/>
              <w:rPr>
                <w:rFonts w:ascii="Segoe UI" w:hAnsi="Segoe UI" w:cs="Segoe UI"/>
                <w:sz w:val="18"/>
                <w:szCs w:val="18"/>
                <w:lang w:eastAsia="en-GB"/>
              </w:rPr>
            </w:pPr>
            <w:r>
              <w:rPr>
                <w:lang w:eastAsia="en-GB"/>
              </w:rPr>
              <w:t>E2 and P4 levels</w:t>
            </w:r>
            <w:r w:rsidRPr="00837FD5">
              <w:rPr>
                <w:lang w:eastAsia="en-GB"/>
              </w:rPr>
              <w:t xml:space="preserve"> influence melatonin suppression and this</w:t>
            </w:r>
            <w:r>
              <w:rPr>
                <w:lang w:eastAsia="en-GB"/>
              </w:rPr>
              <w:t xml:space="preserve"> effect</w:t>
            </w:r>
            <w:r w:rsidRPr="00837FD5">
              <w:rPr>
                <w:lang w:eastAsia="en-GB"/>
              </w:rPr>
              <w:t xml:space="preserve"> is </w:t>
            </w:r>
            <w:r>
              <w:rPr>
                <w:lang w:eastAsia="en-GB"/>
              </w:rPr>
              <w:t>already observable at the level of the retina.</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11C7D54" w14:textId="77777777" w:rsidR="00B65FE2" w:rsidRPr="00837FD5" w:rsidRDefault="00B65FE2" w:rsidP="008F3E7F">
            <w:pPr>
              <w:spacing w:line="240" w:lineRule="auto"/>
              <w:jc w:val="center"/>
              <w:textAlignment w:val="baseline"/>
              <w:rPr>
                <w:rFonts w:ascii="Segoe UI" w:hAnsi="Segoe UI" w:cs="Segoe UI"/>
                <w:sz w:val="18"/>
                <w:szCs w:val="18"/>
                <w:lang w:eastAsia="en-GB"/>
              </w:rPr>
            </w:pPr>
            <w:r>
              <w:rPr>
                <w:lang w:eastAsia="en-GB"/>
              </w:rPr>
              <w:t>E2 and P4 levels</w:t>
            </w:r>
            <w:r w:rsidRPr="00837FD5">
              <w:rPr>
                <w:lang w:eastAsia="en-GB"/>
              </w:rPr>
              <w:t xml:space="preserve"> influence melanopsin function, but this is not mirrored in a</w:t>
            </w:r>
            <w:r>
              <w:rPr>
                <w:lang w:eastAsia="en-GB"/>
              </w:rPr>
              <w:t>n effect on</w:t>
            </w:r>
            <w:r w:rsidRPr="00837FD5">
              <w:rPr>
                <w:lang w:eastAsia="en-GB"/>
              </w:rPr>
              <w:t xml:space="preserve"> melatonin suppression. The differences in melanopsin function might be compensated somewhere in the non-visual pathway between melanopsin and the pineal gland.</w:t>
            </w:r>
          </w:p>
        </w:tc>
      </w:tr>
      <w:tr w:rsidR="00B65FE2" w:rsidRPr="00837FD5" w14:paraId="4D668CD4" w14:textId="77777777" w:rsidTr="5CE66923">
        <w:trPr>
          <w:trHeight w:val="2179"/>
        </w:trPr>
        <w:tc>
          <w:tcPr>
            <w:tcW w:w="0" w:type="auto"/>
            <w:vMerge/>
            <w:vAlign w:val="center"/>
            <w:hideMark/>
          </w:tcPr>
          <w:p w14:paraId="491D1600" w14:textId="77777777" w:rsidR="00B65FE2" w:rsidRPr="00837FD5" w:rsidRDefault="00B65FE2" w:rsidP="008F3E7F">
            <w:pPr>
              <w:spacing w:line="240" w:lineRule="auto"/>
              <w:jc w:val="center"/>
              <w:rPr>
                <w:rFonts w:ascii="Segoe UI" w:hAnsi="Segoe UI" w:cs="Segoe UI"/>
                <w:sz w:val="18"/>
                <w:szCs w:val="18"/>
                <w:lang w:eastAsia="en-GB"/>
              </w:rPr>
            </w:pP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BE1D896" w14:textId="17624B0B" w:rsidR="00B65FE2" w:rsidRPr="00837FD5" w:rsidRDefault="4ACCD66C" w:rsidP="0029634B">
            <w:pPr>
              <w:spacing w:line="240" w:lineRule="auto"/>
              <w:ind w:firstLine="0"/>
              <w:jc w:val="center"/>
            </w:pPr>
            <w:r w:rsidRPr="24B7B8C8">
              <w:rPr>
                <w:lang w:eastAsia="en-GB"/>
              </w:rPr>
              <w:t>Lack of evidence</w:t>
            </w:r>
          </w:p>
        </w:tc>
        <w:tc>
          <w:tcPr>
            <w:tcW w:w="49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23EE37C" w14:textId="77777777" w:rsidR="00B65FE2" w:rsidRPr="00837FD5" w:rsidRDefault="00B65FE2" w:rsidP="008F3E7F">
            <w:pPr>
              <w:spacing w:line="240" w:lineRule="auto"/>
              <w:jc w:val="center"/>
              <w:textAlignment w:val="baseline"/>
              <w:rPr>
                <w:rFonts w:ascii="Segoe UI" w:hAnsi="Segoe UI" w:cs="Segoe UI"/>
                <w:sz w:val="18"/>
                <w:szCs w:val="18"/>
                <w:lang w:eastAsia="en-GB"/>
              </w:rPr>
            </w:pPr>
            <w:r>
              <w:rPr>
                <w:lang w:eastAsia="en-GB"/>
              </w:rPr>
              <w:t>E2 and P4 levels</w:t>
            </w:r>
            <w:r w:rsidRPr="00837FD5">
              <w:rPr>
                <w:lang w:eastAsia="en-GB"/>
              </w:rPr>
              <w:t xml:space="preserve"> influence melatonin suppression, but this</w:t>
            </w:r>
            <w:r>
              <w:rPr>
                <w:lang w:eastAsia="en-GB"/>
              </w:rPr>
              <w:t xml:space="preserve"> effect cannot be seen at the retinal level.</w:t>
            </w:r>
            <w:r w:rsidRPr="00837FD5">
              <w:rPr>
                <w:lang w:eastAsia="en-GB"/>
              </w:rPr>
              <w:t xml:space="preserve"> </w:t>
            </w:r>
            <w:r>
              <w:rPr>
                <w:lang w:eastAsia="en-GB"/>
              </w:rPr>
              <w:t>E2 and P4 might directly or indirectly act at the post-retinal level to influence melatonin suppression.</w:t>
            </w:r>
          </w:p>
        </w:tc>
        <w:tc>
          <w:tcPr>
            <w:tcW w:w="52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1A9E296" w14:textId="77777777" w:rsidR="00B65FE2" w:rsidRPr="00837FD5" w:rsidRDefault="00B65FE2" w:rsidP="008F3E7F">
            <w:pPr>
              <w:spacing w:line="240" w:lineRule="auto"/>
              <w:jc w:val="center"/>
              <w:textAlignment w:val="baseline"/>
              <w:rPr>
                <w:rFonts w:ascii="Segoe UI" w:hAnsi="Segoe UI" w:cs="Segoe UI"/>
                <w:sz w:val="18"/>
                <w:szCs w:val="18"/>
                <w:lang w:eastAsia="en-GB"/>
              </w:rPr>
            </w:pPr>
            <w:r w:rsidRPr="00837FD5">
              <w:rPr>
                <w:lang w:eastAsia="en-GB"/>
              </w:rPr>
              <w:t xml:space="preserve">There is no influence of </w:t>
            </w:r>
            <w:r>
              <w:rPr>
                <w:lang w:eastAsia="en-GB"/>
              </w:rPr>
              <w:t>E2 and P4</w:t>
            </w:r>
            <w:r w:rsidRPr="00837FD5">
              <w:rPr>
                <w:lang w:eastAsia="en-GB"/>
              </w:rPr>
              <w:t xml:space="preserve"> on melatonin suppression and melanopsin function. An influence might be observed at other locations of the non-visual pathway.</w:t>
            </w:r>
          </w:p>
        </w:tc>
      </w:tr>
    </w:tbl>
    <w:p w14:paraId="72356FEA" w14:textId="12E0D320" w:rsidR="00B65FE2" w:rsidRPr="002C3C78" w:rsidRDefault="00B65FE2" w:rsidP="005B1863">
      <w:pPr>
        <w:pStyle w:val="NoSpacing"/>
        <w:rPr>
          <w:sz w:val="20"/>
          <w:szCs w:val="20"/>
        </w:rPr>
      </w:pPr>
      <w:r w:rsidRPr="24B7B8C8">
        <w:rPr>
          <w:sz w:val="20"/>
          <w:szCs w:val="20"/>
        </w:rPr>
        <w:t xml:space="preserve">Table </w:t>
      </w:r>
      <w:r w:rsidR="00672953">
        <w:rPr>
          <w:sz w:val="20"/>
          <w:szCs w:val="20"/>
        </w:rPr>
        <w:t>7</w:t>
      </w:r>
      <w:r w:rsidRPr="24B7B8C8">
        <w:rPr>
          <w:sz w:val="20"/>
          <w:szCs w:val="20"/>
        </w:rPr>
        <w:t>. Details on interpretations and comparisons of models where melatonin suppression and melanopsin activation are the dependent variables.</w:t>
      </w:r>
    </w:p>
    <w:p w14:paraId="431F7E7F" w14:textId="2A44ADF9" w:rsidR="00E0208E" w:rsidRDefault="00E0208E" w:rsidP="00F969BA">
      <w:pPr>
        <w:spacing w:line="480" w:lineRule="auto"/>
        <w:ind w:firstLine="0"/>
        <w:jc w:val="left"/>
      </w:pPr>
      <w:r>
        <w:br w:type="page"/>
      </w:r>
    </w:p>
    <w:p w14:paraId="5F474DCC" w14:textId="77777777" w:rsidR="00B65FE2" w:rsidRDefault="00B65FE2" w:rsidP="00E0208E">
      <w:pPr>
        <w:pStyle w:val="Heading1"/>
        <w:sectPr w:rsidR="00B65FE2" w:rsidSect="00B65FE2">
          <w:pgSz w:w="16838" w:h="11906" w:orient="landscape"/>
          <w:pgMar w:top="1440" w:right="1440" w:bottom="1440" w:left="1440" w:header="709" w:footer="709" w:gutter="0"/>
          <w:cols w:space="708"/>
          <w:docGrid w:linePitch="360"/>
        </w:sectPr>
      </w:pPr>
    </w:p>
    <w:p w14:paraId="27D2E926" w14:textId="345295BD" w:rsidR="00E0208E" w:rsidRDefault="00E0208E" w:rsidP="00CC766F">
      <w:pPr>
        <w:pStyle w:val="Heading1"/>
        <w:suppressLineNumbers/>
      </w:pPr>
      <w:r>
        <w:lastRenderedPageBreak/>
        <w:t>References</w:t>
      </w:r>
    </w:p>
    <w:p w14:paraId="331556EA" w14:textId="77777777" w:rsidR="00DA4730" w:rsidRPr="00DA4730" w:rsidRDefault="00E0208E" w:rsidP="00CC766F">
      <w:pPr>
        <w:pStyle w:val="Bibliography"/>
        <w:suppressLineNumbers/>
        <w:rPr>
          <w:lang w:val="de-DE"/>
        </w:rPr>
      </w:pPr>
      <w:r>
        <w:fldChar w:fldCharType="begin"/>
      </w:r>
      <w:r w:rsidR="00DA4730">
        <w:instrText xml:space="preserve"> ADDIN ZOTERO_BIBL {"uncited":[],"omitted":[],"custom":[]} CSL_BIBLIOGRAPHY </w:instrText>
      </w:r>
      <w:r>
        <w:fldChar w:fldCharType="separate"/>
      </w:r>
      <w:r w:rsidR="00DA4730">
        <w:rPr>
          <w:i/>
          <w:iCs/>
        </w:rPr>
        <w:t>Advanced Digital Ovulation Test: Typically identifies 4 or more Fertile Days</w:t>
      </w:r>
      <w:r w:rsidR="00DA4730">
        <w:t xml:space="preserve">. </w:t>
      </w:r>
      <w:r w:rsidR="00DA4730" w:rsidRPr="00DA4730">
        <w:rPr>
          <w:lang w:val="de-DE"/>
        </w:rPr>
        <w:t>(2016, April 20). https://www.clearblue.com/ovulation-tests/advanced-digital</w:t>
      </w:r>
    </w:p>
    <w:p w14:paraId="54B425B3" w14:textId="77777777" w:rsidR="00DA4730" w:rsidRDefault="00DA4730" w:rsidP="00CC766F">
      <w:pPr>
        <w:pStyle w:val="Bibliography"/>
        <w:suppressLineNumbers/>
      </w:pPr>
      <w:r w:rsidRPr="00DA4730">
        <w:rPr>
          <w:lang w:val="de-DE"/>
        </w:rPr>
        <w:t xml:space="preserve">Akerstedt, T., &amp; Gillberg, M. (1990). </w:t>
      </w:r>
      <w:r>
        <w:t xml:space="preserve">Subjective and objective sleepiness in the active individual. </w:t>
      </w:r>
      <w:r>
        <w:rPr>
          <w:i/>
          <w:iCs/>
        </w:rPr>
        <w:t>The International Journal of Neuroscience</w:t>
      </w:r>
      <w:r>
        <w:t xml:space="preserve">, </w:t>
      </w:r>
      <w:r>
        <w:rPr>
          <w:i/>
          <w:iCs/>
        </w:rPr>
        <w:t>52</w:t>
      </w:r>
      <w:r>
        <w:t>(1–2), 29–37. https://doi.org/10.3109/00207459008994241</w:t>
      </w:r>
    </w:p>
    <w:p w14:paraId="1E1723F0" w14:textId="77777777" w:rsidR="00DA4730" w:rsidRDefault="00DA4730" w:rsidP="00CC766F">
      <w:pPr>
        <w:pStyle w:val="Bibliography"/>
        <w:suppressLineNumbers/>
      </w:pPr>
      <w:r>
        <w:t xml:space="preserve">Arslan, R. C., Blake, K., Botzet, L. J., Bürkner, P.-C., DeBruine, L., Fiers, T., Grebe, N., Hahn, A., Jones, B. C., Marcinkowska, U. M., Mumford, S. L., Penke, L., Roney, J. R., Schisterman, E. F., &amp; Stern, J. (2023). Not within spitting distance: Salivary immunoassays of estradiol have subpar validity for predicting cycle phase. </w:t>
      </w:r>
      <w:r>
        <w:rPr>
          <w:i/>
          <w:iCs/>
        </w:rPr>
        <w:t>Psychoneuroendocrinology</w:t>
      </w:r>
      <w:r>
        <w:t xml:space="preserve">, </w:t>
      </w:r>
      <w:r>
        <w:rPr>
          <w:i/>
          <w:iCs/>
        </w:rPr>
        <w:t>149</w:t>
      </w:r>
      <w:r>
        <w:t>, 105994. https://doi.org/10.1016/j.psyneuen.2022.105994</w:t>
      </w:r>
    </w:p>
    <w:p w14:paraId="78CA74D7" w14:textId="77777777" w:rsidR="00DA4730" w:rsidRDefault="00DA4730" w:rsidP="00CC766F">
      <w:pPr>
        <w:pStyle w:val="Bibliography"/>
        <w:suppressLineNumbers/>
      </w:pPr>
      <w:r>
        <w:t xml:space="preserve">Barth, C., Crestol, A., Lange, A.-M. G. de, &amp; Galea, L. A. M. (2023). Sex steroids and the female brain across the lifespan: Insights into risk of depression and Alzheimer’s disease. </w:t>
      </w:r>
      <w:r>
        <w:rPr>
          <w:i/>
          <w:iCs/>
        </w:rPr>
        <w:t>The Lancet Diabetes &amp; Endocrinology</w:t>
      </w:r>
      <w:r>
        <w:t xml:space="preserve">, </w:t>
      </w:r>
      <w:r>
        <w:rPr>
          <w:i/>
          <w:iCs/>
        </w:rPr>
        <w:t>11</w:t>
      </w:r>
      <w:r>
        <w:t>(12), 926–941. https://doi.org/10.1016/S2213-8587(23)00224-3</w:t>
      </w:r>
    </w:p>
    <w:p w14:paraId="09F16753" w14:textId="77777777" w:rsidR="00DA4730" w:rsidRDefault="00DA4730" w:rsidP="00CC766F">
      <w:pPr>
        <w:pStyle w:val="Bibliography"/>
        <w:suppressLineNumbers/>
      </w:pPr>
      <w:r>
        <w:t xml:space="preserve">Bates, D., Mächler, M., Bolker, B., &amp; Walker, S. (2015). Fitting Linear Mixed-Effects Models Using lme4. </w:t>
      </w:r>
      <w:r>
        <w:rPr>
          <w:i/>
          <w:iCs/>
        </w:rPr>
        <w:t>Journal of Statistical Software</w:t>
      </w:r>
      <w:r>
        <w:t xml:space="preserve">, </w:t>
      </w:r>
      <w:r>
        <w:rPr>
          <w:i/>
          <w:iCs/>
        </w:rPr>
        <w:t>67</w:t>
      </w:r>
      <w:r>
        <w:t>, 1–48. https://doi.org/10.18637/jss.v067.i01</w:t>
      </w:r>
    </w:p>
    <w:p w14:paraId="0D15A183" w14:textId="77777777" w:rsidR="00DA4730" w:rsidRDefault="00DA4730" w:rsidP="00CC766F">
      <w:pPr>
        <w:pStyle w:val="Bibliography"/>
        <w:suppressLineNumbers/>
      </w:pPr>
      <w:r>
        <w:t xml:space="preserve">Bland, M. J., &amp; Altman, D. G. (1986). STATISTICAL METHODS FOR ASSESSING AGREEMENT BETWEEN TWO METHODS OF CLINICAL MEASUREMENT. </w:t>
      </w:r>
      <w:r>
        <w:rPr>
          <w:i/>
          <w:iCs/>
        </w:rPr>
        <w:t>The Lancet</w:t>
      </w:r>
      <w:r>
        <w:t xml:space="preserve">, </w:t>
      </w:r>
      <w:r>
        <w:rPr>
          <w:i/>
          <w:iCs/>
        </w:rPr>
        <w:t>327</w:t>
      </w:r>
      <w:r>
        <w:t>(8476), 307–310. https://doi.org/10.1016/S0140-6736(86)90837-8</w:t>
      </w:r>
    </w:p>
    <w:p w14:paraId="11E1E793" w14:textId="77777777" w:rsidR="00DA4730" w:rsidRPr="00DA4730" w:rsidRDefault="00DA4730" w:rsidP="00CC766F">
      <w:pPr>
        <w:pStyle w:val="Bibliography"/>
        <w:suppressLineNumbers/>
        <w:rPr>
          <w:lang w:val="de-DE"/>
        </w:rPr>
      </w:pPr>
      <w:r>
        <w:t xml:space="preserve">Blume, C., Garbazza, C., &amp; Spitschan, M. (2019). Effects of light on human circadian rhythms, sleep and mood. </w:t>
      </w:r>
      <w:r w:rsidRPr="00DA4730">
        <w:rPr>
          <w:i/>
          <w:iCs/>
          <w:lang w:val="de-DE"/>
        </w:rPr>
        <w:t>Somnologie</w:t>
      </w:r>
      <w:r w:rsidRPr="00DA4730">
        <w:rPr>
          <w:lang w:val="de-DE"/>
        </w:rPr>
        <w:t xml:space="preserve">, </w:t>
      </w:r>
      <w:r w:rsidRPr="00DA4730">
        <w:rPr>
          <w:i/>
          <w:iCs/>
          <w:lang w:val="de-DE"/>
        </w:rPr>
        <w:t>23</w:t>
      </w:r>
      <w:r w:rsidRPr="00DA4730">
        <w:rPr>
          <w:lang w:val="de-DE"/>
        </w:rPr>
        <w:t>(3), 147–156. https://doi.org/10.1007/s11818-019-00215-x</w:t>
      </w:r>
    </w:p>
    <w:p w14:paraId="227DA2BC" w14:textId="77777777" w:rsidR="00DA4730" w:rsidRDefault="00DA4730" w:rsidP="00CC766F">
      <w:pPr>
        <w:pStyle w:val="Bibliography"/>
        <w:suppressLineNumbers/>
      </w:pPr>
      <w:r w:rsidRPr="00DA4730">
        <w:rPr>
          <w:lang w:val="de-DE"/>
        </w:rPr>
        <w:t xml:space="preserve">Brainard, G. C., Hanifin, J. P., Greeson, J. M., Byrne, B., Glickman, G., Gerner, E., &amp; Rollag, M. D. (2001). </w:t>
      </w:r>
      <w:r>
        <w:t xml:space="preserve">Action Spectrum for Melatonin Regulation in Humans: Evidence for a Novel Circadian Photoreceptor. </w:t>
      </w:r>
      <w:r>
        <w:rPr>
          <w:i/>
          <w:iCs/>
        </w:rPr>
        <w:t>The Journal of Neuroscience</w:t>
      </w:r>
      <w:r>
        <w:t xml:space="preserve">, </w:t>
      </w:r>
      <w:r>
        <w:rPr>
          <w:i/>
          <w:iCs/>
        </w:rPr>
        <w:t>21</w:t>
      </w:r>
      <w:r>
        <w:t>(16), 6405–6412. https://doi.org/10.1523/JNEUROSCI.21-16-06405.2001</w:t>
      </w:r>
    </w:p>
    <w:p w14:paraId="48D8BFD7" w14:textId="77777777" w:rsidR="00DA4730" w:rsidRDefault="00DA4730" w:rsidP="00CC766F">
      <w:pPr>
        <w:pStyle w:val="Bibliography"/>
        <w:suppressLineNumbers/>
      </w:pPr>
      <w:r>
        <w:t xml:space="preserve">Brown, T. M., Brainard, G. C., Cajochen, C., Czeisler, C. A., Hanifin, J. P., Lockley, S. W., Lucas, R. J., Münch, M., O’Hagan, J. B., Peirson, S. N., Price, L. L. A., Roenneberg, T., Schlangen, L. J. M., Skene, D. J., Spitschan, M., Vetter, C., Zee, P. C., &amp; Jr, K. P. W. (2022). Recommendations for daytime, evening, and nighttime indoor light exposure to best support physiology, sleep, and wakefulness in healthy adults. </w:t>
      </w:r>
      <w:r>
        <w:rPr>
          <w:i/>
          <w:iCs/>
        </w:rPr>
        <w:t>PLOS Biology</w:t>
      </w:r>
      <w:r>
        <w:t xml:space="preserve">, </w:t>
      </w:r>
      <w:r>
        <w:rPr>
          <w:i/>
          <w:iCs/>
        </w:rPr>
        <w:t>20</w:t>
      </w:r>
      <w:r>
        <w:t>(3), e3001571. https://doi.org/10.1371/journal.pbio.3001571</w:t>
      </w:r>
    </w:p>
    <w:p w14:paraId="3E448820" w14:textId="77777777" w:rsidR="00DA4730" w:rsidRPr="00DA4730" w:rsidRDefault="00DA4730" w:rsidP="00CC766F">
      <w:pPr>
        <w:pStyle w:val="Bibliography"/>
        <w:suppressLineNumbers/>
        <w:rPr>
          <w:lang w:val="de-DE"/>
        </w:rPr>
      </w:pPr>
      <w:r>
        <w:lastRenderedPageBreak/>
        <w:t xml:space="preserve">Buysse, D. J., Reynolds, C. F., Monk, T. H., Berman, S. R., &amp; Kupfer, D. J. (1989). The Pittsburgh sleep quality index: A new instrument for psychiatric practice and research. </w:t>
      </w:r>
      <w:r w:rsidRPr="00DA4730">
        <w:rPr>
          <w:i/>
          <w:iCs/>
          <w:lang w:val="de-DE"/>
        </w:rPr>
        <w:t>Psychiatry Research</w:t>
      </w:r>
      <w:r w:rsidRPr="00DA4730">
        <w:rPr>
          <w:lang w:val="de-DE"/>
        </w:rPr>
        <w:t xml:space="preserve">, </w:t>
      </w:r>
      <w:r w:rsidRPr="00DA4730">
        <w:rPr>
          <w:i/>
          <w:iCs/>
          <w:lang w:val="de-DE"/>
        </w:rPr>
        <w:t>28</w:t>
      </w:r>
      <w:r w:rsidRPr="00DA4730">
        <w:rPr>
          <w:lang w:val="de-DE"/>
        </w:rPr>
        <w:t>(2), 193–213. https://doi.org/10.1016/0165-1781(89)90047-4</w:t>
      </w:r>
    </w:p>
    <w:p w14:paraId="6627187A" w14:textId="77777777" w:rsidR="00DA4730" w:rsidRDefault="00DA4730" w:rsidP="00CC766F">
      <w:pPr>
        <w:pStyle w:val="Bibliography"/>
        <w:suppressLineNumbers/>
      </w:pPr>
      <w:r w:rsidRPr="00DA4730">
        <w:rPr>
          <w:lang w:val="de-DE"/>
        </w:rPr>
        <w:t xml:space="preserve">Carney, C. E., Buysse, D. J., Ancoli-Israel, S., Edinger, J. D., Krystal, A. D., Lichstein, K. L., &amp; Morin, C. M. (2012). </w:t>
      </w:r>
      <w:r>
        <w:t xml:space="preserve">The Consensus Sleep Diary: Standardizing Prospective Sleep Self-Monitoring. </w:t>
      </w:r>
      <w:r>
        <w:rPr>
          <w:i/>
          <w:iCs/>
        </w:rPr>
        <w:t>Sleep</w:t>
      </w:r>
      <w:r>
        <w:t xml:space="preserve">, </w:t>
      </w:r>
      <w:r>
        <w:rPr>
          <w:i/>
          <w:iCs/>
        </w:rPr>
        <w:t>35</w:t>
      </w:r>
      <w:r>
        <w:t>(2), 287–302. https://doi.org/10.5665/sleep.1642</w:t>
      </w:r>
    </w:p>
    <w:p w14:paraId="04E2ECE5" w14:textId="77777777" w:rsidR="00DA4730" w:rsidRDefault="00DA4730" w:rsidP="00CC766F">
      <w:pPr>
        <w:pStyle w:val="Bibliography"/>
        <w:suppressLineNumbers/>
      </w:pPr>
      <w:r>
        <w:t xml:space="preserve">Chellappa, S. L. (2021). Individual differences in light sensitivity affect sleep and circadian rhythms. </w:t>
      </w:r>
      <w:r>
        <w:rPr>
          <w:i/>
          <w:iCs/>
        </w:rPr>
        <w:t>Sleep</w:t>
      </w:r>
      <w:r>
        <w:t xml:space="preserve">, </w:t>
      </w:r>
      <w:r>
        <w:rPr>
          <w:i/>
          <w:iCs/>
        </w:rPr>
        <w:t>44</w:t>
      </w:r>
      <w:r>
        <w:t>(2), zsaa214. https://doi.org/10.1093/sleep/zsaa214</w:t>
      </w:r>
    </w:p>
    <w:p w14:paraId="10A6C83D" w14:textId="77777777" w:rsidR="00DA4730" w:rsidRDefault="00DA4730" w:rsidP="00CC766F">
      <w:pPr>
        <w:pStyle w:val="Bibliography"/>
        <w:suppressLineNumbers/>
      </w:pPr>
      <w:r>
        <w:t xml:space="preserve">Fazlali, F., Lazar, R. R., Yahya, F., Stefani, O., Spitschan, M., &amp; Cajochen, C. (2024). </w:t>
      </w:r>
      <w:r>
        <w:rPr>
          <w:i/>
          <w:iCs/>
        </w:rPr>
        <w:t>Sex and seasonal variations in melatonin suppression, and alerting response to light</w:t>
      </w:r>
      <w:r>
        <w:t xml:space="preserve"> (p. 2024.10.18.619012). bioRxiv. https://doi.org/10.1101/2024.10.18.619012</w:t>
      </w:r>
    </w:p>
    <w:p w14:paraId="695C84BB" w14:textId="77777777" w:rsidR="00DA4730" w:rsidRDefault="00DA4730" w:rsidP="00CC766F">
      <w:pPr>
        <w:pStyle w:val="Bibliography"/>
        <w:suppressLineNumbers/>
      </w:pPr>
      <w:r w:rsidRPr="00DA4730">
        <w:rPr>
          <w:lang w:val="de-DE"/>
        </w:rPr>
        <w:t xml:space="preserve">Fernandez-Alonso, M., &amp; Spitschan, M. (2025). </w:t>
      </w:r>
      <w:r>
        <w:t xml:space="preserve">Standardized and Calibrated Light Stimuli via Head-Mounted Displays for Investigating the Nonvisual Effects of Light. </w:t>
      </w:r>
      <w:r>
        <w:rPr>
          <w:i/>
          <w:iCs/>
        </w:rPr>
        <w:t>Journal of Pineal Research</w:t>
      </w:r>
      <w:r>
        <w:t xml:space="preserve">, </w:t>
      </w:r>
      <w:r>
        <w:rPr>
          <w:i/>
          <w:iCs/>
        </w:rPr>
        <w:t>77</w:t>
      </w:r>
      <w:r>
        <w:t>(4), e70051. https://doi.org/10.1111/jpi.70051</w:t>
      </w:r>
    </w:p>
    <w:p w14:paraId="1D5CD918" w14:textId="77777777" w:rsidR="00DA4730" w:rsidRPr="00DA4730" w:rsidRDefault="00DA4730" w:rsidP="00CC766F">
      <w:pPr>
        <w:pStyle w:val="Bibliography"/>
        <w:suppressLineNumbers/>
        <w:rPr>
          <w:lang w:val="de-DE"/>
        </w:rPr>
      </w:pPr>
      <w:r>
        <w:t xml:space="preserve">Gibertoni, G., Hromov, A., Piffaretti, F., &amp; Geiser, M. H. (2024). Development of an Innovative Pupillometer Able to Selectively Stimulate the Eye’s Fundus Photoreceptor Cells. </w:t>
      </w:r>
      <w:r w:rsidRPr="00DA4730">
        <w:rPr>
          <w:i/>
          <w:iCs/>
          <w:lang w:val="de-DE"/>
        </w:rPr>
        <w:t>Diagnostics</w:t>
      </w:r>
      <w:r w:rsidRPr="00DA4730">
        <w:rPr>
          <w:lang w:val="de-DE"/>
        </w:rPr>
        <w:t xml:space="preserve">, </w:t>
      </w:r>
      <w:r w:rsidRPr="00DA4730">
        <w:rPr>
          <w:i/>
          <w:iCs/>
          <w:lang w:val="de-DE"/>
        </w:rPr>
        <w:t>14</w:t>
      </w:r>
      <w:r w:rsidRPr="00DA4730">
        <w:rPr>
          <w:lang w:val="de-DE"/>
        </w:rPr>
        <w:t>(17), Article 17. https://doi.org/10.3390/diagnostics14171940</w:t>
      </w:r>
    </w:p>
    <w:p w14:paraId="0E013B6C" w14:textId="77777777" w:rsidR="00DA4730" w:rsidRDefault="00DA4730" w:rsidP="00CC766F">
      <w:pPr>
        <w:pStyle w:val="Bibliography"/>
        <w:suppressLineNumbers/>
      </w:pPr>
      <w:r w:rsidRPr="00DA4730">
        <w:rPr>
          <w:lang w:val="de-DE"/>
        </w:rPr>
        <w:t xml:space="preserve">Giménez, M. C., Stefani, O., Cajochen, C., Lang, D., Deuring, G., &amp; Schlangen, L. J. M. (2022). </w:t>
      </w:r>
      <w:r>
        <w:t xml:space="preserve">Predicting melatonin suppression by light in humans: Unifying photoreceptor-based equivalent daylight illuminances, spectral composition, timing and duration of light exposure. </w:t>
      </w:r>
      <w:r>
        <w:rPr>
          <w:i/>
          <w:iCs/>
        </w:rPr>
        <w:t>Journal of Pineal Research</w:t>
      </w:r>
      <w:r>
        <w:t xml:space="preserve">, </w:t>
      </w:r>
      <w:r>
        <w:rPr>
          <w:i/>
          <w:iCs/>
        </w:rPr>
        <w:t>72</w:t>
      </w:r>
      <w:r>
        <w:t>(2), e12786. https://doi.org/10.1111/jpi.12786</w:t>
      </w:r>
    </w:p>
    <w:p w14:paraId="60515F92" w14:textId="77777777" w:rsidR="00DA4730" w:rsidRDefault="00DA4730" w:rsidP="00CC766F">
      <w:pPr>
        <w:pStyle w:val="Bibliography"/>
        <w:suppressLineNumbers/>
      </w:pPr>
      <w:r>
        <w:t xml:space="preserve">Guidolin, C., &amp; Spitschan, M. (2024). </w:t>
      </w:r>
      <w:r>
        <w:rPr>
          <w:i/>
          <w:iCs/>
        </w:rPr>
        <w:t>Sex-related and hormone-related differences in non-visual responses to light exposure—Comparison—ORKG</w:t>
      </w:r>
      <w:r>
        <w:t>. https://orkg.org/comparison/R733094</w:t>
      </w:r>
    </w:p>
    <w:p w14:paraId="2CCC4CDE" w14:textId="77777777" w:rsidR="00DA4730" w:rsidRDefault="00DA4730" w:rsidP="00CC766F">
      <w:pPr>
        <w:pStyle w:val="Bibliography"/>
        <w:suppressLineNumbers/>
      </w:pPr>
      <w:r>
        <w:t xml:space="preserve">Guidolin, C., Zauner, J., Hartmeyer, S. L., &amp; Spitschan, M. (2025). </w:t>
      </w:r>
      <w:r>
        <w:rPr>
          <w:i/>
          <w:iCs/>
        </w:rPr>
        <w:t>Collecting, detecting and handling non-wear intervals in longitudinal light exposure data</w:t>
      </w:r>
      <w:r>
        <w:t xml:space="preserve"> (p. 2024.12.23.627604). bioRxiv. https://doi.org/10.1101/2024.12.23.627604</w:t>
      </w:r>
    </w:p>
    <w:p w14:paraId="34AD988C" w14:textId="77777777" w:rsidR="00DA4730" w:rsidRDefault="00DA4730" w:rsidP="00CC766F">
      <w:pPr>
        <w:pStyle w:val="Bibliography"/>
        <w:suppressLineNumbers/>
      </w:pPr>
      <w:r>
        <w:t xml:space="preserve">Hambridge, H. L., Mumford, S. L., Mattison, D. R., Ye, A., Pollack, A. Z., Bloom, M. S., Mendola, P., Lynch, K. L., Wactawski-Wende, J., &amp; Schisterman, E. F. (2013). The influence of sporadic anovulation on hormone levels in ovulatory cycles. </w:t>
      </w:r>
      <w:r>
        <w:rPr>
          <w:i/>
          <w:iCs/>
        </w:rPr>
        <w:t>Human Reproduction (Oxford, England)</w:t>
      </w:r>
      <w:r>
        <w:t xml:space="preserve">, </w:t>
      </w:r>
      <w:r>
        <w:rPr>
          <w:i/>
          <w:iCs/>
        </w:rPr>
        <w:t>28</w:t>
      </w:r>
      <w:r>
        <w:t>(6), 1687–1694. https://doi.org/10.1093/humrep/det090</w:t>
      </w:r>
    </w:p>
    <w:p w14:paraId="02C1F9AC" w14:textId="77777777" w:rsidR="00DA4730" w:rsidRDefault="00DA4730" w:rsidP="00CC766F">
      <w:pPr>
        <w:pStyle w:val="Bibliography"/>
        <w:suppressLineNumbers/>
      </w:pPr>
      <w:r>
        <w:t xml:space="preserve">Hampson, E. (2020). A brief guide to the menstrual cycle and oral contraceptive use for researchers in behavioral endocrinology. </w:t>
      </w:r>
      <w:r>
        <w:rPr>
          <w:i/>
          <w:iCs/>
        </w:rPr>
        <w:t>Hormones and Behavior</w:t>
      </w:r>
      <w:r>
        <w:t xml:space="preserve">, </w:t>
      </w:r>
      <w:r>
        <w:rPr>
          <w:i/>
          <w:iCs/>
        </w:rPr>
        <w:t>119</w:t>
      </w:r>
      <w:r>
        <w:t>, 104655. https://doi.org/10.1016/j.yhbeh.2019.104655</w:t>
      </w:r>
    </w:p>
    <w:p w14:paraId="6693E18C" w14:textId="77777777" w:rsidR="00DA4730" w:rsidRDefault="00DA4730" w:rsidP="00CC766F">
      <w:pPr>
        <w:pStyle w:val="Bibliography"/>
        <w:suppressLineNumbers/>
      </w:pPr>
      <w:r>
        <w:lastRenderedPageBreak/>
        <w:t xml:space="preserve">Hampson, E. (2023). Oral contraceptives in the central nervous system: Basic pharmacology, methodological considerations, and current state of the field. </w:t>
      </w:r>
      <w:r>
        <w:rPr>
          <w:i/>
          <w:iCs/>
        </w:rPr>
        <w:t>Frontiers in Neuroendocrinology</w:t>
      </w:r>
      <w:r>
        <w:t xml:space="preserve">, </w:t>
      </w:r>
      <w:r>
        <w:rPr>
          <w:i/>
          <w:iCs/>
        </w:rPr>
        <w:t>68</w:t>
      </w:r>
      <w:r>
        <w:t>, 101040. https://doi.org/10.1016/j.yfrne.2022.101040</w:t>
      </w:r>
    </w:p>
    <w:p w14:paraId="52409C31" w14:textId="77777777" w:rsidR="00DA4730" w:rsidRDefault="00DA4730" w:rsidP="00CC766F">
      <w:pPr>
        <w:pStyle w:val="Bibliography"/>
        <w:suppressLineNumbers/>
      </w:pPr>
      <w:r>
        <w:t xml:space="preserve">Harris, P. A., Swafford, J., Serdoz, E. S., Eidenmuller, J., Delacqua, G., Jagtap, V., Taylor, R. J., Gelbard, A., Cheng, A. C., &amp; Duda, S. N. (2022). MyCap: A flexible and configurable platform for mobilizing the participant voice. </w:t>
      </w:r>
      <w:r>
        <w:rPr>
          <w:i/>
          <w:iCs/>
        </w:rPr>
        <w:t>JAMIA Open</w:t>
      </w:r>
      <w:r>
        <w:t xml:space="preserve">, </w:t>
      </w:r>
      <w:r>
        <w:rPr>
          <w:i/>
          <w:iCs/>
        </w:rPr>
        <w:t>5</w:t>
      </w:r>
      <w:r>
        <w:t>(2), ooac047. https://doi.org/10.1093/jamiaopen/ooac047</w:t>
      </w:r>
    </w:p>
    <w:p w14:paraId="13B4D699" w14:textId="77777777" w:rsidR="00DA4730" w:rsidRDefault="00DA4730" w:rsidP="00CC766F">
      <w:pPr>
        <w:pStyle w:val="Bibliography"/>
        <w:suppressLineNumbers/>
      </w:pPr>
      <w:r>
        <w:t xml:space="preserve">Harris, P. A., Taylor, R., Minor, B. L., Elliott, V., Fernandez, M., O’Neal, L., McLeod, L., Delacqua, G., Delacqua, F., Kirby, J., &amp; Duda, S. N. (2019). The REDCap consortium: Building an international community of software platform partners. </w:t>
      </w:r>
      <w:r>
        <w:rPr>
          <w:i/>
          <w:iCs/>
        </w:rPr>
        <w:t>Journal of Biomedical Informatics</w:t>
      </w:r>
      <w:r>
        <w:t xml:space="preserve">, </w:t>
      </w:r>
      <w:r>
        <w:rPr>
          <w:i/>
          <w:iCs/>
        </w:rPr>
        <w:t>95</w:t>
      </w:r>
      <w:r>
        <w:t>, 103208. https://doi.org/10.1016/j.jbi.2019.103208</w:t>
      </w:r>
    </w:p>
    <w:p w14:paraId="1B997A69" w14:textId="77777777" w:rsidR="00DA4730" w:rsidRDefault="00DA4730" w:rsidP="00CC766F">
      <w:pPr>
        <w:pStyle w:val="Bibliography"/>
        <w:suppressLineNumbers/>
      </w:pPr>
      <w:r>
        <w:t xml:space="preserve">Harris, P. A., Taylor, R., Thielke, R., Payne, J., Gonzalez, N., &amp; Conde, J. G. (2009). Research electronic data capture (REDCap)—A metadata-driven methodology and workflow process for providing translational research informatics support. </w:t>
      </w:r>
      <w:r>
        <w:rPr>
          <w:i/>
          <w:iCs/>
        </w:rPr>
        <w:t>Journal of Biomedical Informatics</w:t>
      </w:r>
      <w:r>
        <w:t xml:space="preserve">, </w:t>
      </w:r>
      <w:r>
        <w:rPr>
          <w:i/>
          <w:iCs/>
        </w:rPr>
        <w:t>42</w:t>
      </w:r>
      <w:r>
        <w:t>(2), 377–381. https://doi.org/10.1016/j.jbi.2008.08.010</w:t>
      </w:r>
    </w:p>
    <w:p w14:paraId="69F9C4EA" w14:textId="77777777" w:rsidR="00DA4730" w:rsidRDefault="00DA4730" w:rsidP="00CC766F">
      <w:pPr>
        <w:pStyle w:val="Bibliography"/>
        <w:suppressLineNumbers/>
      </w:pPr>
      <w:r>
        <w:t xml:space="preserve">Heidari, S., Babor, T. F., De Castro, P., Tort, S., &amp; Curno, M. (2016). Sex and Gender Equity in Research: Rationale for the SAGER guidelines and recommended use. </w:t>
      </w:r>
      <w:r>
        <w:rPr>
          <w:i/>
          <w:iCs/>
        </w:rPr>
        <w:t>Research Integrity and Peer Review</w:t>
      </w:r>
      <w:r>
        <w:t xml:space="preserve">, </w:t>
      </w:r>
      <w:r>
        <w:rPr>
          <w:i/>
          <w:iCs/>
        </w:rPr>
        <w:t>1</w:t>
      </w:r>
      <w:r>
        <w:t>(1), 2. https://doi.org/10.1186/s41073-016-0007-6</w:t>
      </w:r>
    </w:p>
    <w:p w14:paraId="2E043CBF" w14:textId="77777777" w:rsidR="00DA4730" w:rsidRDefault="00DA4730" w:rsidP="00CC766F">
      <w:pPr>
        <w:pStyle w:val="Bibliography"/>
        <w:suppressLineNumbers/>
      </w:pPr>
      <w:r>
        <w:t xml:space="preserve">J. Nathan, P., R. Norman, T., &amp; D. Burrows, G. (1999). Effect of the menstrual cycle stage on the melatonin suppression by dim white light. </w:t>
      </w:r>
      <w:r>
        <w:rPr>
          <w:i/>
          <w:iCs/>
        </w:rPr>
        <w:t>Psychoneuroendocrinology</w:t>
      </w:r>
      <w:r>
        <w:t xml:space="preserve">, </w:t>
      </w:r>
      <w:r>
        <w:rPr>
          <w:i/>
          <w:iCs/>
        </w:rPr>
        <w:t>24</w:t>
      </w:r>
      <w:r>
        <w:t>(2), 193–200. https://doi.org/10.1016/S0306-4530(98)00075-4</w:t>
      </w:r>
    </w:p>
    <w:p w14:paraId="739B28E6" w14:textId="77777777" w:rsidR="00DA4730" w:rsidRDefault="00DA4730" w:rsidP="00CC766F">
      <w:pPr>
        <w:pStyle w:val="Bibliography"/>
        <w:suppressLineNumbers/>
      </w:pPr>
      <w:r>
        <w:t xml:space="preserve">Jeffreys, H. (1998). </w:t>
      </w:r>
      <w:r>
        <w:rPr>
          <w:i/>
          <w:iCs/>
        </w:rPr>
        <w:t>The Theory of Probability</w:t>
      </w:r>
      <w:r>
        <w:t>. OUP Oxford.</w:t>
      </w:r>
    </w:p>
    <w:p w14:paraId="227D04A1" w14:textId="77777777" w:rsidR="00DA4730" w:rsidRDefault="00DA4730" w:rsidP="00CC766F">
      <w:pPr>
        <w:pStyle w:val="Bibliography"/>
        <w:suppressLineNumbers/>
      </w:pPr>
      <w:r>
        <w:t xml:space="preserve">Johns, M. W. (1991). A New Method for Measuring Daytime Sleepiness: The Epworth Sleepiness Scale. </w:t>
      </w:r>
      <w:r>
        <w:rPr>
          <w:i/>
          <w:iCs/>
        </w:rPr>
        <w:t>Sleep</w:t>
      </w:r>
      <w:r>
        <w:t xml:space="preserve">, </w:t>
      </w:r>
      <w:r>
        <w:rPr>
          <w:i/>
          <w:iCs/>
        </w:rPr>
        <w:t>14</w:t>
      </w:r>
      <w:r>
        <w:t>(6), 540–545. https://doi.org/10.1093/sleep/14.6.540</w:t>
      </w:r>
    </w:p>
    <w:p w14:paraId="31275EBE" w14:textId="77777777" w:rsidR="00DA4730" w:rsidRDefault="00DA4730" w:rsidP="00CC766F">
      <w:pPr>
        <w:pStyle w:val="Bibliography"/>
        <w:suppressLineNumbers/>
      </w:pPr>
      <w:r>
        <w:t xml:space="preserve">Joye, D. A. M., &amp; Evans, J. A. (2022). Sex differences in daily timekeeping and circadian clock circuits. </w:t>
      </w:r>
      <w:r>
        <w:rPr>
          <w:i/>
          <w:iCs/>
        </w:rPr>
        <w:t>Seminars in Cell &amp; Developmental Biology</w:t>
      </w:r>
      <w:r>
        <w:t xml:space="preserve">, </w:t>
      </w:r>
      <w:r>
        <w:rPr>
          <w:i/>
          <w:iCs/>
        </w:rPr>
        <w:t>126</w:t>
      </w:r>
      <w:r>
        <w:t>, 45–55. https://doi.org/10.1016/j.semcdb.2021.04.026</w:t>
      </w:r>
    </w:p>
    <w:p w14:paraId="4E6A7916" w14:textId="77777777" w:rsidR="00DA4730" w:rsidRDefault="00DA4730" w:rsidP="00CC766F">
      <w:pPr>
        <w:pStyle w:val="Bibliography"/>
        <w:suppressLineNumbers/>
      </w:pPr>
      <w:r>
        <w:t xml:space="preserve">Kuznetsova, A., Brockhoff, P. B., &amp; Christensen, R. H. B. (2017). lmerTest Package: Tests in Linear Mixed Effects Models. </w:t>
      </w:r>
      <w:r>
        <w:rPr>
          <w:i/>
          <w:iCs/>
        </w:rPr>
        <w:t>Journal of Statistical Software</w:t>
      </w:r>
      <w:r>
        <w:t xml:space="preserve">, </w:t>
      </w:r>
      <w:r>
        <w:rPr>
          <w:i/>
          <w:iCs/>
        </w:rPr>
        <w:t>82</w:t>
      </w:r>
      <w:r>
        <w:t>, 1–26. https://doi.org/10.18637/jss.v082.i13</w:t>
      </w:r>
    </w:p>
    <w:p w14:paraId="65B42791" w14:textId="77777777" w:rsidR="00DA4730" w:rsidRDefault="00DA4730" w:rsidP="00CC766F">
      <w:pPr>
        <w:pStyle w:val="Bibliography"/>
        <w:suppressLineNumbers/>
      </w:pPr>
      <w:r>
        <w:t xml:space="preserve">Lingler, J. H., Schmidt, K., Gentry, A., Hu, L., &amp; Terhorst, L. (2014). Perceived Research Burden Assessment (PeRBA): Instrument Development and Psychometric Evaluation. </w:t>
      </w:r>
      <w:r>
        <w:rPr>
          <w:i/>
          <w:iCs/>
        </w:rPr>
        <w:t>Journal of Empirical Research on Human Research Ethics : JERHRE</w:t>
      </w:r>
      <w:r>
        <w:t xml:space="preserve">, </w:t>
      </w:r>
      <w:r>
        <w:rPr>
          <w:i/>
          <w:iCs/>
        </w:rPr>
        <w:t>9</w:t>
      </w:r>
      <w:r>
        <w:t>(4), 46–49. https://doi.org/10.1177/1556264614545037</w:t>
      </w:r>
    </w:p>
    <w:p w14:paraId="4B5ED911" w14:textId="77777777" w:rsidR="00DA4730" w:rsidRDefault="00DA4730" w:rsidP="00CC766F">
      <w:pPr>
        <w:pStyle w:val="Bibliography"/>
        <w:suppressLineNumbers/>
      </w:pPr>
      <w:r>
        <w:t xml:space="preserve">Mong, J. A., Baker, F. C., Mahoney, M. M., Paul, K. N., Schwartz, M. D., Semba, K., &amp; Silver, R. (2011). Sleep, Rhythms, and the Endocrine Brain: Influence of Sex and Gonadal </w:t>
      </w:r>
      <w:r>
        <w:lastRenderedPageBreak/>
        <w:t xml:space="preserve">Hormones. </w:t>
      </w:r>
      <w:r>
        <w:rPr>
          <w:i/>
          <w:iCs/>
        </w:rPr>
        <w:t>Journal of Neuroscience</w:t>
      </w:r>
      <w:r>
        <w:t xml:space="preserve">, </w:t>
      </w:r>
      <w:r>
        <w:rPr>
          <w:i/>
          <w:iCs/>
        </w:rPr>
        <w:t>31</w:t>
      </w:r>
      <w:r>
        <w:t>(45), 16107–16116. https://doi.org/10.1523/JNEUROSCI.4175-11.2011</w:t>
      </w:r>
    </w:p>
    <w:p w14:paraId="10BA3087" w14:textId="77777777" w:rsidR="00DA4730" w:rsidRDefault="00DA4730" w:rsidP="00CC766F">
      <w:pPr>
        <w:pStyle w:val="Bibliography"/>
        <w:suppressLineNumbers/>
      </w:pPr>
      <w:r>
        <w:t xml:space="preserve">Morey, R. (2023). </w:t>
      </w:r>
      <w:r>
        <w:rPr>
          <w:i/>
          <w:iCs/>
        </w:rPr>
        <w:t>BayesFactor: Computation of Bayes Factor for Common Designs</w:t>
      </w:r>
      <w:r>
        <w:t xml:space="preserve"> (Version 0.9.12-4.7) [Computer software]. https://cran.r-project.org/web/packages/BayesFactor/index.html</w:t>
      </w:r>
    </w:p>
    <w:p w14:paraId="51E46C3B" w14:textId="77777777" w:rsidR="00DA4730" w:rsidRDefault="00DA4730" w:rsidP="00CC766F">
      <w:pPr>
        <w:pStyle w:val="Bibliography"/>
        <w:suppressLineNumbers/>
      </w:pPr>
      <w:r>
        <w:t xml:space="preserve">Phillips, A. J. K., Vidafar, P., Burns, A. C., McGlashan, E. M., Anderson, C., Rajaratnam, S. M. W., Lockley, S. W., &amp; Cain, S. W. (2019). High sensitivity and interindividual variability in the response of the human circadian system to evening light. </w:t>
      </w:r>
      <w:r>
        <w:rPr>
          <w:i/>
          <w:iCs/>
        </w:rPr>
        <w:t>Proceedings of the National Academy of Sciences</w:t>
      </w:r>
      <w:r>
        <w:t xml:space="preserve">, </w:t>
      </w:r>
      <w:r>
        <w:rPr>
          <w:i/>
          <w:iCs/>
        </w:rPr>
        <w:t>116</w:t>
      </w:r>
      <w:r>
        <w:t>(24), 12019–12024. https://doi.org/10.1073/pnas.1901824116</w:t>
      </w:r>
    </w:p>
    <w:p w14:paraId="4318EE52" w14:textId="77777777" w:rsidR="00DA4730" w:rsidRDefault="00DA4730" w:rsidP="00CC766F">
      <w:pPr>
        <w:pStyle w:val="Bibliography"/>
        <w:suppressLineNumbers/>
      </w:pPr>
      <w:r>
        <w:t xml:space="preserve">R Core Team. (2025). </w:t>
      </w:r>
      <w:r>
        <w:rPr>
          <w:i/>
          <w:iCs/>
        </w:rPr>
        <w:t>R Core Team (2025). _R: A Language and Environment for Statistical Computing_. R Foundation for Statistical Computing,   Vienna, Austria.</w:t>
      </w:r>
      <w:r>
        <w:t xml:space="preserve"> [Computer software]. &lt;https://www.R-project.org/&gt;.</w:t>
      </w:r>
    </w:p>
    <w:p w14:paraId="2E7BA64B" w14:textId="77777777" w:rsidR="00DA4730" w:rsidRDefault="00DA4730" w:rsidP="00CC766F">
      <w:pPr>
        <w:pStyle w:val="Bibliography"/>
        <w:suppressLineNumbers/>
      </w:pPr>
      <w:r>
        <w:t xml:space="preserve">Roenneberg, T., Wirz-Justice, A., &amp; Merrow, M. (2003). Life between clocks: Daily temporal patterns of human chronotypes. </w:t>
      </w:r>
      <w:r>
        <w:rPr>
          <w:i/>
          <w:iCs/>
        </w:rPr>
        <w:t>Journal of Biological Rhythms</w:t>
      </w:r>
      <w:r>
        <w:t xml:space="preserve">, </w:t>
      </w:r>
      <w:r>
        <w:rPr>
          <w:i/>
          <w:iCs/>
        </w:rPr>
        <w:t>18</w:t>
      </w:r>
      <w:r>
        <w:t>(1), 80–90. https://doi.org/10.1177/0748730402239679</w:t>
      </w:r>
    </w:p>
    <w:p w14:paraId="58A7514E" w14:textId="77777777" w:rsidR="00DA4730" w:rsidRPr="00DA4730" w:rsidRDefault="00DA4730" w:rsidP="00CC766F">
      <w:pPr>
        <w:pStyle w:val="Bibliography"/>
        <w:suppressLineNumbers/>
        <w:rPr>
          <w:lang w:val="de-DE"/>
        </w:rPr>
      </w:pPr>
      <w:r>
        <w:t xml:space="preserve">Saunders, J. B., Aasland, O. G., Babor, T. F., De La Fuente, J. R., &amp; Grant, M. (1993). Development of the Alcohol Use Disorders Identification Test (AUDIT): WHO Collaborative Project on Early Detection of Persons with Harmful Alcohol Consumption-II. </w:t>
      </w:r>
      <w:r w:rsidRPr="00DA4730">
        <w:rPr>
          <w:i/>
          <w:iCs/>
          <w:lang w:val="de-DE"/>
        </w:rPr>
        <w:t>Addiction</w:t>
      </w:r>
      <w:r w:rsidRPr="00DA4730">
        <w:rPr>
          <w:lang w:val="de-DE"/>
        </w:rPr>
        <w:t xml:space="preserve">, </w:t>
      </w:r>
      <w:r w:rsidRPr="00DA4730">
        <w:rPr>
          <w:i/>
          <w:iCs/>
          <w:lang w:val="de-DE"/>
        </w:rPr>
        <w:t>88</w:t>
      </w:r>
      <w:r w:rsidRPr="00DA4730">
        <w:rPr>
          <w:lang w:val="de-DE"/>
        </w:rPr>
        <w:t>(6), 791–804. https://doi.org/10.1111/j.1360-0443.1993.tb02093.x</w:t>
      </w:r>
    </w:p>
    <w:p w14:paraId="25E6F0CF" w14:textId="77777777" w:rsidR="00DA4730" w:rsidRDefault="00DA4730" w:rsidP="00CC766F">
      <w:pPr>
        <w:pStyle w:val="Bibliography"/>
        <w:suppressLineNumbers/>
      </w:pPr>
      <w:r w:rsidRPr="00DA4730">
        <w:rPr>
          <w:lang w:val="de-DE"/>
        </w:rPr>
        <w:t xml:space="preserve">Schmalenberger, K. M., Eisenlohr-Moul, T. A., Jarczok, M. N., Eckstein, M., Schneider, E., Brenner, I. G., Duffy, K., Schweizer, S., Kiesner, J., Thayer, J. F., &amp; Ditzen, B. (2020). </w:t>
      </w:r>
      <w:r>
        <w:t xml:space="preserve">Menstrual Cycle Changes in Vagally-Mediated Heart Rate Variability Are Associated with Progesterone: Evidence from Two Within-Person Studies. </w:t>
      </w:r>
      <w:r>
        <w:rPr>
          <w:i/>
          <w:iCs/>
        </w:rPr>
        <w:t>Journal of Clinical Medicine</w:t>
      </w:r>
      <w:r>
        <w:t xml:space="preserve">, </w:t>
      </w:r>
      <w:r>
        <w:rPr>
          <w:i/>
          <w:iCs/>
        </w:rPr>
        <w:t>9</w:t>
      </w:r>
      <w:r>
        <w:t>(3), Article 3. https://doi.org/10.3390/jcm9030617</w:t>
      </w:r>
    </w:p>
    <w:p w14:paraId="27B0F604" w14:textId="191439CC" w:rsidR="00DA4730" w:rsidRPr="0005446C" w:rsidRDefault="00DA4730" w:rsidP="00CC766F">
      <w:pPr>
        <w:pStyle w:val="Bibliography"/>
        <w:suppressLineNumbers/>
      </w:pPr>
      <w:proofErr w:type="spellStart"/>
      <w:r w:rsidRPr="0005446C">
        <w:t>Schmalenberger</w:t>
      </w:r>
      <w:proofErr w:type="spellEnd"/>
      <w:r w:rsidRPr="0005446C">
        <w:t xml:space="preserve">, K. M., Tauseef, H. A., Barone, J. C., Owens, S. A., Lieberman, L., </w:t>
      </w:r>
      <w:proofErr w:type="spellStart"/>
      <w:r w:rsidRPr="0005446C">
        <w:t>Jarczok</w:t>
      </w:r>
      <w:proofErr w:type="spellEnd"/>
      <w:r w:rsidRPr="0005446C">
        <w:t xml:space="preserve">, M. N., Girdler, S. S., </w:t>
      </w:r>
      <w:proofErr w:type="spellStart"/>
      <w:r w:rsidRPr="0005446C">
        <w:t>Kiesner</w:t>
      </w:r>
      <w:proofErr w:type="spellEnd"/>
      <w:r w:rsidRPr="0005446C">
        <w:t xml:space="preserve">, J., </w:t>
      </w:r>
      <w:proofErr w:type="spellStart"/>
      <w:r w:rsidRPr="0005446C">
        <w:t>Ditzen</w:t>
      </w:r>
      <w:proofErr w:type="spellEnd"/>
      <w:r w:rsidRPr="0005446C">
        <w:t xml:space="preserve">, B., &amp; </w:t>
      </w:r>
      <w:proofErr w:type="spellStart"/>
      <w:r w:rsidRPr="0005446C">
        <w:t>Eisenlohr-Moul</w:t>
      </w:r>
      <w:proofErr w:type="spellEnd"/>
      <w:r w:rsidRPr="0005446C">
        <w:t xml:space="preserve">, T. A. (2021). </w:t>
      </w:r>
      <w:r>
        <w:t xml:space="preserve">How to study the menstrual cycle: Practical tools and recommendations. </w:t>
      </w:r>
      <w:proofErr w:type="spellStart"/>
      <w:r w:rsidRPr="0005446C">
        <w:rPr>
          <w:i/>
          <w:iCs/>
        </w:rPr>
        <w:t>Psychoneuroendocrinology</w:t>
      </w:r>
      <w:proofErr w:type="spellEnd"/>
      <w:r w:rsidRPr="0005446C">
        <w:t xml:space="preserve">, </w:t>
      </w:r>
      <w:r w:rsidRPr="0005446C">
        <w:rPr>
          <w:i/>
          <w:iCs/>
        </w:rPr>
        <w:t>123</w:t>
      </w:r>
      <w:r w:rsidRPr="0005446C">
        <w:t>, 104895. https://doi.org/10.1016/j.psyneuen.2020.104895</w:t>
      </w:r>
    </w:p>
    <w:p w14:paraId="428B963E" w14:textId="77777777" w:rsidR="00DA4730" w:rsidRDefault="00DA4730" w:rsidP="00CC766F">
      <w:pPr>
        <w:pStyle w:val="Bibliography"/>
        <w:suppressLineNumbers/>
      </w:pPr>
      <w:proofErr w:type="spellStart"/>
      <w:r>
        <w:t>Schönbrodt</w:t>
      </w:r>
      <w:proofErr w:type="spellEnd"/>
      <w:r>
        <w:t xml:space="preserve">, F. D., &amp; Wagenmakers, E.-J. (2018). Bayes factor design analysis: Planning for compelling evidence. </w:t>
      </w:r>
      <w:r>
        <w:rPr>
          <w:i/>
          <w:iCs/>
        </w:rPr>
        <w:t>Psychonomic Bulletin &amp; Review</w:t>
      </w:r>
      <w:r>
        <w:t xml:space="preserve">, </w:t>
      </w:r>
      <w:r>
        <w:rPr>
          <w:i/>
          <w:iCs/>
        </w:rPr>
        <w:t>25</w:t>
      </w:r>
      <w:r>
        <w:t>(1), 128–142. https://doi.org/10.3758/s13423-017-1230-y</w:t>
      </w:r>
    </w:p>
    <w:p w14:paraId="000FB313" w14:textId="77777777" w:rsidR="00DA4730" w:rsidRDefault="00DA4730" w:rsidP="00CC766F">
      <w:pPr>
        <w:pStyle w:val="Bibliography"/>
        <w:suppressLineNumbers/>
      </w:pPr>
      <w:r>
        <w:t xml:space="preserve">Shahid, A., Wilkinson, K., Marcu, S., &amp; Shapiro, C. M. (2011). Karolinska Sleepiness Scale (KSS). In A. Shahid, K. Wilkinson, S. Marcu, &amp; C. M. Shapiro (Eds.), </w:t>
      </w:r>
      <w:r>
        <w:rPr>
          <w:i/>
          <w:iCs/>
        </w:rPr>
        <w:t xml:space="preserve">STOP, THAT and </w:t>
      </w:r>
      <w:r>
        <w:rPr>
          <w:i/>
          <w:iCs/>
        </w:rPr>
        <w:lastRenderedPageBreak/>
        <w:t>One Hundred Other Sleep Scales</w:t>
      </w:r>
      <w:r>
        <w:t xml:space="preserve"> (pp. 209–210). Springer New York. https://doi.org/10.1007/978-1-4419-9893-4_47</w:t>
      </w:r>
    </w:p>
    <w:p w14:paraId="75559E9D" w14:textId="77777777" w:rsidR="00DA4730" w:rsidRDefault="00DA4730" w:rsidP="00CC766F">
      <w:pPr>
        <w:pStyle w:val="Bibliography"/>
        <w:suppressLineNumbers/>
      </w:pPr>
      <w:r>
        <w:t xml:space="preserve">Smith, K. A., Schoen, M. W., &amp; Czeisler, C. A. (2004). Adaptation of human pineal melatonin suppression by recent photic history. </w:t>
      </w:r>
      <w:r>
        <w:rPr>
          <w:i/>
          <w:iCs/>
        </w:rPr>
        <w:t>Journal of Clinical Endocrinology and Metabolism</w:t>
      </w:r>
      <w:r>
        <w:t xml:space="preserve">, </w:t>
      </w:r>
      <w:r>
        <w:rPr>
          <w:i/>
          <w:iCs/>
        </w:rPr>
        <w:t>89</w:t>
      </w:r>
      <w:r>
        <w:t>(7), 3610–3614. Scopus. https://doi.org/10.1210/jc.2003-032100</w:t>
      </w:r>
    </w:p>
    <w:p w14:paraId="70B2EE83" w14:textId="77777777" w:rsidR="00DA4730" w:rsidRDefault="00DA4730" w:rsidP="00CC766F">
      <w:pPr>
        <w:pStyle w:val="Bibliography"/>
        <w:suppressLineNumbers/>
      </w:pPr>
      <w:r>
        <w:t xml:space="preserve">Spitschan, M. (2019). Melanopsin contributions to non-visual and visual function. </w:t>
      </w:r>
      <w:r>
        <w:rPr>
          <w:i/>
          <w:iCs/>
        </w:rPr>
        <w:t>Current Opinion in Behavioral Sciences</w:t>
      </w:r>
      <w:r>
        <w:t xml:space="preserve">, </w:t>
      </w:r>
      <w:r>
        <w:rPr>
          <w:i/>
          <w:iCs/>
        </w:rPr>
        <w:t>30</w:t>
      </w:r>
      <w:r>
        <w:t>, 67–72. https://doi.org/10.1016/j.cobeha.2019.06.004</w:t>
      </w:r>
    </w:p>
    <w:p w14:paraId="1B74FA6C" w14:textId="77777777" w:rsidR="00DA4730" w:rsidRDefault="00DA4730" w:rsidP="00CC766F">
      <w:pPr>
        <w:pStyle w:val="Bibliography"/>
        <w:suppressLineNumbers/>
      </w:pPr>
      <w:r>
        <w:t xml:space="preserve">Spitschan, M., Kervezee, L., Lok, R., McGlashan, E., Najjar, R. P., Allen, A. E., Andersen, M., Bará, S., Blattner, P., Blume, C., Boivin, D. B., Bonmatí-Carrión, M.-Á., Broszio, K., Brown, T. M., Chellappa, S. L., Duffy, J. F., Eto, T., Flynn-Evans, E., Fotios, S., … Zeitzer, J. (2023). ENLIGHT: A consensus checklist for reporting laboratory-based studies on the non-visual effects of light in humans. </w:t>
      </w:r>
      <w:r>
        <w:rPr>
          <w:i/>
          <w:iCs/>
        </w:rPr>
        <w:t>eBioMedicine</w:t>
      </w:r>
      <w:r>
        <w:t xml:space="preserve">, </w:t>
      </w:r>
      <w:r>
        <w:rPr>
          <w:i/>
          <w:iCs/>
        </w:rPr>
        <w:t>98</w:t>
      </w:r>
      <w:r>
        <w:t>. https://doi.org/10.1016/j.ebiom.2023.104889</w:t>
      </w:r>
    </w:p>
    <w:p w14:paraId="71B7CB30" w14:textId="77777777" w:rsidR="00DA4730" w:rsidRDefault="00DA4730" w:rsidP="00CC766F">
      <w:pPr>
        <w:pStyle w:val="Bibliography"/>
        <w:suppressLineNumbers/>
      </w:pPr>
      <w:r>
        <w:t xml:space="preserve">Spitschan, M., &amp; Santhi, N. (2022). Individual differences and diversity in human physiological responses to light. </w:t>
      </w:r>
      <w:r>
        <w:rPr>
          <w:i/>
          <w:iCs/>
        </w:rPr>
        <w:t>eBioMedicine</w:t>
      </w:r>
      <w:r>
        <w:t xml:space="preserve">, </w:t>
      </w:r>
      <w:r>
        <w:rPr>
          <w:i/>
          <w:iCs/>
        </w:rPr>
        <w:t>75</w:t>
      </w:r>
      <w:r>
        <w:t>. https://doi.org/10.1016/j.ebiom.2021.103640</w:t>
      </w:r>
    </w:p>
    <w:p w14:paraId="32FAD4FE" w14:textId="77777777" w:rsidR="00DA4730" w:rsidRDefault="00DA4730" w:rsidP="00CC766F">
      <w:pPr>
        <w:pStyle w:val="Bibliography"/>
        <w:suppressLineNumbers/>
      </w:pPr>
      <w:r>
        <w:t xml:space="preserve">Spitschan, M., Santhi, N., Ahluwalia, A., Fischer, D., Hunt, L., Karp, N. A., Lévi, F., Pineda-Torra, I., Vidafar, P., &amp; White, R. (2022). Sex differences and sex bias in human circadian and sleep physiology research. </w:t>
      </w:r>
      <w:r>
        <w:rPr>
          <w:i/>
          <w:iCs/>
        </w:rPr>
        <w:t>eLife</w:t>
      </w:r>
      <w:r>
        <w:t xml:space="preserve">, </w:t>
      </w:r>
      <w:r>
        <w:rPr>
          <w:i/>
          <w:iCs/>
        </w:rPr>
        <w:t>11</w:t>
      </w:r>
      <w:r>
        <w:t>, e65419. https://doi.org/10.7554/eLife.65419</w:t>
      </w:r>
    </w:p>
    <w:p w14:paraId="5BC9E51F" w14:textId="77777777" w:rsidR="00DA4730" w:rsidRDefault="00DA4730" w:rsidP="00CC766F">
      <w:pPr>
        <w:pStyle w:val="Bibliography"/>
        <w:suppressLineNumbers/>
      </w:pPr>
      <w:r>
        <w:t xml:space="preserve">Spitschan, M., &amp; Woelders, T. (2018). The Method of Silent Substitution for Examining Melanopsin Contributions to Pupil Control. </w:t>
      </w:r>
      <w:r>
        <w:rPr>
          <w:i/>
          <w:iCs/>
        </w:rPr>
        <w:t>Frontiers in Neurology</w:t>
      </w:r>
      <w:r>
        <w:t xml:space="preserve">, </w:t>
      </w:r>
      <w:r>
        <w:rPr>
          <w:i/>
          <w:iCs/>
        </w:rPr>
        <w:t>9</w:t>
      </w:r>
      <w:r>
        <w:t>. https://doi.org/10.3389/fneur.2018.00941</w:t>
      </w:r>
    </w:p>
    <w:p w14:paraId="6B67AFB9" w14:textId="77777777" w:rsidR="00DA4730" w:rsidRDefault="00DA4730" w:rsidP="00CC766F">
      <w:pPr>
        <w:pStyle w:val="Bibliography"/>
        <w:suppressLineNumbers/>
      </w:pPr>
      <w:r>
        <w:t xml:space="preserve">Steiner, M., Macdougall, M., &amp; Brown, E. (2003). The premenstrual symptoms screening tool (PSST) for clinicians. </w:t>
      </w:r>
      <w:r>
        <w:rPr>
          <w:i/>
          <w:iCs/>
        </w:rPr>
        <w:t>Archives of Women’s Mental Health</w:t>
      </w:r>
      <w:r>
        <w:t xml:space="preserve">, </w:t>
      </w:r>
      <w:r>
        <w:rPr>
          <w:i/>
          <w:iCs/>
        </w:rPr>
        <w:t>6</w:t>
      </w:r>
      <w:r>
        <w:t>(3), 203–209. https://doi.org/10.1007/s00737-003-0018-4</w:t>
      </w:r>
    </w:p>
    <w:p w14:paraId="03CD47C5" w14:textId="77777777" w:rsidR="00DA4730" w:rsidRDefault="00DA4730" w:rsidP="00CC766F">
      <w:pPr>
        <w:pStyle w:val="Bibliography"/>
        <w:suppressLineNumbers/>
      </w:pPr>
      <w:r>
        <w:t xml:space="preserve">Tannenbaum, C., Ellis, R. P., Eyssel, F., Zou, J., &amp; Schiebinger, L. (2019). Sex and gender analysis improves science and engineering. </w:t>
      </w:r>
      <w:r>
        <w:rPr>
          <w:i/>
          <w:iCs/>
        </w:rPr>
        <w:t>Nature</w:t>
      </w:r>
      <w:r>
        <w:t xml:space="preserve">, </w:t>
      </w:r>
      <w:r>
        <w:rPr>
          <w:i/>
          <w:iCs/>
        </w:rPr>
        <w:t>575</w:t>
      </w:r>
      <w:r>
        <w:t>(7781), 137–146. https://doi.org/10.1038/s41586-019-1657-6</w:t>
      </w:r>
    </w:p>
    <w:p w14:paraId="7546F1E8" w14:textId="77777777" w:rsidR="00DA4730" w:rsidRDefault="00DA4730" w:rsidP="00CC766F">
      <w:pPr>
        <w:pStyle w:val="Bibliography"/>
        <w:suppressLineNumbers/>
      </w:pPr>
      <w:r>
        <w:t xml:space="preserve">Thompson, E. R. (2007). Development and Validation of an Internationally Reliable Short-Form of the Positive and Negative Affect Schedule (PANAS). </w:t>
      </w:r>
      <w:r>
        <w:rPr>
          <w:i/>
          <w:iCs/>
        </w:rPr>
        <w:t>Journal of Cross-Cultural Psychology</w:t>
      </w:r>
      <w:r>
        <w:t xml:space="preserve">, </w:t>
      </w:r>
      <w:r>
        <w:rPr>
          <w:i/>
          <w:iCs/>
        </w:rPr>
        <w:t>38</w:t>
      </w:r>
      <w:r>
        <w:t>(2), 227–242. https://doi.org/10.1177/0022022106297301</w:t>
      </w:r>
    </w:p>
    <w:p w14:paraId="3DBB4AF7" w14:textId="77777777" w:rsidR="00DA4730" w:rsidRDefault="00DA4730" w:rsidP="00CC766F">
      <w:pPr>
        <w:pStyle w:val="Bibliography"/>
        <w:suppressLineNumbers/>
      </w:pPr>
      <w:r>
        <w:t xml:space="preserve">Torgrimson, B. N., &amp; Minson, C. T. (2005). Sex and gender: What is the difference? </w:t>
      </w:r>
      <w:r>
        <w:rPr>
          <w:i/>
          <w:iCs/>
        </w:rPr>
        <w:t>Journal of Applied Physiology</w:t>
      </w:r>
      <w:r>
        <w:t xml:space="preserve">, </w:t>
      </w:r>
      <w:r>
        <w:rPr>
          <w:i/>
          <w:iCs/>
        </w:rPr>
        <w:t>99</w:t>
      </w:r>
      <w:r>
        <w:t>(3), 785–787. https://doi.org/10.1152/japplphysiol.00376.2005</w:t>
      </w:r>
    </w:p>
    <w:p w14:paraId="5537BEF8" w14:textId="77777777" w:rsidR="00DA4730" w:rsidRDefault="00DA4730" w:rsidP="00CC766F">
      <w:pPr>
        <w:pStyle w:val="Bibliography"/>
        <w:suppressLineNumbers/>
      </w:pPr>
      <w:r>
        <w:t xml:space="preserve">Tsanas, A., Saunders, K. E. A., Bilderbeck, A. C., Palmius, N., Osipov, M., Clifford, G. D., Goodwin, G. Μ., &amp; De Vos, M. (2016). Daily longitudinal self-monitoring of mood </w:t>
      </w:r>
      <w:r>
        <w:lastRenderedPageBreak/>
        <w:t xml:space="preserve">variability in bipolar disorder and borderline personality disorder. </w:t>
      </w:r>
      <w:r>
        <w:rPr>
          <w:i/>
          <w:iCs/>
        </w:rPr>
        <w:t>Journal of Affective Disorders</w:t>
      </w:r>
      <w:r>
        <w:t xml:space="preserve">, </w:t>
      </w:r>
      <w:r>
        <w:rPr>
          <w:i/>
          <w:iCs/>
        </w:rPr>
        <w:t>205</w:t>
      </w:r>
      <w:r>
        <w:t>, 225–233. https://doi.org/10.1016/j.jad.2016.06.065</w:t>
      </w:r>
    </w:p>
    <w:p w14:paraId="56A616BF" w14:textId="77777777" w:rsidR="00DA4730" w:rsidRDefault="00DA4730" w:rsidP="00CC766F">
      <w:pPr>
        <w:pStyle w:val="Bibliography"/>
        <w:suppressLineNumbers/>
      </w:pPr>
      <w:r>
        <w:t xml:space="preserve">Vidafar, P., McGlashan, E. M., Burns, A. C., Anderson, C., Shechter, A., Lockley, S. W., Phillips, A. J. K., &amp; Cain, S. W. (2024). Greater sensitivity of the circadian system of women to bright light, but not dim-to-moderate light. </w:t>
      </w:r>
      <w:r>
        <w:rPr>
          <w:i/>
          <w:iCs/>
        </w:rPr>
        <w:t>Journal of Pineal Research</w:t>
      </w:r>
      <w:r>
        <w:t xml:space="preserve">, </w:t>
      </w:r>
      <w:r>
        <w:rPr>
          <w:i/>
          <w:iCs/>
        </w:rPr>
        <w:t>76</w:t>
      </w:r>
      <w:r>
        <w:t>(2), e12936. https://doi.org/10.1111/jpi.12936</w:t>
      </w:r>
    </w:p>
    <w:p w14:paraId="3CC37162" w14:textId="77777777" w:rsidR="00DA4730" w:rsidRDefault="00DA4730" w:rsidP="00CC766F">
      <w:pPr>
        <w:pStyle w:val="Bibliography"/>
        <w:suppressLineNumbers/>
      </w:pPr>
      <w:r>
        <w:t xml:space="preserve">Wilkinson, G. N., &amp; Rogers, C. E. (1973). Symbolic Description of Factorial Models for Analysis of Variance. </w:t>
      </w:r>
      <w:r>
        <w:rPr>
          <w:i/>
          <w:iCs/>
        </w:rPr>
        <w:t>Journal of the Royal Statistical Society. Series C (Applied Statistics)</w:t>
      </w:r>
      <w:r>
        <w:t xml:space="preserve">, </w:t>
      </w:r>
      <w:r>
        <w:rPr>
          <w:i/>
          <w:iCs/>
        </w:rPr>
        <w:t>22</w:t>
      </w:r>
      <w:r>
        <w:t>(3), 392–399. https://doi.org/10.2307/2346786</w:t>
      </w:r>
    </w:p>
    <w:p w14:paraId="30E187D5" w14:textId="77777777" w:rsidR="00DA4730" w:rsidRDefault="00DA4730" w:rsidP="00CC766F">
      <w:pPr>
        <w:pStyle w:val="Bibliography"/>
        <w:suppressLineNumbers/>
      </w:pPr>
      <w:r w:rsidRPr="00DA4730">
        <w:rPr>
          <w:lang w:val="de-DE"/>
        </w:rPr>
        <w:t xml:space="preserve">Yousefzadehfard, Y., Wechsler, B., &amp; DeLorenzo, C. (2022). </w:t>
      </w:r>
      <w:r>
        <w:t xml:space="preserve">Human circadian rhythm studies: Practical guidelines for inclusion/exclusion criteria and protocol. </w:t>
      </w:r>
      <w:r>
        <w:rPr>
          <w:i/>
          <w:iCs/>
        </w:rPr>
        <w:t>Neurobiology of Sleep and Circadian Rhythms</w:t>
      </w:r>
      <w:r>
        <w:t xml:space="preserve">, </w:t>
      </w:r>
      <w:r>
        <w:rPr>
          <w:i/>
          <w:iCs/>
        </w:rPr>
        <w:t>13</w:t>
      </w:r>
      <w:r>
        <w:t>, 100080. https://doi.org/10.1016/j.nbscr.2022.100080</w:t>
      </w:r>
    </w:p>
    <w:p w14:paraId="70334472" w14:textId="36B16FEB" w:rsidR="00E0208E" w:rsidRPr="00E0208E" w:rsidRDefault="00E0208E" w:rsidP="00CC766F">
      <w:pPr>
        <w:suppressLineNumbers/>
      </w:pPr>
      <w:r>
        <w:fldChar w:fldCharType="end"/>
      </w:r>
    </w:p>
    <w:p w14:paraId="04897AA3" w14:textId="45B3A3B0" w:rsidR="00FC43F9" w:rsidRPr="00E0208E" w:rsidRDefault="00FC43F9" w:rsidP="00CC766F">
      <w:pPr>
        <w:suppressLineNumbers/>
        <w:ind w:firstLine="0"/>
        <w:rPr>
          <w:rFonts w:eastAsiaTheme="majorEastAsia" w:cs="Arial"/>
          <w:b/>
          <w:bCs/>
          <w:iCs/>
          <w:sz w:val="32"/>
          <w:szCs w:val="32"/>
        </w:rPr>
      </w:pPr>
    </w:p>
    <w:sectPr w:rsidR="00FC43F9" w:rsidRPr="00E0208E" w:rsidSect="00CC766F">
      <w:pgSz w:w="11906" w:h="16838"/>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92AF" w14:textId="77777777" w:rsidR="009C4876" w:rsidRDefault="009C4876" w:rsidP="00E21D98">
      <w:pPr>
        <w:spacing w:after="0" w:line="240" w:lineRule="auto"/>
      </w:pPr>
      <w:r>
        <w:separator/>
      </w:r>
    </w:p>
  </w:endnote>
  <w:endnote w:type="continuationSeparator" w:id="0">
    <w:p w14:paraId="13BC9A78" w14:textId="77777777" w:rsidR="009C4876" w:rsidRDefault="009C4876" w:rsidP="00E2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370420"/>
      <w:docPartObj>
        <w:docPartGallery w:val="Page Numbers (Bottom of Page)"/>
        <w:docPartUnique/>
      </w:docPartObj>
    </w:sdtPr>
    <w:sdtEndPr>
      <w:rPr>
        <w:noProof/>
      </w:rPr>
    </w:sdtEndPr>
    <w:sdtContent>
      <w:p w14:paraId="5FADD787" w14:textId="43C4D056" w:rsidR="00CB04DB" w:rsidRDefault="00CB04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54D572" w14:textId="77777777" w:rsidR="00CB04DB" w:rsidRDefault="00CB0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4F405" w14:textId="77777777" w:rsidR="009C4876" w:rsidRDefault="009C4876" w:rsidP="00E21D98">
      <w:pPr>
        <w:spacing w:after="0" w:line="240" w:lineRule="auto"/>
      </w:pPr>
      <w:r>
        <w:separator/>
      </w:r>
    </w:p>
  </w:footnote>
  <w:footnote w:type="continuationSeparator" w:id="0">
    <w:p w14:paraId="7329E331" w14:textId="77777777" w:rsidR="009C4876" w:rsidRDefault="009C4876" w:rsidP="00E21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96F"/>
    <w:multiLevelType w:val="hybridMultilevel"/>
    <w:tmpl w:val="669284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96F0B9D"/>
    <w:multiLevelType w:val="hybridMultilevel"/>
    <w:tmpl w:val="708E8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55476"/>
    <w:multiLevelType w:val="hybridMultilevel"/>
    <w:tmpl w:val="EC4A5D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66D9A8"/>
    <w:multiLevelType w:val="hybridMultilevel"/>
    <w:tmpl w:val="C11AB59A"/>
    <w:lvl w:ilvl="0" w:tplc="84BC8CBA">
      <w:start w:val="1"/>
      <w:numFmt w:val="bullet"/>
      <w:lvlText w:val="-"/>
      <w:lvlJc w:val="left"/>
      <w:pPr>
        <w:ind w:left="1080" w:hanging="360"/>
      </w:pPr>
      <w:rPr>
        <w:rFonts w:ascii="Aptos" w:hAnsi="Aptos" w:hint="default"/>
      </w:rPr>
    </w:lvl>
    <w:lvl w:ilvl="1" w:tplc="54743E52">
      <w:start w:val="1"/>
      <w:numFmt w:val="bullet"/>
      <w:lvlText w:val="o"/>
      <w:lvlJc w:val="left"/>
      <w:pPr>
        <w:ind w:left="1800" w:hanging="360"/>
      </w:pPr>
      <w:rPr>
        <w:rFonts w:ascii="Courier New" w:hAnsi="Courier New" w:hint="default"/>
      </w:rPr>
    </w:lvl>
    <w:lvl w:ilvl="2" w:tplc="5B2658F8">
      <w:start w:val="1"/>
      <w:numFmt w:val="bullet"/>
      <w:lvlText w:val=""/>
      <w:lvlJc w:val="left"/>
      <w:pPr>
        <w:ind w:left="2520" w:hanging="360"/>
      </w:pPr>
      <w:rPr>
        <w:rFonts w:ascii="Wingdings" w:hAnsi="Wingdings" w:hint="default"/>
      </w:rPr>
    </w:lvl>
    <w:lvl w:ilvl="3" w:tplc="AE1CF392">
      <w:start w:val="1"/>
      <w:numFmt w:val="bullet"/>
      <w:lvlText w:val=""/>
      <w:lvlJc w:val="left"/>
      <w:pPr>
        <w:ind w:left="3240" w:hanging="360"/>
      </w:pPr>
      <w:rPr>
        <w:rFonts w:ascii="Symbol" w:hAnsi="Symbol" w:hint="default"/>
      </w:rPr>
    </w:lvl>
    <w:lvl w:ilvl="4" w:tplc="B82AA996">
      <w:start w:val="1"/>
      <w:numFmt w:val="bullet"/>
      <w:lvlText w:val="o"/>
      <w:lvlJc w:val="left"/>
      <w:pPr>
        <w:ind w:left="3960" w:hanging="360"/>
      </w:pPr>
      <w:rPr>
        <w:rFonts w:ascii="Courier New" w:hAnsi="Courier New" w:hint="default"/>
      </w:rPr>
    </w:lvl>
    <w:lvl w:ilvl="5" w:tplc="6EEA7EE6">
      <w:start w:val="1"/>
      <w:numFmt w:val="bullet"/>
      <w:lvlText w:val=""/>
      <w:lvlJc w:val="left"/>
      <w:pPr>
        <w:ind w:left="4680" w:hanging="360"/>
      </w:pPr>
      <w:rPr>
        <w:rFonts w:ascii="Wingdings" w:hAnsi="Wingdings" w:hint="default"/>
      </w:rPr>
    </w:lvl>
    <w:lvl w:ilvl="6" w:tplc="BCCA4314">
      <w:start w:val="1"/>
      <w:numFmt w:val="bullet"/>
      <w:lvlText w:val=""/>
      <w:lvlJc w:val="left"/>
      <w:pPr>
        <w:ind w:left="5400" w:hanging="360"/>
      </w:pPr>
      <w:rPr>
        <w:rFonts w:ascii="Symbol" w:hAnsi="Symbol" w:hint="default"/>
      </w:rPr>
    </w:lvl>
    <w:lvl w:ilvl="7" w:tplc="BF688C60">
      <w:start w:val="1"/>
      <w:numFmt w:val="bullet"/>
      <w:lvlText w:val="o"/>
      <w:lvlJc w:val="left"/>
      <w:pPr>
        <w:ind w:left="6120" w:hanging="360"/>
      </w:pPr>
      <w:rPr>
        <w:rFonts w:ascii="Courier New" w:hAnsi="Courier New" w:hint="default"/>
      </w:rPr>
    </w:lvl>
    <w:lvl w:ilvl="8" w:tplc="D19600D4">
      <w:start w:val="1"/>
      <w:numFmt w:val="bullet"/>
      <w:lvlText w:val=""/>
      <w:lvlJc w:val="left"/>
      <w:pPr>
        <w:ind w:left="6840" w:hanging="360"/>
      </w:pPr>
      <w:rPr>
        <w:rFonts w:ascii="Wingdings" w:hAnsi="Wingdings" w:hint="default"/>
      </w:rPr>
    </w:lvl>
  </w:abstractNum>
  <w:abstractNum w:abstractNumId="4" w15:restartNumberingAfterBreak="0">
    <w:nsid w:val="11D05719"/>
    <w:multiLevelType w:val="hybridMultilevel"/>
    <w:tmpl w:val="744CEEDA"/>
    <w:lvl w:ilvl="0" w:tplc="DBD6532E">
      <w:start w:val="1"/>
      <w:numFmt w:val="bullet"/>
      <w:lvlText w:val="-"/>
      <w:lvlJc w:val="left"/>
      <w:pPr>
        <w:ind w:left="720" w:hanging="360"/>
      </w:pPr>
      <w:rPr>
        <w:rFonts w:ascii="Aptos" w:hAnsi="Aptos" w:hint="default"/>
      </w:rPr>
    </w:lvl>
    <w:lvl w:ilvl="1" w:tplc="62DE46EE">
      <w:start w:val="1"/>
      <w:numFmt w:val="bullet"/>
      <w:lvlText w:val="o"/>
      <w:lvlJc w:val="left"/>
      <w:pPr>
        <w:ind w:left="1440" w:hanging="360"/>
      </w:pPr>
      <w:rPr>
        <w:rFonts w:ascii="Courier New" w:hAnsi="Courier New" w:hint="default"/>
      </w:rPr>
    </w:lvl>
    <w:lvl w:ilvl="2" w:tplc="6568D590">
      <w:start w:val="1"/>
      <w:numFmt w:val="bullet"/>
      <w:lvlText w:val=""/>
      <w:lvlJc w:val="left"/>
      <w:pPr>
        <w:ind w:left="2160" w:hanging="360"/>
      </w:pPr>
      <w:rPr>
        <w:rFonts w:ascii="Wingdings" w:hAnsi="Wingdings" w:hint="default"/>
      </w:rPr>
    </w:lvl>
    <w:lvl w:ilvl="3" w:tplc="7C8C813A">
      <w:start w:val="1"/>
      <w:numFmt w:val="bullet"/>
      <w:lvlText w:val=""/>
      <w:lvlJc w:val="left"/>
      <w:pPr>
        <w:ind w:left="2880" w:hanging="360"/>
      </w:pPr>
      <w:rPr>
        <w:rFonts w:ascii="Symbol" w:hAnsi="Symbol" w:hint="default"/>
      </w:rPr>
    </w:lvl>
    <w:lvl w:ilvl="4" w:tplc="F36E5CFE">
      <w:start w:val="1"/>
      <w:numFmt w:val="bullet"/>
      <w:lvlText w:val="o"/>
      <w:lvlJc w:val="left"/>
      <w:pPr>
        <w:ind w:left="3600" w:hanging="360"/>
      </w:pPr>
      <w:rPr>
        <w:rFonts w:ascii="Courier New" w:hAnsi="Courier New" w:hint="default"/>
      </w:rPr>
    </w:lvl>
    <w:lvl w:ilvl="5" w:tplc="FACE35C6">
      <w:start w:val="1"/>
      <w:numFmt w:val="bullet"/>
      <w:lvlText w:val=""/>
      <w:lvlJc w:val="left"/>
      <w:pPr>
        <w:ind w:left="4320" w:hanging="360"/>
      </w:pPr>
      <w:rPr>
        <w:rFonts w:ascii="Wingdings" w:hAnsi="Wingdings" w:hint="default"/>
      </w:rPr>
    </w:lvl>
    <w:lvl w:ilvl="6" w:tplc="67102892">
      <w:start w:val="1"/>
      <w:numFmt w:val="bullet"/>
      <w:lvlText w:val=""/>
      <w:lvlJc w:val="left"/>
      <w:pPr>
        <w:ind w:left="5040" w:hanging="360"/>
      </w:pPr>
      <w:rPr>
        <w:rFonts w:ascii="Symbol" w:hAnsi="Symbol" w:hint="default"/>
      </w:rPr>
    </w:lvl>
    <w:lvl w:ilvl="7" w:tplc="BCF0EACC">
      <w:start w:val="1"/>
      <w:numFmt w:val="bullet"/>
      <w:lvlText w:val="o"/>
      <w:lvlJc w:val="left"/>
      <w:pPr>
        <w:ind w:left="5760" w:hanging="360"/>
      </w:pPr>
      <w:rPr>
        <w:rFonts w:ascii="Courier New" w:hAnsi="Courier New" w:hint="default"/>
      </w:rPr>
    </w:lvl>
    <w:lvl w:ilvl="8" w:tplc="32CAFDA6">
      <w:start w:val="1"/>
      <w:numFmt w:val="bullet"/>
      <w:lvlText w:val=""/>
      <w:lvlJc w:val="left"/>
      <w:pPr>
        <w:ind w:left="6480" w:hanging="360"/>
      </w:pPr>
      <w:rPr>
        <w:rFonts w:ascii="Wingdings" w:hAnsi="Wingdings" w:hint="default"/>
      </w:rPr>
    </w:lvl>
  </w:abstractNum>
  <w:abstractNum w:abstractNumId="5" w15:restartNumberingAfterBreak="0">
    <w:nsid w:val="11F76C62"/>
    <w:multiLevelType w:val="hybridMultilevel"/>
    <w:tmpl w:val="9BC8BA26"/>
    <w:lvl w:ilvl="0" w:tplc="B8F28A36">
      <w:numFmt w:val="bullet"/>
      <w:lvlText w:val=""/>
      <w:lvlJc w:val="left"/>
      <w:pPr>
        <w:ind w:left="720" w:hanging="360"/>
      </w:pPr>
      <w:rPr>
        <w:rFonts w:ascii="Wingdings" w:eastAsiaTheme="majorEastAsia"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631A62"/>
    <w:multiLevelType w:val="hybridMultilevel"/>
    <w:tmpl w:val="BD2844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B35BCE"/>
    <w:multiLevelType w:val="hybridMultilevel"/>
    <w:tmpl w:val="5C7A2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9345B"/>
    <w:multiLevelType w:val="hybridMultilevel"/>
    <w:tmpl w:val="976A636E"/>
    <w:lvl w:ilvl="0" w:tplc="42B22A38">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BA6CAA"/>
    <w:multiLevelType w:val="multilevel"/>
    <w:tmpl w:val="0C5683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0" w15:restartNumberingAfterBreak="0">
    <w:nsid w:val="17E4330C"/>
    <w:multiLevelType w:val="hybridMultilevel"/>
    <w:tmpl w:val="38A6C05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54568C"/>
    <w:multiLevelType w:val="hybridMultilevel"/>
    <w:tmpl w:val="0D76EC5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02A330A"/>
    <w:multiLevelType w:val="multilevel"/>
    <w:tmpl w:val="7BAE695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0A04815"/>
    <w:multiLevelType w:val="hybridMultilevel"/>
    <w:tmpl w:val="4170C4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A33DD9"/>
    <w:multiLevelType w:val="hybridMultilevel"/>
    <w:tmpl w:val="AF5CE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394110"/>
    <w:multiLevelType w:val="hybridMultilevel"/>
    <w:tmpl w:val="66F2D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F92DBF"/>
    <w:multiLevelType w:val="hybridMultilevel"/>
    <w:tmpl w:val="09347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CB476D"/>
    <w:multiLevelType w:val="hybridMultilevel"/>
    <w:tmpl w:val="BB006F72"/>
    <w:lvl w:ilvl="0" w:tplc="EC841CC4">
      <w:start w:val="1"/>
      <w:numFmt w:val="bullet"/>
      <w:lvlText w:val="-"/>
      <w:lvlJc w:val="left"/>
      <w:pPr>
        <w:ind w:left="720" w:hanging="360"/>
      </w:pPr>
      <w:rPr>
        <w:rFonts w:ascii="Aptos" w:hAnsi="Aptos" w:hint="default"/>
      </w:rPr>
    </w:lvl>
    <w:lvl w:ilvl="1" w:tplc="F57891BA">
      <w:start w:val="1"/>
      <w:numFmt w:val="bullet"/>
      <w:lvlText w:val="o"/>
      <w:lvlJc w:val="left"/>
      <w:pPr>
        <w:ind w:left="1440" w:hanging="360"/>
      </w:pPr>
      <w:rPr>
        <w:rFonts w:ascii="Courier New" w:hAnsi="Courier New" w:hint="default"/>
      </w:rPr>
    </w:lvl>
    <w:lvl w:ilvl="2" w:tplc="22E61FE8">
      <w:start w:val="1"/>
      <w:numFmt w:val="bullet"/>
      <w:lvlText w:val=""/>
      <w:lvlJc w:val="left"/>
      <w:pPr>
        <w:ind w:left="2160" w:hanging="360"/>
      </w:pPr>
      <w:rPr>
        <w:rFonts w:ascii="Wingdings" w:hAnsi="Wingdings" w:hint="default"/>
      </w:rPr>
    </w:lvl>
    <w:lvl w:ilvl="3" w:tplc="88CA3432">
      <w:start w:val="1"/>
      <w:numFmt w:val="bullet"/>
      <w:lvlText w:val=""/>
      <w:lvlJc w:val="left"/>
      <w:pPr>
        <w:ind w:left="2880" w:hanging="360"/>
      </w:pPr>
      <w:rPr>
        <w:rFonts w:ascii="Symbol" w:hAnsi="Symbol" w:hint="default"/>
      </w:rPr>
    </w:lvl>
    <w:lvl w:ilvl="4" w:tplc="AAB45668">
      <w:start w:val="1"/>
      <w:numFmt w:val="bullet"/>
      <w:lvlText w:val="o"/>
      <w:lvlJc w:val="left"/>
      <w:pPr>
        <w:ind w:left="3600" w:hanging="360"/>
      </w:pPr>
      <w:rPr>
        <w:rFonts w:ascii="Courier New" w:hAnsi="Courier New" w:hint="default"/>
      </w:rPr>
    </w:lvl>
    <w:lvl w:ilvl="5" w:tplc="2FC4B7F6">
      <w:start w:val="1"/>
      <w:numFmt w:val="bullet"/>
      <w:lvlText w:val=""/>
      <w:lvlJc w:val="left"/>
      <w:pPr>
        <w:ind w:left="4320" w:hanging="360"/>
      </w:pPr>
      <w:rPr>
        <w:rFonts w:ascii="Wingdings" w:hAnsi="Wingdings" w:hint="default"/>
      </w:rPr>
    </w:lvl>
    <w:lvl w:ilvl="6" w:tplc="E766E454">
      <w:start w:val="1"/>
      <w:numFmt w:val="bullet"/>
      <w:lvlText w:val=""/>
      <w:lvlJc w:val="left"/>
      <w:pPr>
        <w:ind w:left="5040" w:hanging="360"/>
      </w:pPr>
      <w:rPr>
        <w:rFonts w:ascii="Symbol" w:hAnsi="Symbol" w:hint="default"/>
      </w:rPr>
    </w:lvl>
    <w:lvl w:ilvl="7" w:tplc="2F4AA61C">
      <w:start w:val="1"/>
      <w:numFmt w:val="bullet"/>
      <w:lvlText w:val="o"/>
      <w:lvlJc w:val="left"/>
      <w:pPr>
        <w:ind w:left="5760" w:hanging="360"/>
      </w:pPr>
      <w:rPr>
        <w:rFonts w:ascii="Courier New" w:hAnsi="Courier New" w:hint="default"/>
      </w:rPr>
    </w:lvl>
    <w:lvl w:ilvl="8" w:tplc="2260249E">
      <w:start w:val="1"/>
      <w:numFmt w:val="bullet"/>
      <w:lvlText w:val=""/>
      <w:lvlJc w:val="left"/>
      <w:pPr>
        <w:ind w:left="6480" w:hanging="360"/>
      </w:pPr>
      <w:rPr>
        <w:rFonts w:ascii="Wingdings" w:hAnsi="Wingdings" w:hint="default"/>
      </w:rPr>
    </w:lvl>
  </w:abstractNum>
  <w:abstractNum w:abstractNumId="18" w15:restartNumberingAfterBreak="0">
    <w:nsid w:val="2E8A543D"/>
    <w:multiLevelType w:val="hybridMultilevel"/>
    <w:tmpl w:val="D6F28676"/>
    <w:lvl w:ilvl="0" w:tplc="E6F02526">
      <w:start w:val="1"/>
      <w:numFmt w:val="bullet"/>
      <w:lvlText w:val="-"/>
      <w:lvlJc w:val="left"/>
      <w:pPr>
        <w:ind w:left="720" w:hanging="360"/>
      </w:pPr>
      <w:rPr>
        <w:rFonts w:ascii="Aptos" w:hAnsi="Aptos" w:hint="default"/>
      </w:rPr>
    </w:lvl>
    <w:lvl w:ilvl="1" w:tplc="9132C00C">
      <w:start w:val="1"/>
      <w:numFmt w:val="bullet"/>
      <w:lvlText w:val="o"/>
      <w:lvlJc w:val="left"/>
      <w:pPr>
        <w:ind w:left="1440" w:hanging="360"/>
      </w:pPr>
      <w:rPr>
        <w:rFonts w:ascii="Courier New" w:hAnsi="Courier New" w:hint="default"/>
      </w:rPr>
    </w:lvl>
    <w:lvl w:ilvl="2" w:tplc="43AECAF2">
      <w:start w:val="1"/>
      <w:numFmt w:val="bullet"/>
      <w:lvlText w:val=""/>
      <w:lvlJc w:val="left"/>
      <w:pPr>
        <w:ind w:left="2160" w:hanging="360"/>
      </w:pPr>
      <w:rPr>
        <w:rFonts w:ascii="Wingdings" w:hAnsi="Wingdings" w:hint="default"/>
      </w:rPr>
    </w:lvl>
    <w:lvl w:ilvl="3" w:tplc="4A947EF6">
      <w:start w:val="1"/>
      <w:numFmt w:val="bullet"/>
      <w:lvlText w:val=""/>
      <w:lvlJc w:val="left"/>
      <w:pPr>
        <w:ind w:left="2880" w:hanging="360"/>
      </w:pPr>
      <w:rPr>
        <w:rFonts w:ascii="Symbol" w:hAnsi="Symbol" w:hint="default"/>
      </w:rPr>
    </w:lvl>
    <w:lvl w:ilvl="4" w:tplc="031C90B6">
      <w:start w:val="1"/>
      <w:numFmt w:val="bullet"/>
      <w:lvlText w:val="o"/>
      <w:lvlJc w:val="left"/>
      <w:pPr>
        <w:ind w:left="3600" w:hanging="360"/>
      </w:pPr>
      <w:rPr>
        <w:rFonts w:ascii="Courier New" w:hAnsi="Courier New" w:hint="default"/>
      </w:rPr>
    </w:lvl>
    <w:lvl w:ilvl="5" w:tplc="1274478C">
      <w:start w:val="1"/>
      <w:numFmt w:val="bullet"/>
      <w:lvlText w:val=""/>
      <w:lvlJc w:val="left"/>
      <w:pPr>
        <w:ind w:left="4320" w:hanging="360"/>
      </w:pPr>
      <w:rPr>
        <w:rFonts w:ascii="Wingdings" w:hAnsi="Wingdings" w:hint="default"/>
      </w:rPr>
    </w:lvl>
    <w:lvl w:ilvl="6" w:tplc="51EC2B24">
      <w:start w:val="1"/>
      <w:numFmt w:val="bullet"/>
      <w:lvlText w:val=""/>
      <w:lvlJc w:val="left"/>
      <w:pPr>
        <w:ind w:left="5040" w:hanging="360"/>
      </w:pPr>
      <w:rPr>
        <w:rFonts w:ascii="Symbol" w:hAnsi="Symbol" w:hint="default"/>
      </w:rPr>
    </w:lvl>
    <w:lvl w:ilvl="7" w:tplc="6CCADABE">
      <w:start w:val="1"/>
      <w:numFmt w:val="bullet"/>
      <w:lvlText w:val="o"/>
      <w:lvlJc w:val="left"/>
      <w:pPr>
        <w:ind w:left="5760" w:hanging="360"/>
      </w:pPr>
      <w:rPr>
        <w:rFonts w:ascii="Courier New" w:hAnsi="Courier New" w:hint="default"/>
      </w:rPr>
    </w:lvl>
    <w:lvl w:ilvl="8" w:tplc="634E3EAC">
      <w:start w:val="1"/>
      <w:numFmt w:val="bullet"/>
      <w:lvlText w:val=""/>
      <w:lvlJc w:val="left"/>
      <w:pPr>
        <w:ind w:left="6480" w:hanging="360"/>
      </w:pPr>
      <w:rPr>
        <w:rFonts w:ascii="Wingdings" w:hAnsi="Wingdings" w:hint="default"/>
      </w:rPr>
    </w:lvl>
  </w:abstractNum>
  <w:abstractNum w:abstractNumId="19" w15:restartNumberingAfterBreak="0">
    <w:nsid w:val="2EED03DA"/>
    <w:multiLevelType w:val="hybridMultilevel"/>
    <w:tmpl w:val="D736D09A"/>
    <w:lvl w:ilvl="0" w:tplc="2FBED52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E8950B"/>
    <w:multiLevelType w:val="hybridMultilevel"/>
    <w:tmpl w:val="BF466402"/>
    <w:lvl w:ilvl="0" w:tplc="FA5E872E">
      <w:start w:val="1"/>
      <w:numFmt w:val="bullet"/>
      <w:lvlText w:val="-"/>
      <w:lvlJc w:val="left"/>
      <w:pPr>
        <w:ind w:left="720" w:hanging="360"/>
      </w:pPr>
      <w:rPr>
        <w:rFonts w:ascii="Aptos" w:hAnsi="Aptos" w:hint="default"/>
      </w:rPr>
    </w:lvl>
    <w:lvl w:ilvl="1" w:tplc="51E6565C">
      <w:start w:val="1"/>
      <w:numFmt w:val="bullet"/>
      <w:lvlText w:val="o"/>
      <w:lvlJc w:val="left"/>
      <w:pPr>
        <w:ind w:left="1440" w:hanging="360"/>
      </w:pPr>
      <w:rPr>
        <w:rFonts w:ascii="Courier New" w:hAnsi="Courier New" w:hint="default"/>
      </w:rPr>
    </w:lvl>
    <w:lvl w:ilvl="2" w:tplc="88907EA2">
      <w:start w:val="1"/>
      <w:numFmt w:val="bullet"/>
      <w:lvlText w:val=""/>
      <w:lvlJc w:val="left"/>
      <w:pPr>
        <w:ind w:left="2160" w:hanging="360"/>
      </w:pPr>
      <w:rPr>
        <w:rFonts w:ascii="Wingdings" w:hAnsi="Wingdings" w:hint="default"/>
      </w:rPr>
    </w:lvl>
    <w:lvl w:ilvl="3" w:tplc="8CD8BE74">
      <w:start w:val="1"/>
      <w:numFmt w:val="bullet"/>
      <w:lvlText w:val=""/>
      <w:lvlJc w:val="left"/>
      <w:pPr>
        <w:ind w:left="2880" w:hanging="360"/>
      </w:pPr>
      <w:rPr>
        <w:rFonts w:ascii="Symbol" w:hAnsi="Symbol" w:hint="default"/>
      </w:rPr>
    </w:lvl>
    <w:lvl w:ilvl="4" w:tplc="096CC770">
      <w:start w:val="1"/>
      <w:numFmt w:val="bullet"/>
      <w:lvlText w:val="o"/>
      <w:lvlJc w:val="left"/>
      <w:pPr>
        <w:ind w:left="3600" w:hanging="360"/>
      </w:pPr>
      <w:rPr>
        <w:rFonts w:ascii="Courier New" w:hAnsi="Courier New" w:hint="default"/>
      </w:rPr>
    </w:lvl>
    <w:lvl w:ilvl="5" w:tplc="D236116A">
      <w:start w:val="1"/>
      <w:numFmt w:val="bullet"/>
      <w:lvlText w:val=""/>
      <w:lvlJc w:val="left"/>
      <w:pPr>
        <w:ind w:left="4320" w:hanging="360"/>
      </w:pPr>
      <w:rPr>
        <w:rFonts w:ascii="Wingdings" w:hAnsi="Wingdings" w:hint="default"/>
      </w:rPr>
    </w:lvl>
    <w:lvl w:ilvl="6" w:tplc="95C657D6">
      <w:start w:val="1"/>
      <w:numFmt w:val="bullet"/>
      <w:lvlText w:val=""/>
      <w:lvlJc w:val="left"/>
      <w:pPr>
        <w:ind w:left="5040" w:hanging="360"/>
      </w:pPr>
      <w:rPr>
        <w:rFonts w:ascii="Symbol" w:hAnsi="Symbol" w:hint="default"/>
      </w:rPr>
    </w:lvl>
    <w:lvl w:ilvl="7" w:tplc="0A84E656">
      <w:start w:val="1"/>
      <w:numFmt w:val="bullet"/>
      <w:lvlText w:val="o"/>
      <w:lvlJc w:val="left"/>
      <w:pPr>
        <w:ind w:left="5760" w:hanging="360"/>
      </w:pPr>
      <w:rPr>
        <w:rFonts w:ascii="Courier New" w:hAnsi="Courier New" w:hint="default"/>
      </w:rPr>
    </w:lvl>
    <w:lvl w:ilvl="8" w:tplc="14DCA948">
      <w:start w:val="1"/>
      <w:numFmt w:val="bullet"/>
      <w:lvlText w:val=""/>
      <w:lvlJc w:val="left"/>
      <w:pPr>
        <w:ind w:left="6480" w:hanging="360"/>
      </w:pPr>
      <w:rPr>
        <w:rFonts w:ascii="Wingdings" w:hAnsi="Wingdings" w:hint="default"/>
      </w:rPr>
    </w:lvl>
  </w:abstractNum>
  <w:abstractNum w:abstractNumId="21" w15:restartNumberingAfterBreak="0">
    <w:nsid w:val="3379FAB3"/>
    <w:multiLevelType w:val="hybridMultilevel"/>
    <w:tmpl w:val="390627CA"/>
    <w:lvl w:ilvl="0" w:tplc="F392BC4E">
      <w:start w:val="1"/>
      <w:numFmt w:val="bullet"/>
      <w:lvlText w:val="-"/>
      <w:lvlJc w:val="left"/>
      <w:pPr>
        <w:ind w:left="720" w:hanging="360"/>
      </w:pPr>
      <w:rPr>
        <w:rFonts w:ascii="Aptos" w:hAnsi="Aptos" w:hint="default"/>
      </w:rPr>
    </w:lvl>
    <w:lvl w:ilvl="1" w:tplc="951CD8A2">
      <w:start w:val="1"/>
      <w:numFmt w:val="bullet"/>
      <w:lvlText w:val="o"/>
      <w:lvlJc w:val="left"/>
      <w:pPr>
        <w:ind w:left="1440" w:hanging="360"/>
      </w:pPr>
      <w:rPr>
        <w:rFonts w:ascii="Courier New" w:hAnsi="Courier New" w:hint="default"/>
      </w:rPr>
    </w:lvl>
    <w:lvl w:ilvl="2" w:tplc="555C396A">
      <w:start w:val="1"/>
      <w:numFmt w:val="bullet"/>
      <w:lvlText w:val=""/>
      <w:lvlJc w:val="left"/>
      <w:pPr>
        <w:ind w:left="2160" w:hanging="360"/>
      </w:pPr>
      <w:rPr>
        <w:rFonts w:ascii="Wingdings" w:hAnsi="Wingdings" w:hint="default"/>
      </w:rPr>
    </w:lvl>
    <w:lvl w:ilvl="3" w:tplc="E7043A68">
      <w:start w:val="1"/>
      <w:numFmt w:val="bullet"/>
      <w:lvlText w:val=""/>
      <w:lvlJc w:val="left"/>
      <w:pPr>
        <w:ind w:left="2880" w:hanging="360"/>
      </w:pPr>
      <w:rPr>
        <w:rFonts w:ascii="Symbol" w:hAnsi="Symbol" w:hint="default"/>
      </w:rPr>
    </w:lvl>
    <w:lvl w:ilvl="4" w:tplc="FE7A481A">
      <w:start w:val="1"/>
      <w:numFmt w:val="bullet"/>
      <w:lvlText w:val="o"/>
      <w:lvlJc w:val="left"/>
      <w:pPr>
        <w:ind w:left="3600" w:hanging="360"/>
      </w:pPr>
      <w:rPr>
        <w:rFonts w:ascii="Courier New" w:hAnsi="Courier New" w:hint="default"/>
      </w:rPr>
    </w:lvl>
    <w:lvl w:ilvl="5" w:tplc="93F47C9A">
      <w:start w:val="1"/>
      <w:numFmt w:val="bullet"/>
      <w:lvlText w:val=""/>
      <w:lvlJc w:val="left"/>
      <w:pPr>
        <w:ind w:left="4320" w:hanging="360"/>
      </w:pPr>
      <w:rPr>
        <w:rFonts w:ascii="Wingdings" w:hAnsi="Wingdings" w:hint="default"/>
      </w:rPr>
    </w:lvl>
    <w:lvl w:ilvl="6" w:tplc="9AB4944E">
      <w:start w:val="1"/>
      <w:numFmt w:val="bullet"/>
      <w:lvlText w:val=""/>
      <w:lvlJc w:val="left"/>
      <w:pPr>
        <w:ind w:left="5040" w:hanging="360"/>
      </w:pPr>
      <w:rPr>
        <w:rFonts w:ascii="Symbol" w:hAnsi="Symbol" w:hint="default"/>
      </w:rPr>
    </w:lvl>
    <w:lvl w:ilvl="7" w:tplc="E2AED608">
      <w:start w:val="1"/>
      <w:numFmt w:val="bullet"/>
      <w:lvlText w:val="o"/>
      <w:lvlJc w:val="left"/>
      <w:pPr>
        <w:ind w:left="5760" w:hanging="360"/>
      </w:pPr>
      <w:rPr>
        <w:rFonts w:ascii="Courier New" w:hAnsi="Courier New" w:hint="default"/>
      </w:rPr>
    </w:lvl>
    <w:lvl w:ilvl="8" w:tplc="7AC44E06">
      <w:start w:val="1"/>
      <w:numFmt w:val="bullet"/>
      <w:lvlText w:val=""/>
      <w:lvlJc w:val="left"/>
      <w:pPr>
        <w:ind w:left="6480" w:hanging="360"/>
      </w:pPr>
      <w:rPr>
        <w:rFonts w:ascii="Wingdings" w:hAnsi="Wingdings" w:hint="default"/>
      </w:rPr>
    </w:lvl>
  </w:abstractNum>
  <w:abstractNum w:abstractNumId="22" w15:restartNumberingAfterBreak="0">
    <w:nsid w:val="3D6756E2"/>
    <w:multiLevelType w:val="hybridMultilevel"/>
    <w:tmpl w:val="1FB24AEC"/>
    <w:lvl w:ilvl="0" w:tplc="BB568BF4">
      <w:start w:val="1"/>
      <w:numFmt w:val="bullet"/>
      <w:lvlText w:val="-"/>
      <w:lvlJc w:val="left"/>
      <w:pPr>
        <w:ind w:left="720" w:hanging="360"/>
      </w:pPr>
      <w:rPr>
        <w:rFonts w:ascii="Aptos" w:hAnsi="Aptos" w:hint="default"/>
      </w:rPr>
    </w:lvl>
    <w:lvl w:ilvl="1" w:tplc="AB3829AC">
      <w:start w:val="1"/>
      <w:numFmt w:val="bullet"/>
      <w:lvlText w:val="o"/>
      <w:lvlJc w:val="left"/>
      <w:pPr>
        <w:ind w:left="1440" w:hanging="360"/>
      </w:pPr>
      <w:rPr>
        <w:rFonts w:ascii="Courier New" w:hAnsi="Courier New" w:hint="default"/>
      </w:rPr>
    </w:lvl>
    <w:lvl w:ilvl="2" w:tplc="2F12444A">
      <w:start w:val="1"/>
      <w:numFmt w:val="bullet"/>
      <w:lvlText w:val=""/>
      <w:lvlJc w:val="left"/>
      <w:pPr>
        <w:ind w:left="2160" w:hanging="360"/>
      </w:pPr>
      <w:rPr>
        <w:rFonts w:ascii="Wingdings" w:hAnsi="Wingdings" w:hint="default"/>
      </w:rPr>
    </w:lvl>
    <w:lvl w:ilvl="3" w:tplc="5BA8D54C">
      <w:start w:val="1"/>
      <w:numFmt w:val="bullet"/>
      <w:lvlText w:val=""/>
      <w:lvlJc w:val="left"/>
      <w:pPr>
        <w:ind w:left="2880" w:hanging="360"/>
      </w:pPr>
      <w:rPr>
        <w:rFonts w:ascii="Symbol" w:hAnsi="Symbol" w:hint="default"/>
      </w:rPr>
    </w:lvl>
    <w:lvl w:ilvl="4" w:tplc="3C5611B0">
      <w:start w:val="1"/>
      <w:numFmt w:val="bullet"/>
      <w:lvlText w:val="o"/>
      <w:lvlJc w:val="left"/>
      <w:pPr>
        <w:ind w:left="3600" w:hanging="360"/>
      </w:pPr>
      <w:rPr>
        <w:rFonts w:ascii="Courier New" w:hAnsi="Courier New" w:hint="default"/>
      </w:rPr>
    </w:lvl>
    <w:lvl w:ilvl="5" w:tplc="E0280484">
      <w:start w:val="1"/>
      <w:numFmt w:val="bullet"/>
      <w:lvlText w:val=""/>
      <w:lvlJc w:val="left"/>
      <w:pPr>
        <w:ind w:left="4320" w:hanging="360"/>
      </w:pPr>
      <w:rPr>
        <w:rFonts w:ascii="Wingdings" w:hAnsi="Wingdings" w:hint="default"/>
      </w:rPr>
    </w:lvl>
    <w:lvl w:ilvl="6" w:tplc="805A977C">
      <w:start w:val="1"/>
      <w:numFmt w:val="bullet"/>
      <w:lvlText w:val=""/>
      <w:lvlJc w:val="left"/>
      <w:pPr>
        <w:ind w:left="5040" w:hanging="360"/>
      </w:pPr>
      <w:rPr>
        <w:rFonts w:ascii="Symbol" w:hAnsi="Symbol" w:hint="default"/>
      </w:rPr>
    </w:lvl>
    <w:lvl w:ilvl="7" w:tplc="0810D06E">
      <w:start w:val="1"/>
      <w:numFmt w:val="bullet"/>
      <w:lvlText w:val="o"/>
      <w:lvlJc w:val="left"/>
      <w:pPr>
        <w:ind w:left="5760" w:hanging="360"/>
      </w:pPr>
      <w:rPr>
        <w:rFonts w:ascii="Courier New" w:hAnsi="Courier New" w:hint="default"/>
      </w:rPr>
    </w:lvl>
    <w:lvl w:ilvl="8" w:tplc="84982868">
      <w:start w:val="1"/>
      <w:numFmt w:val="bullet"/>
      <w:lvlText w:val=""/>
      <w:lvlJc w:val="left"/>
      <w:pPr>
        <w:ind w:left="6480" w:hanging="360"/>
      </w:pPr>
      <w:rPr>
        <w:rFonts w:ascii="Wingdings" w:hAnsi="Wingdings" w:hint="default"/>
      </w:rPr>
    </w:lvl>
  </w:abstractNum>
  <w:abstractNum w:abstractNumId="23" w15:restartNumberingAfterBreak="0">
    <w:nsid w:val="3FDB7552"/>
    <w:multiLevelType w:val="hybridMultilevel"/>
    <w:tmpl w:val="40B83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B95881"/>
    <w:multiLevelType w:val="hybridMultilevel"/>
    <w:tmpl w:val="0ECE4006"/>
    <w:lvl w:ilvl="0" w:tplc="E4CE3274">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67D66DA"/>
    <w:multiLevelType w:val="hybridMultilevel"/>
    <w:tmpl w:val="EC984C76"/>
    <w:lvl w:ilvl="0" w:tplc="2FBED52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D469ED"/>
    <w:multiLevelType w:val="hybridMultilevel"/>
    <w:tmpl w:val="E58CE5A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96433BD"/>
    <w:multiLevelType w:val="hybridMultilevel"/>
    <w:tmpl w:val="AFB0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420915"/>
    <w:multiLevelType w:val="hybridMultilevel"/>
    <w:tmpl w:val="592EC696"/>
    <w:lvl w:ilvl="0" w:tplc="08090001">
      <w:start w:val="1"/>
      <w:numFmt w:val="bullet"/>
      <w:lvlText w:val=""/>
      <w:lvlJc w:val="left"/>
      <w:pPr>
        <w:ind w:left="1140" w:hanging="360"/>
      </w:pPr>
      <w:rPr>
        <w:rFonts w:ascii="Symbol" w:hAnsi="Symbol" w:hint="default"/>
      </w:rPr>
    </w:lvl>
    <w:lvl w:ilvl="1" w:tplc="08090003">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9" w15:restartNumberingAfterBreak="0">
    <w:nsid w:val="4B5B2A4F"/>
    <w:multiLevelType w:val="hybridMultilevel"/>
    <w:tmpl w:val="F210D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E722BE"/>
    <w:multiLevelType w:val="hybridMultilevel"/>
    <w:tmpl w:val="048A96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20C5D9C"/>
    <w:multiLevelType w:val="multilevel"/>
    <w:tmpl w:val="C3C612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544761ED"/>
    <w:multiLevelType w:val="hybridMultilevel"/>
    <w:tmpl w:val="1F2AD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185692"/>
    <w:multiLevelType w:val="hybridMultilevel"/>
    <w:tmpl w:val="1A024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8C08DD"/>
    <w:multiLevelType w:val="hybridMultilevel"/>
    <w:tmpl w:val="D41E23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AAC32EB"/>
    <w:multiLevelType w:val="hybridMultilevel"/>
    <w:tmpl w:val="43DA90D4"/>
    <w:lvl w:ilvl="0" w:tplc="42B22A38">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AF40AAD"/>
    <w:multiLevelType w:val="hybridMultilevel"/>
    <w:tmpl w:val="B7D4CF40"/>
    <w:lvl w:ilvl="0" w:tplc="471E9DF2">
      <w:start w:val="1"/>
      <w:numFmt w:val="bullet"/>
      <w:lvlText w:val="-"/>
      <w:lvlJc w:val="left"/>
      <w:pPr>
        <w:ind w:left="720" w:hanging="360"/>
      </w:pPr>
      <w:rPr>
        <w:rFonts w:ascii="Aptos" w:hAnsi="Aptos" w:hint="default"/>
      </w:rPr>
    </w:lvl>
    <w:lvl w:ilvl="1" w:tplc="BC70C412">
      <w:start w:val="1"/>
      <w:numFmt w:val="bullet"/>
      <w:lvlText w:val="o"/>
      <w:lvlJc w:val="left"/>
      <w:pPr>
        <w:ind w:left="1440" w:hanging="360"/>
      </w:pPr>
      <w:rPr>
        <w:rFonts w:ascii="Courier New" w:hAnsi="Courier New" w:hint="default"/>
      </w:rPr>
    </w:lvl>
    <w:lvl w:ilvl="2" w:tplc="8B68BF78">
      <w:start w:val="1"/>
      <w:numFmt w:val="bullet"/>
      <w:lvlText w:val=""/>
      <w:lvlJc w:val="left"/>
      <w:pPr>
        <w:ind w:left="2160" w:hanging="360"/>
      </w:pPr>
      <w:rPr>
        <w:rFonts w:ascii="Wingdings" w:hAnsi="Wingdings" w:hint="default"/>
      </w:rPr>
    </w:lvl>
    <w:lvl w:ilvl="3" w:tplc="F106F696">
      <w:start w:val="1"/>
      <w:numFmt w:val="bullet"/>
      <w:lvlText w:val=""/>
      <w:lvlJc w:val="left"/>
      <w:pPr>
        <w:ind w:left="2880" w:hanging="360"/>
      </w:pPr>
      <w:rPr>
        <w:rFonts w:ascii="Symbol" w:hAnsi="Symbol" w:hint="default"/>
      </w:rPr>
    </w:lvl>
    <w:lvl w:ilvl="4" w:tplc="69962968">
      <w:start w:val="1"/>
      <w:numFmt w:val="bullet"/>
      <w:lvlText w:val="o"/>
      <w:lvlJc w:val="left"/>
      <w:pPr>
        <w:ind w:left="3600" w:hanging="360"/>
      </w:pPr>
      <w:rPr>
        <w:rFonts w:ascii="Courier New" w:hAnsi="Courier New" w:hint="default"/>
      </w:rPr>
    </w:lvl>
    <w:lvl w:ilvl="5" w:tplc="EF0AD46E">
      <w:start w:val="1"/>
      <w:numFmt w:val="bullet"/>
      <w:lvlText w:val=""/>
      <w:lvlJc w:val="left"/>
      <w:pPr>
        <w:ind w:left="4320" w:hanging="360"/>
      </w:pPr>
      <w:rPr>
        <w:rFonts w:ascii="Wingdings" w:hAnsi="Wingdings" w:hint="default"/>
      </w:rPr>
    </w:lvl>
    <w:lvl w:ilvl="6" w:tplc="3D9011D2">
      <w:start w:val="1"/>
      <w:numFmt w:val="bullet"/>
      <w:lvlText w:val=""/>
      <w:lvlJc w:val="left"/>
      <w:pPr>
        <w:ind w:left="5040" w:hanging="360"/>
      </w:pPr>
      <w:rPr>
        <w:rFonts w:ascii="Symbol" w:hAnsi="Symbol" w:hint="default"/>
      </w:rPr>
    </w:lvl>
    <w:lvl w:ilvl="7" w:tplc="1628733C">
      <w:start w:val="1"/>
      <w:numFmt w:val="bullet"/>
      <w:lvlText w:val="o"/>
      <w:lvlJc w:val="left"/>
      <w:pPr>
        <w:ind w:left="5760" w:hanging="360"/>
      </w:pPr>
      <w:rPr>
        <w:rFonts w:ascii="Courier New" w:hAnsi="Courier New" w:hint="default"/>
      </w:rPr>
    </w:lvl>
    <w:lvl w:ilvl="8" w:tplc="1F2C310A">
      <w:start w:val="1"/>
      <w:numFmt w:val="bullet"/>
      <w:lvlText w:val=""/>
      <w:lvlJc w:val="left"/>
      <w:pPr>
        <w:ind w:left="6480" w:hanging="360"/>
      </w:pPr>
      <w:rPr>
        <w:rFonts w:ascii="Wingdings" w:hAnsi="Wingdings" w:hint="default"/>
      </w:rPr>
    </w:lvl>
  </w:abstractNum>
  <w:abstractNum w:abstractNumId="37" w15:restartNumberingAfterBreak="0">
    <w:nsid w:val="5BD96284"/>
    <w:multiLevelType w:val="hybridMultilevel"/>
    <w:tmpl w:val="80DC0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E02979"/>
    <w:multiLevelType w:val="hybridMultilevel"/>
    <w:tmpl w:val="D6F4CA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5FB2056"/>
    <w:multiLevelType w:val="hybridMultilevel"/>
    <w:tmpl w:val="388E1E06"/>
    <w:lvl w:ilvl="0" w:tplc="B9CC3AE2">
      <w:numFmt w:val="bullet"/>
      <w:lvlText w:val="-"/>
      <w:lvlJc w:val="left"/>
      <w:pPr>
        <w:ind w:left="720" w:hanging="360"/>
      </w:pPr>
      <w:rPr>
        <w:rFonts w:ascii="Arial" w:eastAsiaTheme="minorEastAsia" w:hAnsi="Arial" w:cs="Arial"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05175B"/>
    <w:multiLevelType w:val="hybridMultilevel"/>
    <w:tmpl w:val="7BD62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4D26AA"/>
    <w:multiLevelType w:val="hybridMultilevel"/>
    <w:tmpl w:val="1E2CE3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0F47E57"/>
    <w:multiLevelType w:val="hybridMultilevel"/>
    <w:tmpl w:val="2CBA2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693A1D"/>
    <w:multiLevelType w:val="hybridMultilevel"/>
    <w:tmpl w:val="DCF41C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BE6F34"/>
    <w:multiLevelType w:val="hybridMultilevel"/>
    <w:tmpl w:val="E68E933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79A92A16"/>
    <w:multiLevelType w:val="hybridMultilevel"/>
    <w:tmpl w:val="E01882A2"/>
    <w:lvl w:ilvl="0" w:tplc="A9328C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36"/>
  </w:num>
  <w:num w:numId="4">
    <w:abstractNumId w:val="18"/>
  </w:num>
  <w:num w:numId="5">
    <w:abstractNumId w:val="20"/>
  </w:num>
  <w:num w:numId="6">
    <w:abstractNumId w:val="17"/>
  </w:num>
  <w:num w:numId="7">
    <w:abstractNumId w:val="22"/>
  </w:num>
  <w:num w:numId="8">
    <w:abstractNumId w:val="4"/>
  </w:num>
  <w:num w:numId="9">
    <w:abstractNumId w:val="40"/>
  </w:num>
  <w:num w:numId="10">
    <w:abstractNumId w:val="33"/>
  </w:num>
  <w:num w:numId="11">
    <w:abstractNumId w:val="16"/>
  </w:num>
  <w:num w:numId="12">
    <w:abstractNumId w:val="24"/>
  </w:num>
  <w:num w:numId="13">
    <w:abstractNumId w:val="9"/>
  </w:num>
  <w:num w:numId="14">
    <w:abstractNumId w:val="34"/>
  </w:num>
  <w:num w:numId="15">
    <w:abstractNumId w:val="31"/>
  </w:num>
  <w:num w:numId="16">
    <w:abstractNumId w:val="12"/>
  </w:num>
  <w:num w:numId="17">
    <w:abstractNumId w:val="7"/>
  </w:num>
  <w:num w:numId="18">
    <w:abstractNumId w:val="11"/>
  </w:num>
  <w:num w:numId="19">
    <w:abstractNumId w:val="13"/>
  </w:num>
  <w:num w:numId="20">
    <w:abstractNumId w:val="27"/>
  </w:num>
  <w:num w:numId="21">
    <w:abstractNumId w:val="6"/>
  </w:num>
  <w:num w:numId="22">
    <w:abstractNumId w:val="23"/>
  </w:num>
  <w:num w:numId="23">
    <w:abstractNumId w:val="32"/>
  </w:num>
  <w:num w:numId="24">
    <w:abstractNumId w:val="14"/>
  </w:num>
  <w:num w:numId="25">
    <w:abstractNumId w:val="37"/>
  </w:num>
  <w:num w:numId="26">
    <w:abstractNumId w:val="38"/>
  </w:num>
  <w:num w:numId="27">
    <w:abstractNumId w:val="2"/>
  </w:num>
  <w:num w:numId="28">
    <w:abstractNumId w:val="39"/>
  </w:num>
  <w:num w:numId="29">
    <w:abstractNumId w:val="5"/>
  </w:num>
  <w:num w:numId="30">
    <w:abstractNumId w:val="15"/>
  </w:num>
  <w:num w:numId="31">
    <w:abstractNumId w:val="42"/>
  </w:num>
  <w:num w:numId="32">
    <w:abstractNumId w:val="1"/>
  </w:num>
  <w:num w:numId="33">
    <w:abstractNumId w:val="44"/>
  </w:num>
  <w:num w:numId="34">
    <w:abstractNumId w:val="10"/>
  </w:num>
  <w:num w:numId="35">
    <w:abstractNumId w:val="19"/>
  </w:num>
  <w:num w:numId="36">
    <w:abstractNumId w:val="25"/>
  </w:num>
  <w:num w:numId="37">
    <w:abstractNumId w:val="26"/>
  </w:num>
  <w:num w:numId="38">
    <w:abstractNumId w:val="30"/>
  </w:num>
  <w:num w:numId="39">
    <w:abstractNumId w:val="29"/>
  </w:num>
  <w:num w:numId="40">
    <w:abstractNumId w:val="45"/>
  </w:num>
  <w:num w:numId="41">
    <w:abstractNumId w:val="43"/>
  </w:num>
  <w:num w:numId="42">
    <w:abstractNumId w:val="8"/>
  </w:num>
  <w:num w:numId="43">
    <w:abstractNumId w:val="41"/>
  </w:num>
  <w:num w:numId="44">
    <w:abstractNumId w:val="35"/>
  </w:num>
  <w:num w:numId="45">
    <w:abstractNumId w:val="28"/>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4B"/>
    <w:rsid w:val="000013CD"/>
    <w:rsid w:val="00001E9C"/>
    <w:rsid w:val="00012AD3"/>
    <w:rsid w:val="00022B03"/>
    <w:rsid w:val="00023037"/>
    <w:rsid w:val="000232BC"/>
    <w:rsid w:val="000253EC"/>
    <w:rsid w:val="0003427F"/>
    <w:rsid w:val="00042A7F"/>
    <w:rsid w:val="00047A74"/>
    <w:rsid w:val="000506A7"/>
    <w:rsid w:val="0005446C"/>
    <w:rsid w:val="00061B7C"/>
    <w:rsid w:val="00062A10"/>
    <w:rsid w:val="0006377D"/>
    <w:rsid w:val="000664BB"/>
    <w:rsid w:val="00082753"/>
    <w:rsid w:val="00087DEA"/>
    <w:rsid w:val="000945E1"/>
    <w:rsid w:val="0009497B"/>
    <w:rsid w:val="0009673B"/>
    <w:rsid w:val="00096CD3"/>
    <w:rsid w:val="00097E09"/>
    <w:rsid w:val="000A52AD"/>
    <w:rsid w:val="000B3F19"/>
    <w:rsid w:val="000B4071"/>
    <w:rsid w:val="000B4848"/>
    <w:rsid w:val="000B5223"/>
    <w:rsid w:val="000C0935"/>
    <w:rsid w:val="000C3573"/>
    <w:rsid w:val="000D3A4B"/>
    <w:rsid w:val="000E2529"/>
    <w:rsid w:val="000E4568"/>
    <w:rsid w:val="000E5575"/>
    <w:rsid w:val="0010249B"/>
    <w:rsid w:val="00104F30"/>
    <w:rsid w:val="00105E83"/>
    <w:rsid w:val="001062FE"/>
    <w:rsid w:val="00114295"/>
    <w:rsid w:val="00114484"/>
    <w:rsid w:val="0011675F"/>
    <w:rsid w:val="001300F7"/>
    <w:rsid w:val="0013647E"/>
    <w:rsid w:val="0013794C"/>
    <w:rsid w:val="0015225B"/>
    <w:rsid w:val="001532C9"/>
    <w:rsid w:val="00160CFB"/>
    <w:rsid w:val="00163C6D"/>
    <w:rsid w:val="00166BE4"/>
    <w:rsid w:val="0016770F"/>
    <w:rsid w:val="0016799D"/>
    <w:rsid w:val="00181394"/>
    <w:rsid w:val="0019132E"/>
    <w:rsid w:val="00195D9B"/>
    <w:rsid w:val="00196237"/>
    <w:rsid w:val="001A2176"/>
    <w:rsid w:val="001A47BA"/>
    <w:rsid w:val="001A4974"/>
    <w:rsid w:val="001B14FD"/>
    <w:rsid w:val="001C58D6"/>
    <w:rsid w:val="001C59CF"/>
    <w:rsid w:val="001D325D"/>
    <w:rsid w:val="001D51A1"/>
    <w:rsid w:val="001D58C9"/>
    <w:rsid w:val="001D73ED"/>
    <w:rsid w:val="001F2E60"/>
    <w:rsid w:val="0020667F"/>
    <w:rsid w:val="0021385B"/>
    <w:rsid w:val="00213A9D"/>
    <w:rsid w:val="0021618D"/>
    <w:rsid w:val="00217A3E"/>
    <w:rsid w:val="0022735F"/>
    <w:rsid w:val="00236C1E"/>
    <w:rsid w:val="00236F73"/>
    <w:rsid w:val="00242E8C"/>
    <w:rsid w:val="00243625"/>
    <w:rsid w:val="00244D0E"/>
    <w:rsid w:val="00245E6E"/>
    <w:rsid w:val="0024670C"/>
    <w:rsid w:val="00262C75"/>
    <w:rsid w:val="00272444"/>
    <w:rsid w:val="00275404"/>
    <w:rsid w:val="002763EE"/>
    <w:rsid w:val="00277BC4"/>
    <w:rsid w:val="00290901"/>
    <w:rsid w:val="0029358E"/>
    <w:rsid w:val="00294D41"/>
    <w:rsid w:val="0029634B"/>
    <w:rsid w:val="002A14FA"/>
    <w:rsid w:val="002A5724"/>
    <w:rsid w:val="002A6D46"/>
    <w:rsid w:val="002B02A9"/>
    <w:rsid w:val="002B7DE9"/>
    <w:rsid w:val="002C14F7"/>
    <w:rsid w:val="002D580E"/>
    <w:rsid w:val="002D6132"/>
    <w:rsid w:val="002D7200"/>
    <w:rsid w:val="002D7E42"/>
    <w:rsid w:val="002E78C6"/>
    <w:rsid w:val="003008FF"/>
    <w:rsid w:val="00303E89"/>
    <w:rsid w:val="00305A38"/>
    <w:rsid w:val="0031062D"/>
    <w:rsid w:val="00312A7B"/>
    <w:rsid w:val="00315356"/>
    <w:rsid w:val="0032004C"/>
    <w:rsid w:val="00321333"/>
    <w:rsid w:val="00325E52"/>
    <w:rsid w:val="00330B29"/>
    <w:rsid w:val="00333603"/>
    <w:rsid w:val="00333A13"/>
    <w:rsid w:val="00342D1C"/>
    <w:rsid w:val="00345460"/>
    <w:rsid w:val="00345AD0"/>
    <w:rsid w:val="00346ED7"/>
    <w:rsid w:val="0035322D"/>
    <w:rsid w:val="00354C5B"/>
    <w:rsid w:val="00382737"/>
    <w:rsid w:val="00386D5F"/>
    <w:rsid w:val="0039277F"/>
    <w:rsid w:val="00396F94"/>
    <w:rsid w:val="003B407B"/>
    <w:rsid w:val="003B4B01"/>
    <w:rsid w:val="003B7717"/>
    <w:rsid w:val="003B799F"/>
    <w:rsid w:val="003B7E63"/>
    <w:rsid w:val="003C2AC7"/>
    <w:rsid w:val="003C596C"/>
    <w:rsid w:val="003C5AAC"/>
    <w:rsid w:val="003C70AE"/>
    <w:rsid w:val="003D0B6D"/>
    <w:rsid w:val="003D1CED"/>
    <w:rsid w:val="003F0FE6"/>
    <w:rsid w:val="004055EF"/>
    <w:rsid w:val="0041643B"/>
    <w:rsid w:val="004173E1"/>
    <w:rsid w:val="00423307"/>
    <w:rsid w:val="00425DA2"/>
    <w:rsid w:val="00430923"/>
    <w:rsid w:val="0043354E"/>
    <w:rsid w:val="00440607"/>
    <w:rsid w:val="00440646"/>
    <w:rsid w:val="004456C9"/>
    <w:rsid w:val="004529BA"/>
    <w:rsid w:val="00452FB7"/>
    <w:rsid w:val="00455104"/>
    <w:rsid w:val="00466BAC"/>
    <w:rsid w:val="00470296"/>
    <w:rsid w:val="00472E35"/>
    <w:rsid w:val="0047371B"/>
    <w:rsid w:val="00481D73"/>
    <w:rsid w:val="004A3F1A"/>
    <w:rsid w:val="004A45DA"/>
    <w:rsid w:val="004A7465"/>
    <w:rsid w:val="004B397F"/>
    <w:rsid w:val="004B3B5D"/>
    <w:rsid w:val="004B508A"/>
    <w:rsid w:val="004B51B7"/>
    <w:rsid w:val="004B7C68"/>
    <w:rsid w:val="004C091E"/>
    <w:rsid w:val="004C3E6C"/>
    <w:rsid w:val="004D0CA3"/>
    <w:rsid w:val="004E0737"/>
    <w:rsid w:val="004E1DB3"/>
    <w:rsid w:val="004E4A46"/>
    <w:rsid w:val="004E5003"/>
    <w:rsid w:val="004E7693"/>
    <w:rsid w:val="004F1B7D"/>
    <w:rsid w:val="004F439F"/>
    <w:rsid w:val="004F6681"/>
    <w:rsid w:val="004F73FD"/>
    <w:rsid w:val="00500F46"/>
    <w:rsid w:val="0050562F"/>
    <w:rsid w:val="00505696"/>
    <w:rsid w:val="005132AC"/>
    <w:rsid w:val="00521A19"/>
    <w:rsid w:val="00530170"/>
    <w:rsid w:val="00532DFD"/>
    <w:rsid w:val="005336AA"/>
    <w:rsid w:val="00542597"/>
    <w:rsid w:val="0054723E"/>
    <w:rsid w:val="00547EEE"/>
    <w:rsid w:val="00553874"/>
    <w:rsid w:val="0056024A"/>
    <w:rsid w:val="00560912"/>
    <w:rsid w:val="00566087"/>
    <w:rsid w:val="0057289A"/>
    <w:rsid w:val="00574A61"/>
    <w:rsid w:val="00577B91"/>
    <w:rsid w:val="00580425"/>
    <w:rsid w:val="00582709"/>
    <w:rsid w:val="00592691"/>
    <w:rsid w:val="005B5802"/>
    <w:rsid w:val="005B7AF4"/>
    <w:rsid w:val="005E060A"/>
    <w:rsid w:val="005E2CF3"/>
    <w:rsid w:val="005E34D0"/>
    <w:rsid w:val="005E7129"/>
    <w:rsid w:val="005E7D8A"/>
    <w:rsid w:val="005F0938"/>
    <w:rsid w:val="005F1B69"/>
    <w:rsid w:val="005F2223"/>
    <w:rsid w:val="005F6081"/>
    <w:rsid w:val="005F672C"/>
    <w:rsid w:val="00600E64"/>
    <w:rsid w:val="0060146A"/>
    <w:rsid w:val="00601D55"/>
    <w:rsid w:val="0060731B"/>
    <w:rsid w:val="00613B4A"/>
    <w:rsid w:val="006246FF"/>
    <w:rsid w:val="006263F1"/>
    <w:rsid w:val="00630261"/>
    <w:rsid w:val="006359FE"/>
    <w:rsid w:val="00636A12"/>
    <w:rsid w:val="006506B8"/>
    <w:rsid w:val="006534E3"/>
    <w:rsid w:val="00660112"/>
    <w:rsid w:val="00663BB7"/>
    <w:rsid w:val="006711BA"/>
    <w:rsid w:val="00672953"/>
    <w:rsid w:val="00675118"/>
    <w:rsid w:val="00682472"/>
    <w:rsid w:val="006825BE"/>
    <w:rsid w:val="00685CE1"/>
    <w:rsid w:val="00690006"/>
    <w:rsid w:val="0069485A"/>
    <w:rsid w:val="00695C73"/>
    <w:rsid w:val="00697862"/>
    <w:rsid w:val="006A108C"/>
    <w:rsid w:val="006A3D3E"/>
    <w:rsid w:val="006A5FDD"/>
    <w:rsid w:val="006B2F59"/>
    <w:rsid w:val="006B648E"/>
    <w:rsid w:val="006C13B5"/>
    <w:rsid w:val="006D3E4B"/>
    <w:rsid w:val="006D7797"/>
    <w:rsid w:val="006E2D90"/>
    <w:rsid w:val="006F3545"/>
    <w:rsid w:val="006F4362"/>
    <w:rsid w:val="006F7DCF"/>
    <w:rsid w:val="00705906"/>
    <w:rsid w:val="00706F92"/>
    <w:rsid w:val="007109A1"/>
    <w:rsid w:val="00710C4E"/>
    <w:rsid w:val="00711E09"/>
    <w:rsid w:val="0071444C"/>
    <w:rsid w:val="00716351"/>
    <w:rsid w:val="007227FC"/>
    <w:rsid w:val="00733D35"/>
    <w:rsid w:val="00740B00"/>
    <w:rsid w:val="007446BC"/>
    <w:rsid w:val="00746256"/>
    <w:rsid w:val="00746B55"/>
    <w:rsid w:val="00751755"/>
    <w:rsid w:val="00752FF4"/>
    <w:rsid w:val="0075488A"/>
    <w:rsid w:val="0075598F"/>
    <w:rsid w:val="00762FF9"/>
    <w:rsid w:val="00763549"/>
    <w:rsid w:val="00763649"/>
    <w:rsid w:val="007715FF"/>
    <w:rsid w:val="00773CD3"/>
    <w:rsid w:val="0077661B"/>
    <w:rsid w:val="00780A81"/>
    <w:rsid w:val="00781627"/>
    <w:rsid w:val="00782D32"/>
    <w:rsid w:val="00785686"/>
    <w:rsid w:val="00790828"/>
    <w:rsid w:val="00792895"/>
    <w:rsid w:val="00793A67"/>
    <w:rsid w:val="00795C6F"/>
    <w:rsid w:val="007960F0"/>
    <w:rsid w:val="007A0923"/>
    <w:rsid w:val="007A1162"/>
    <w:rsid w:val="007A46D0"/>
    <w:rsid w:val="007A539F"/>
    <w:rsid w:val="007A5B0C"/>
    <w:rsid w:val="007B494B"/>
    <w:rsid w:val="007B9D1B"/>
    <w:rsid w:val="007D786F"/>
    <w:rsid w:val="007D7FB5"/>
    <w:rsid w:val="007E5D08"/>
    <w:rsid w:val="007E716E"/>
    <w:rsid w:val="007F7A1A"/>
    <w:rsid w:val="00803ECA"/>
    <w:rsid w:val="00803FAF"/>
    <w:rsid w:val="008041E8"/>
    <w:rsid w:val="00804C1E"/>
    <w:rsid w:val="00807818"/>
    <w:rsid w:val="00810C4B"/>
    <w:rsid w:val="00817AC5"/>
    <w:rsid w:val="0082195C"/>
    <w:rsid w:val="0082235C"/>
    <w:rsid w:val="008348A3"/>
    <w:rsid w:val="00856FF5"/>
    <w:rsid w:val="00866398"/>
    <w:rsid w:val="00870CC4"/>
    <w:rsid w:val="008822E8"/>
    <w:rsid w:val="00882628"/>
    <w:rsid w:val="00883660"/>
    <w:rsid w:val="00893DD7"/>
    <w:rsid w:val="00894582"/>
    <w:rsid w:val="008A013B"/>
    <w:rsid w:val="008A505F"/>
    <w:rsid w:val="008B1819"/>
    <w:rsid w:val="008B20A7"/>
    <w:rsid w:val="008B43B9"/>
    <w:rsid w:val="008B48D4"/>
    <w:rsid w:val="008C0C0A"/>
    <w:rsid w:val="008C65E4"/>
    <w:rsid w:val="008D4321"/>
    <w:rsid w:val="008E0FDC"/>
    <w:rsid w:val="008E21DB"/>
    <w:rsid w:val="008E4920"/>
    <w:rsid w:val="008E50C6"/>
    <w:rsid w:val="008E5E2F"/>
    <w:rsid w:val="008E72F1"/>
    <w:rsid w:val="008F2276"/>
    <w:rsid w:val="008F491C"/>
    <w:rsid w:val="009024DD"/>
    <w:rsid w:val="009075F5"/>
    <w:rsid w:val="00907D36"/>
    <w:rsid w:val="009119A5"/>
    <w:rsid w:val="00911AE4"/>
    <w:rsid w:val="00914E23"/>
    <w:rsid w:val="009151C6"/>
    <w:rsid w:val="0092012D"/>
    <w:rsid w:val="0092047F"/>
    <w:rsid w:val="00921818"/>
    <w:rsid w:val="00923583"/>
    <w:rsid w:val="00927992"/>
    <w:rsid w:val="00941AAC"/>
    <w:rsid w:val="0094510F"/>
    <w:rsid w:val="009478B6"/>
    <w:rsid w:val="009503A0"/>
    <w:rsid w:val="009523BB"/>
    <w:rsid w:val="00954C53"/>
    <w:rsid w:val="0096739B"/>
    <w:rsid w:val="00970774"/>
    <w:rsid w:val="00972290"/>
    <w:rsid w:val="00973097"/>
    <w:rsid w:val="00980389"/>
    <w:rsid w:val="00991658"/>
    <w:rsid w:val="0099656F"/>
    <w:rsid w:val="009A16A5"/>
    <w:rsid w:val="009A286F"/>
    <w:rsid w:val="009A37D3"/>
    <w:rsid w:val="009A662C"/>
    <w:rsid w:val="009A7AEF"/>
    <w:rsid w:val="009B6490"/>
    <w:rsid w:val="009B7B46"/>
    <w:rsid w:val="009C1CE7"/>
    <w:rsid w:val="009C1D26"/>
    <w:rsid w:val="009C46CF"/>
    <w:rsid w:val="009C4876"/>
    <w:rsid w:val="009C5371"/>
    <w:rsid w:val="009D4421"/>
    <w:rsid w:val="009D7B23"/>
    <w:rsid w:val="009DF334"/>
    <w:rsid w:val="009E0211"/>
    <w:rsid w:val="009E0848"/>
    <w:rsid w:val="009E0BA0"/>
    <w:rsid w:val="009E4875"/>
    <w:rsid w:val="009F2583"/>
    <w:rsid w:val="009F4F7C"/>
    <w:rsid w:val="009F74D1"/>
    <w:rsid w:val="00A00FB6"/>
    <w:rsid w:val="00A0634B"/>
    <w:rsid w:val="00A1604C"/>
    <w:rsid w:val="00A203A0"/>
    <w:rsid w:val="00A2327C"/>
    <w:rsid w:val="00A23F10"/>
    <w:rsid w:val="00A23F64"/>
    <w:rsid w:val="00A261DE"/>
    <w:rsid w:val="00A30C81"/>
    <w:rsid w:val="00A32792"/>
    <w:rsid w:val="00A42385"/>
    <w:rsid w:val="00A47E01"/>
    <w:rsid w:val="00A57848"/>
    <w:rsid w:val="00A6504D"/>
    <w:rsid w:val="00A71299"/>
    <w:rsid w:val="00A808FA"/>
    <w:rsid w:val="00A85E12"/>
    <w:rsid w:val="00A9044E"/>
    <w:rsid w:val="00AA71AB"/>
    <w:rsid w:val="00AB4D93"/>
    <w:rsid w:val="00AB75C2"/>
    <w:rsid w:val="00AC3406"/>
    <w:rsid w:val="00AC3669"/>
    <w:rsid w:val="00AD1A21"/>
    <w:rsid w:val="00AD5B00"/>
    <w:rsid w:val="00AE2C9E"/>
    <w:rsid w:val="00AE6A63"/>
    <w:rsid w:val="00AF3562"/>
    <w:rsid w:val="00B00228"/>
    <w:rsid w:val="00B032C5"/>
    <w:rsid w:val="00B10A4D"/>
    <w:rsid w:val="00B115BA"/>
    <w:rsid w:val="00B24885"/>
    <w:rsid w:val="00B32C2D"/>
    <w:rsid w:val="00B32E98"/>
    <w:rsid w:val="00B366EF"/>
    <w:rsid w:val="00B500DB"/>
    <w:rsid w:val="00B51755"/>
    <w:rsid w:val="00B54E26"/>
    <w:rsid w:val="00B552B8"/>
    <w:rsid w:val="00B57173"/>
    <w:rsid w:val="00B57645"/>
    <w:rsid w:val="00B57711"/>
    <w:rsid w:val="00B63C99"/>
    <w:rsid w:val="00B6427F"/>
    <w:rsid w:val="00B65FE2"/>
    <w:rsid w:val="00B66E79"/>
    <w:rsid w:val="00B806FD"/>
    <w:rsid w:val="00B82040"/>
    <w:rsid w:val="00B830B8"/>
    <w:rsid w:val="00B9207D"/>
    <w:rsid w:val="00B92CA9"/>
    <w:rsid w:val="00B94DE2"/>
    <w:rsid w:val="00BA0956"/>
    <w:rsid w:val="00BA2386"/>
    <w:rsid w:val="00BA3B92"/>
    <w:rsid w:val="00BA5CDD"/>
    <w:rsid w:val="00BB0CD9"/>
    <w:rsid w:val="00BB59E1"/>
    <w:rsid w:val="00BB7314"/>
    <w:rsid w:val="00BB7594"/>
    <w:rsid w:val="00BC1120"/>
    <w:rsid w:val="00BC46B4"/>
    <w:rsid w:val="00BD1A70"/>
    <w:rsid w:val="00BE2C5C"/>
    <w:rsid w:val="00BF1D49"/>
    <w:rsid w:val="00BF2BF9"/>
    <w:rsid w:val="00BF31B0"/>
    <w:rsid w:val="00BF3E40"/>
    <w:rsid w:val="00BF5AE3"/>
    <w:rsid w:val="00C03CD6"/>
    <w:rsid w:val="00C040AA"/>
    <w:rsid w:val="00C1401E"/>
    <w:rsid w:val="00C162B9"/>
    <w:rsid w:val="00C174C7"/>
    <w:rsid w:val="00C2612E"/>
    <w:rsid w:val="00C27A30"/>
    <w:rsid w:val="00C30F75"/>
    <w:rsid w:val="00C33DFC"/>
    <w:rsid w:val="00C37625"/>
    <w:rsid w:val="00C37640"/>
    <w:rsid w:val="00C4422E"/>
    <w:rsid w:val="00C46382"/>
    <w:rsid w:val="00C503AC"/>
    <w:rsid w:val="00C60DA4"/>
    <w:rsid w:val="00C649C7"/>
    <w:rsid w:val="00C66453"/>
    <w:rsid w:val="00C728D6"/>
    <w:rsid w:val="00C76A32"/>
    <w:rsid w:val="00C77CC0"/>
    <w:rsid w:val="00C81960"/>
    <w:rsid w:val="00C87776"/>
    <w:rsid w:val="00C90B6C"/>
    <w:rsid w:val="00CA36F4"/>
    <w:rsid w:val="00CB04DB"/>
    <w:rsid w:val="00CB64C2"/>
    <w:rsid w:val="00CC2F7B"/>
    <w:rsid w:val="00CC5ECD"/>
    <w:rsid w:val="00CC766F"/>
    <w:rsid w:val="00CD5212"/>
    <w:rsid w:val="00CD6AE5"/>
    <w:rsid w:val="00CD6F49"/>
    <w:rsid w:val="00CE1EB5"/>
    <w:rsid w:val="00CE250A"/>
    <w:rsid w:val="00CE58B7"/>
    <w:rsid w:val="00CE76B8"/>
    <w:rsid w:val="00CF2C98"/>
    <w:rsid w:val="00CF2DEC"/>
    <w:rsid w:val="00CF3E67"/>
    <w:rsid w:val="00CF6B49"/>
    <w:rsid w:val="00D039F5"/>
    <w:rsid w:val="00D068CB"/>
    <w:rsid w:val="00D07D14"/>
    <w:rsid w:val="00D15D27"/>
    <w:rsid w:val="00D16F0C"/>
    <w:rsid w:val="00D210DE"/>
    <w:rsid w:val="00D27B53"/>
    <w:rsid w:val="00D30876"/>
    <w:rsid w:val="00D32971"/>
    <w:rsid w:val="00D3502D"/>
    <w:rsid w:val="00D37247"/>
    <w:rsid w:val="00D428ED"/>
    <w:rsid w:val="00D56192"/>
    <w:rsid w:val="00D62063"/>
    <w:rsid w:val="00D66D7A"/>
    <w:rsid w:val="00D70A0C"/>
    <w:rsid w:val="00D74F3C"/>
    <w:rsid w:val="00D81A9A"/>
    <w:rsid w:val="00D841C0"/>
    <w:rsid w:val="00D923DE"/>
    <w:rsid w:val="00D95262"/>
    <w:rsid w:val="00DA1FD0"/>
    <w:rsid w:val="00DA4730"/>
    <w:rsid w:val="00DA628B"/>
    <w:rsid w:val="00DA755A"/>
    <w:rsid w:val="00DB2B64"/>
    <w:rsid w:val="00DB3B13"/>
    <w:rsid w:val="00DB5E50"/>
    <w:rsid w:val="00DB7D13"/>
    <w:rsid w:val="00DC21BF"/>
    <w:rsid w:val="00DC36B7"/>
    <w:rsid w:val="00DC6584"/>
    <w:rsid w:val="00DD37EE"/>
    <w:rsid w:val="00DD4118"/>
    <w:rsid w:val="00DD43B1"/>
    <w:rsid w:val="00DD5B44"/>
    <w:rsid w:val="00DD66F2"/>
    <w:rsid w:val="00DD7F76"/>
    <w:rsid w:val="00DE5EBB"/>
    <w:rsid w:val="00DE6E21"/>
    <w:rsid w:val="00DF4895"/>
    <w:rsid w:val="00DF5249"/>
    <w:rsid w:val="00E0208E"/>
    <w:rsid w:val="00E04DD2"/>
    <w:rsid w:val="00E074CF"/>
    <w:rsid w:val="00E1314B"/>
    <w:rsid w:val="00E14EF1"/>
    <w:rsid w:val="00E14F9B"/>
    <w:rsid w:val="00E16906"/>
    <w:rsid w:val="00E16CCB"/>
    <w:rsid w:val="00E17A12"/>
    <w:rsid w:val="00E21BA8"/>
    <w:rsid w:val="00E21D98"/>
    <w:rsid w:val="00E2403F"/>
    <w:rsid w:val="00E25CAE"/>
    <w:rsid w:val="00E26E0B"/>
    <w:rsid w:val="00E45A9A"/>
    <w:rsid w:val="00E541F5"/>
    <w:rsid w:val="00E573FE"/>
    <w:rsid w:val="00E57EBE"/>
    <w:rsid w:val="00E6053D"/>
    <w:rsid w:val="00E663B9"/>
    <w:rsid w:val="00EB0E4C"/>
    <w:rsid w:val="00EB0E4E"/>
    <w:rsid w:val="00EB24C3"/>
    <w:rsid w:val="00EB4C3D"/>
    <w:rsid w:val="00EB72B9"/>
    <w:rsid w:val="00EB7E31"/>
    <w:rsid w:val="00EC0D2E"/>
    <w:rsid w:val="00EC1868"/>
    <w:rsid w:val="00EC3475"/>
    <w:rsid w:val="00EC704B"/>
    <w:rsid w:val="00EC7BA4"/>
    <w:rsid w:val="00ED427E"/>
    <w:rsid w:val="00EE0862"/>
    <w:rsid w:val="00F11AE0"/>
    <w:rsid w:val="00F130F3"/>
    <w:rsid w:val="00F14617"/>
    <w:rsid w:val="00F26508"/>
    <w:rsid w:val="00F27A9D"/>
    <w:rsid w:val="00F32264"/>
    <w:rsid w:val="00F33938"/>
    <w:rsid w:val="00F35D6F"/>
    <w:rsid w:val="00F3668A"/>
    <w:rsid w:val="00F423BF"/>
    <w:rsid w:val="00F42FAA"/>
    <w:rsid w:val="00F46630"/>
    <w:rsid w:val="00F606CC"/>
    <w:rsid w:val="00F649BF"/>
    <w:rsid w:val="00F65615"/>
    <w:rsid w:val="00F66880"/>
    <w:rsid w:val="00F760D1"/>
    <w:rsid w:val="00F766AC"/>
    <w:rsid w:val="00F76A1D"/>
    <w:rsid w:val="00F778F4"/>
    <w:rsid w:val="00F77E44"/>
    <w:rsid w:val="00F879DA"/>
    <w:rsid w:val="00F91EF9"/>
    <w:rsid w:val="00F9597C"/>
    <w:rsid w:val="00F969BA"/>
    <w:rsid w:val="00FA67AA"/>
    <w:rsid w:val="00FA6F91"/>
    <w:rsid w:val="00FB12A5"/>
    <w:rsid w:val="00FC43F9"/>
    <w:rsid w:val="00FD0D11"/>
    <w:rsid w:val="00FD2894"/>
    <w:rsid w:val="00FD4AD6"/>
    <w:rsid w:val="00FE222C"/>
    <w:rsid w:val="00FE373F"/>
    <w:rsid w:val="00FE4E5F"/>
    <w:rsid w:val="00FE5588"/>
    <w:rsid w:val="00FE6660"/>
    <w:rsid w:val="00FF1CE3"/>
    <w:rsid w:val="00FF337C"/>
    <w:rsid w:val="0160AF7A"/>
    <w:rsid w:val="01759978"/>
    <w:rsid w:val="01AA55AD"/>
    <w:rsid w:val="01AE2911"/>
    <w:rsid w:val="01F94BDF"/>
    <w:rsid w:val="01FD8E50"/>
    <w:rsid w:val="0204FFB4"/>
    <w:rsid w:val="022BA7A5"/>
    <w:rsid w:val="027769DC"/>
    <w:rsid w:val="0285E41A"/>
    <w:rsid w:val="028AE0B4"/>
    <w:rsid w:val="02F8627B"/>
    <w:rsid w:val="030A842C"/>
    <w:rsid w:val="03620F89"/>
    <w:rsid w:val="0397F987"/>
    <w:rsid w:val="03ACA0EC"/>
    <w:rsid w:val="040F45B4"/>
    <w:rsid w:val="04936F06"/>
    <w:rsid w:val="04C6D7FA"/>
    <w:rsid w:val="04D2F34A"/>
    <w:rsid w:val="05314E6B"/>
    <w:rsid w:val="05476699"/>
    <w:rsid w:val="057A08FD"/>
    <w:rsid w:val="059B851F"/>
    <w:rsid w:val="05E6F15B"/>
    <w:rsid w:val="05FA3F9E"/>
    <w:rsid w:val="060BD9AA"/>
    <w:rsid w:val="06185AD9"/>
    <w:rsid w:val="0661FE70"/>
    <w:rsid w:val="068EA668"/>
    <w:rsid w:val="069C2438"/>
    <w:rsid w:val="06CBE7EA"/>
    <w:rsid w:val="06CD221A"/>
    <w:rsid w:val="07040782"/>
    <w:rsid w:val="0745B987"/>
    <w:rsid w:val="07729419"/>
    <w:rsid w:val="07B4F579"/>
    <w:rsid w:val="07F1599E"/>
    <w:rsid w:val="07FD09C3"/>
    <w:rsid w:val="0814036D"/>
    <w:rsid w:val="08317BD2"/>
    <w:rsid w:val="08377F36"/>
    <w:rsid w:val="08888F7A"/>
    <w:rsid w:val="088A9AC1"/>
    <w:rsid w:val="0892EE8B"/>
    <w:rsid w:val="08A0EA92"/>
    <w:rsid w:val="08BC6650"/>
    <w:rsid w:val="08EA62EF"/>
    <w:rsid w:val="0908EA05"/>
    <w:rsid w:val="0976076B"/>
    <w:rsid w:val="0976790B"/>
    <w:rsid w:val="0979A583"/>
    <w:rsid w:val="0988C1DC"/>
    <w:rsid w:val="09AF9032"/>
    <w:rsid w:val="09C82D7E"/>
    <w:rsid w:val="09CD7E1A"/>
    <w:rsid w:val="09D94632"/>
    <w:rsid w:val="09FE4D39"/>
    <w:rsid w:val="0A008D08"/>
    <w:rsid w:val="0A1F02DD"/>
    <w:rsid w:val="0A597EB1"/>
    <w:rsid w:val="0A5AD3E0"/>
    <w:rsid w:val="0AA944DA"/>
    <w:rsid w:val="0AC69524"/>
    <w:rsid w:val="0AE967E3"/>
    <w:rsid w:val="0B3D7D0D"/>
    <w:rsid w:val="0B52EBDF"/>
    <w:rsid w:val="0B985BB9"/>
    <w:rsid w:val="0B9DAB3C"/>
    <w:rsid w:val="0B9E2BDE"/>
    <w:rsid w:val="0BC93F0D"/>
    <w:rsid w:val="0BF8AF35"/>
    <w:rsid w:val="0C2D91CA"/>
    <w:rsid w:val="0C505631"/>
    <w:rsid w:val="0C8DF038"/>
    <w:rsid w:val="0CD36C32"/>
    <w:rsid w:val="0CDCBA3A"/>
    <w:rsid w:val="0D54845C"/>
    <w:rsid w:val="0D7F00EC"/>
    <w:rsid w:val="0DDEE0E5"/>
    <w:rsid w:val="0E2F0CAD"/>
    <w:rsid w:val="0E46B8E3"/>
    <w:rsid w:val="0E78E192"/>
    <w:rsid w:val="0E810D31"/>
    <w:rsid w:val="0EB92AD8"/>
    <w:rsid w:val="0F123064"/>
    <w:rsid w:val="0F4DEB6B"/>
    <w:rsid w:val="0F726325"/>
    <w:rsid w:val="0F791FE2"/>
    <w:rsid w:val="0FD11BE2"/>
    <w:rsid w:val="103EB461"/>
    <w:rsid w:val="104461EA"/>
    <w:rsid w:val="10B2E801"/>
    <w:rsid w:val="10BB417C"/>
    <w:rsid w:val="10FA2CC3"/>
    <w:rsid w:val="113CB800"/>
    <w:rsid w:val="1143AE26"/>
    <w:rsid w:val="1165F2C2"/>
    <w:rsid w:val="117E4D64"/>
    <w:rsid w:val="11A33B9A"/>
    <w:rsid w:val="11CAF3BC"/>
    <w:rsid w:val="11F8BDE8"/>
    <w:rsid w:val="122CA074"/>
    <w:rsid w:val="122CFC45"/>
    <w:rsid w:val="124C2E10"/>
    <w:rsid w:val="126503E8"/>
    <w:rsid w:val="127EEB27"/>
    <w:rsid w:val="128C155B"/>
    <w:rsid w:val="128F4E4B"/>
    <w:rsid w:val="12ACA069"/>
    <w:rsid w:val="12BA78C4"/>
    <w:rsid w:val="12BFE133"/>
    <w:rsid w:val="12CC0722"/>
    <w:rsid w:val="12FB5D49"/>
    <w:rsid w:val="1321D168"/>
    <w:rsid w:val="139CC713"/>
    <w:rsid w:val="13AC37E9"/>
    <w:rsid w:val="13C2947A"/>
    <w:rsid w:val="13C819B9"/>
    <w:rsid w:val="13EB59E9"/>
    <w:rsid w:val="13F0FB26"/>
    <w:rsid w:val="13FF0844"/>
    <w:rsid w:val="1471D942"/>
    <w:rsid w:val="14747639"/>
    <w:rsid w:val="14A8193D"/>
    <w:rsid w:val="14D8B768"/>
    <w:rsid w:val="1508CD42"/>
    <w:rsid w:val="150A5BC5"/>
    <w:rsid w:val="152A37C9"/>
    <w:rsid w:val="15525C13"/>
    <w:rsid w:val="155DF76E"/>
    <w:rsid w:val="15964562"/>
    <w:rsid w:val="15A9EC27"/>
    <w:rsid w:val="15B62F69"/>
    <w:rsid w:val="15BC8CBF"/>
    <w:rsid w:val="15C153A4"/>
    <w:rsid w:val="15C4C6BA"/>
    <w:rsid w:val="163CA528"/>
    <w:rsid w:val="164C5868"/>
    <w:rsid w:val="1667909B"/>
    <w:rsid w:val="16C3ABE5"/>
    <w:rsid w:val="16D4E5DA"/>
    <w:rsid w:val="17208224"/>
    <w:rsid w:val="17308087"/>
    <w:rsid w:val="173F6159"/>
    <w:rsid w:val="17432C48"/>
    <w:rsid w:val="174F6AE6"/>
    <w:rsid w:val="17754D54"/>
    <w:rsid w:val="17D33A13"/>
    <w:rsid w:val="1806CADD"/>
    <w:rsid w:val="1811F358"/>
    <w:rsid w:val="1884FEA4"/>
    <w:rsid w:val="1899D633"/>
    <w:rsid w:val="18B31485"/>
    <w:rsid w:val="18F3390D"/>
    <w:rsid w:val="18F49064"/>
    <w:rsid w:val="19111EF6"/>
    <w:rsid w:val="195BD40B"/>
    <w:rsid w:val="19AFCBF3"/>
    <w:rsid w:val="1A3674B6"/>
    <w:rsid w:val="1A38B3B6"/>
    <w:rsid w:val="1A4C951D"/>
    <w:rsid w:val="1A51176F"/>
    <w:rsid w:val="1A5A68BF"/>
    <w:rsid w:val="1A886743"/>
    <w:rsid w:val="1AE5B90D"/>
    <w:rsid w:val="1AF55C10"/>
    <w:rsid w:val="1B174B86"/>
    <w:rsid w:val="1B424228"/>
    <w:rsid w:val="1B489C31"/>
    <w:rsid w:val="1B5907B9"/>
    <w:rsid w:val="1BA531AA"/>
    <w:rsid w:val="1BC1BE3A"/>
    <w:rsid w:val="1C3118D2"/>
    <w:rsid w:val="1C3F557A"/>
    <w:rsid w:val="1C45BE21"/>
    <w:rsid w:val="1C6A3974"/>
    <w:rsid w:val="1C763D29"/>
    <w:rsid w:val="1CFA1B54"/>
    <w:rsid w:val="1D0FB52A"/>
    <w:rsid w:val="1D314CF7"/>
    <w:rsid w:val="1D3D224B"/>
    <w:rsid w:val="1D5814EF"/>
    <w:rsid w:val="1D68BD27"/>
    <w:rsid w:val="1D9265E5"/>
    <w:rsid w:val="1DD08987"/>
    <w:rsid w:val="1E48E588"/>
    <w:rsid w:val="1E5A242B"/>
    <w:rsid w:val="1E6EB0F4"/>
    <w:rsid w:val="1F3DD852"/>
    <w:rsid w:val="1F730127"/>
    <w:rsid w:val="1FE2460A"/>
    <w:rsid w:val="1FF52D1E"/>
    <w:rsid w:val="2036A096"/>
    <w:rsid w:val="2067B553"/>
    <w:rsid w:val="206B7644"/>
    <w:rsid w:val="20972B4B"/>
    <w:rsid w:val="2164B551"/>
    <w:rsid w:val="21A08616"/>
    <w:rsid w:val="22299D4A"/>
    <w:rsid w:val="22BF70E8"/>
    <w:rsid w:val="22D0399F"/>
    <w:rsid w:val="22E00FB5"/>
    <w:rsid w:val="22EDF88C"/>
    <w:rsid w:val="231D4174"/>
    <w:rsid w:val="2347C11F"/>
    <w:rsid w:val="235664B2"/>
    <w:rsid w:val="235CD4CA"/>
    <w:rsid w:val="2394D51D"/>
    <w:rsid w:val="23B977FD"/>
    <w:rsid w:val="23F16FF5"/>
    <w:rsid w:val="23FB7D00"/>
    <w:rsid w:val="2442ED65"/>
    <w:rsid w:val="244ADB72"/>
    <w:rsid w:val="245F285C"/>
    <w:rsid w:val="248230EC"/>
    <w:rsid w:val="248CE076"/>
    <w:rsid w:val="249B79C2"/>
    <w:rsid w:val="24B7B8C8"/>
    <w:rsid w:val="24E7605E"/>
    <w:rsid w:val="252A99BF"/>
    <w:rsid w:val="257F0E2F"/>
    <w:rsid w:val="2595448E"/>
    <w:rsid w:val="25B899DE"/>
    <w:rsid w:val="2647FB74"/>
    <w:rsid w:val="269C55A7"/>
    <w:rsid w:val="26A058F4"/>
    <w:rsid w:val="26EC6AF4"/>
    <w:rsid w:val="2709D593"/>
    <w:rsid w:val="272061EB"/>
    <w:rsid w:val="280E66F0"/>
    <w:rsid w:val="2832A20F"/>
    <w:rsid w:val="28A23E5A"/>
    <w:rsid w:val="28BC869E"/>
    <w:rsid w:val="28CF9D0B"/>
    <w:rsid w:val="29010078"/>
    <w:rsid w:val="290467D9"/>
    <w:rsid w:val="293043F7"/>
    <w:rsid w:val="2990DD04"/>
    <w:rsid w:val="29BC6928"/>
    <w:rsid w:val="29C603F3"/>
    <w:rsid w:val="29E661C0"/>
    <w:rsid w:val="2A1080A1"/>
    <w:rsid w:val="2A381584"/>
    <w:rsid w:val="2A5D52E7"/>
    <w:rsid w:val="2A78073D"/>
    <w:rsid w:val="2AA6669F"/>
    <w:rsid w:val="2AB24B26"/>
    <w:rsid w:val="2AB40CEA"/>
    <w:rsid w:val="2ADFDE3D"/>
    <w:rsid w:val="2AF46714"/>
    <w:rsid w:val="2B03518C"/>
    <w:rsid w:val="2B25743D"/>
    <w:rsid w:val="2B53A473"/>
    <w:rsid w:val="2B6B35D2"/>
    <w:rsid w:val="2BBFCDF5"/>
    <w:rsid w:val="2C8AFB55"/>
    <w:rsid w:val="2D032B00"/>
    <w:rsid w:val="2D09DFAA"/>
    <w:rsid w:val="2D59005D"/>
    <w:rsid w:val="2D8FAA0F"/>
    <w:rsid w:val="2D8FE245"/>
    <w:rsid w:val="2DB38D45"/>
    <w:rsid w:val="2DC2A7E7"/>
    <w:rsid w:val="2DE23AFB"/>
    <w:rsid w:val="2DEE2357"/>
    <w:rsid w:val="2E34A125"/>
    <w:rsid w:val="2E6508C6"/>
    <w:rsid w:val="2EA5C7C0"/>
    <w:rsid w:val="2EBF89BC"/>
    <w:rsid w:val="2EC2B0CF"/>
    <w:rsid w:val="2EDA9E24"/>
    <w:rsid w:val="2EE73B30"/>
    <w:rsid w:val="2EE95244"/>
    <w:rsid w:val="2EEEF7BC"/>
    <w:rsid w:val="2EF65626"/>
    <w:rsid w:val="2F7644CD"/>
    <w:rsid w:val="2FB4A4E3"/>
    <w:rsid w:val="2FBD2658"/>
    <w:rsid w:val="302D3FD3"/>
    <w:rsid w:val="305A22FD"/>
    <w:rsid w:val="30651B5D"/>
    <w:rsid w:val="3077E0B2"/>
    <w:rsid w:val="309EB48C"/>
    <w:rsid w:val="30A9941F"/>
    <w:rsid w:val="30FD394B"/>
    <w:rsid w:val="3177EFF3"/>
    <w:rsid w:val="3185CB34"/>
    <w:rsid w:val="31BD38A7"/>
    <w:rsid w:val="31CBFEF1"/>
    <w:rsid w:val="32287BFD"/>
    <w:rsid w:val="3257A0AC"/>
    <w:rsid w:val="326DF69C"/>
    <w:rsid w:val="32A88731"/>
    <w:rsid w:val="32CFF3BB"/>
    <w:rsid w:val="32D284EA"/>
    <w:rsid w:val="32D95203"/>
    <w:rsid w:val="32DEC24D"/>
    <w:rsid w:val="32FF0E82"/>
    <w:rsid w:val="334E0369"/>
    <w:rsid w:val="33732AAC"/>
    <w:rsid w:val="3374B269"/>
    <w:rsid w:val="33A4C7B4"/>
    <w:rsid w:val="33C4A9B3"/>
    <w:rsid w:val="33F1421E"/>
    <w:rsid w:val="34032C54"/>
    <w:rsid w:val="34210496"/>
    <w:rsid w:val="342419C1"/>
    <w:rsid w:val="3454B167"/>
    <w:rsid w:val="345DCA4F"/>
    <w:rsid w:val="347BA227"/>
    <w:rsid w:val="347CD6B6"/>
    <w:rsid w:val="34848C3F"/>
    <w:rsid w:val="348FFCBC"/>
    <w:rsid w:val="349E09B3"/>
    <w:rsid w:val="34A57BDF"/>
    <w:rsid w:val="34C5D6AC"/>
    <w:rsid w:val="34E2F9B1"/>
    <w:rsid w:val="352C99F3"/>
    <w:rsid w:val="354EB9A7"/>
    <w:rsid w:val="355C37AD"/>
    <w:rsid w:val="357623F3"/>
    <w:rsid w:val="3595AD5F"/>
    <w:rsid w:val="35AF80C2"/>
    <w:rsid w:val="35B0A84A"/>
    <w:rsid w:val="35D54FB1"/>
    <w:rsid w:val="35F8C94F"/>
    <w:rsid w:val="36571761"/>
    <w:rsid w:val="3686526B"/>
    <w:rsid w:val="3730781C"/>
    <w:rsid w:val="374D35E1"/>
    <w:rsid w:val="3779B385"/>
    <w:rsid w:val="377AB99B"/>
    <w:rsid w:val="377E82EE"/>
    <w:rsid w:val="379022CA"/>
    <w:rsid w:val="37A1FE01"/>
    <w:rsid w:val="37EF5049"/>
    <w:rsid w:val="3806281F"/>
    <w:rsid w:val="3815732C"/>
    <w:rsid w:val="38182C4D"/>
    <w:rsid w:val="38251DFD"/>
    <w:rsid w:val="385EA822"/>
    <w:rsid w:val="38A84C25"/>
    <w:rsid w:val="38B09A15"/>
    <w:rsid w:val="38E59468"/>
    <w:rsid w:val="39C5AEF6"/>
    <w:rsid w:val="39F02E7F"/>
    <w:rsid w:val="3A2DBB97"/>
    <w:rsid w:val="3A510905"/>
    <w:rsid w:val="3A5882AF"/>
    <w:rsid w:val="3AD1E770"/>
    <w:rsid w:val="3AD4BC35"/>
    <w:rsid w:val="3B6A1321"/>
    <w:rsid w:val="3B75C170"/>
    <w:rsid w:val="3BD17A51"/>
    <w:rsid w:val="3CA03888"/>
    <w:rsid w:val="3CA5A8FF"/>
    <w:rsid w:val="3CC61D61"/>
    <w:rsid w:val="3CE13723"/>
    <w:rsid w:val="3D10E5E7"/>
    <w:rsid w:val="3D543CEE"/>
    <w:rsid w:val="3D7328A4"/>
    <w:rsid w:val="3DDAF801"/>
    <w:rsid w:val="3DEA2A3F"/>
    <w:rsid w:val="3E65C234"/>
    <w:rsid w:val="3EC453A6"/>
    <w:rsid w:val="3EF1742D"/>
    <w:rsid w:val="3F045AD7"/>
    <w:rsid w:val="3F1BD2FB"/>
    <w:rsid w:val="3F9F6E99"/>
    <w:rsid w:val="3FECE63D"/>
    <w:rsid w:val="4032667D"/>
    <w:rsid w:val="404045BB"/>
    <w:rsid w:val="40BFE587"/>
    <w:rsid w:val="40C7C124"/>
    <w:rsid w:val="40E77D49"/>
    <w:rsid w:val="417177DE"/>
    <w:rsid w:val="41883964"/>
    <w:rsid w:val="41CB90C4"/>
    <w:rsid w:val="41CC77F3"/>
    <w:rsid w:val="41ECBB2F"/>
    <w:rsid w:val="41F71F73"/>
    <w:rsid w:val="42030F82"/>
    <w:rsid w:val="4225818B"/>
    <w:rsid w:val="4272DF4C"/>
    <w:rsid w:val="4329E79F"/>
    <w:rsid w:val="4348CE31"/>
    <w:rsid w:val="44A70BBC"/>
    <w:rsid w:val="44E63150"/>
    <w:rsid w:val="44E6666E"/>
    <w:rsid w:val="44E9ADA1"/>
    <w:rsid w:val="44EAC4EC"/>
    <w:rsid w:val="44FC309F"/>
    <w:rsid w:val="45136156"/>
    <w:rsid w:val="45268189"/>
    <w:rsid w:val="4543CA94"/>
    <w:rsid w:val="455CBFFE"/>
    <w:rsid w:val="455F8327"/>
    <w:rsid w:val="458A3980"/>
    <w:rsid w:val="459614F9"/>
    <w:rsid w:val="45AE1EA6"/>
    <w:rsid w:val="45B30837"/>
    <w:rsid w:val="4630E2D8"/>
    <w:rsid w:val="46B203E6"/>
    <w:rsid w:val="474951A9"/>
    <w:rsid w:val="47538986"/>
    <w:rsid w:val="475FB2F8"/>
    <w:rsid w:val="478C03AA"/>
    <w:rsid w:val="4798198C"/>
    <w:rsid w:val="479D4034"/>
    <w:rsid w:val="47E97D70"/>
    <w:rsid w:val="480016E5"/>
    <w:rsid w:val="480D8496"/>
    <w:rsid w:val="489B6F46"/>
    <w:rsid w:val="490FC96A"/>
    <w:rsid w:val="497A71C3"/>
    <w:rsid w:val="49D916EB"/>
    <w:rsid w:val="4A13237B"/>
    <w:rsid w:val="4A3090CA"/>
    <w:rsid w:val="4A796BBF"/>
    <w:rsid w:val="4ACCD66C"/>
    <w:rsid w:val="4AE27221"/>
    <w:rsid w:val="4AE56BB0"/>
    <w:rsid w:val="4AFEBB7B"/>
    <w:rsid w:val="4B3DB34D"/>
    <w:rsid w:val="4B424C54"/>
    <w:rsid w:val="4B42CB18"/>
    <w:rsid w:val="4B9F373C"/>
    <w:rsid w:val="4BAA270E"/>
    <w:rsid w:val="4BC1B847"/>
    <w:rsid w:val="4BD6CF63"/>
    <w:rsid w:val="4BEFA4E7"/>
    <w:rsid w:val="4C910DC8"/>
    <w:rsid w:val="4C9FE35A"/>
    <w:rsid w:val="4CE4657D"/>
    <w:rsid w:val="4D4BFBFF"/>
    <w:rsid w:val="4DD63DCF"/>
    <w:rsid w:val="4DDDBA87"/>
    <w:rsid w:val="4DF31B48"/>
    <w:rsid w:val="4DF4F364"/>
    <w:rsid w:val="4E070E5C"/>
    <w:rsid w:val="4E55694E"/>
    <w:rsid w:val="4E722590"/>
    <w:rsid w:val="4E7D1604"/>
    <w:rsid w:val="4EB05392"/>
    <w:rsid w:val="4EC08294"/>
    <w:rsid w:val="4EE0AC13"/>
    <w:rsid w:val="4F43344F"/>
    <w:rsid w:val="4F8212B0"/>
    <w:rsid w:val="4F82B756"/>
    <w:rsid w:val="4FD8B9CC"/>
    <w:rsid w:val="4FF73C90"/>
    <w:rsid w:val="5010B405"/>
    <w:rsid w:val="505E3C34"/>
    <w:rsid w:val="50643A18"/>
    <w:rsid w:val="50CC3844"/>
    <w:rsid w:val="510AF6D2"/>
    <w:rsid w:val="51CA6BC3"/>
    <w:rsid w:val="51E5C370"/>
    <w:rsid w:val="51E6BF63"/>
    <w:rsid w:val="5202A4A0"/>
    <w:rsid w:val="520E4F5D"/>
    <w:rsid w:val="523E6D87"/>
    <w:rsid w:val="527A806A"/>
    <w:rsid w:val="52BA3A2E"/>
    <w:rsid w:val="531D78BF"/>
    <w:rsid w:val="53266B42"/>
    <w:rsid w:val="537790A1"/>
    <w:rsid w:val="537D597E"/>
    <w:rsid w:val="53BD8BB3"/>
    <w:rsid w:val="54106C24"/>
    <w:rsid w:val="54224522"/>
    <w:rsid w:val="545C92F5"/>
    <w:rsid w:val="5501F1AC"/>
    <w:rsid w:val="553F8BAD"/>
    <w:rsid w:val="55448922"/>
    <w:rsid w:val="5550068A"/>
    <w:rsid w:val="555A6F19"/>
    <w:rsid w:val="55812057"/>
    <w:rsid w:val="559C5F1B"/>
    <w:rsid w:val="55BB7BC7"/>
    <w:rsid w:val="55D21324"/>
    <w:rsid w:val="565A78E0"/>
    <w:rsid w:val="565DE496"/>
    <w:rsid w:val="569B4A95"/>
    <w:rsid w:val="569FFF1D"/>
    <w:rsid w:val="56A3E7DC"/>
    <w:rsid w:val="56EB8784"/>
    <w:rsid w:val="56EFE247"/>
    <w:rsid w:val="5752095D"/>
    <w:rsid w:val="57526AA5"/>
    <w:rsid w:val="578722CF"/>
    <w:rsid w:val="57C80020"/>
    <w:rsid w:val="57D19F6A"/>
    <w:rsid w:val="57E8A7A6"/>
    <w:rsid w:val="582FCE65"/>
    <w:rsid w:val="584709DE"/>
    <w:rsid w:val="5859A943"/>
    <w:rsid w:val="5873A76C"/>
    <w:rsid w:val="588B9090"/>
    <w:rsid w:val="58DFFEB9"/>
    <w:rsid w:val="595ABFD4"/>
    <w:rsid w:val="59A1D52F"/>
    <w:rsid w:val="59B17142"/>
    <w:rsid w:val="59B876EF"/>
    <w:rsid w:val="59B89BCE"/>
    <w:rsid w:val="59EDA5FD"/>
    <w:rsid w:val="5A1F07D6"/>
    <w:rsid w:val="5A4BBA47"/>
    <w:rsid w:val="5A56133F"/>
    <w:rsid w:val="5AB8FEE6"/>
    <w:rsid w:val="5ABBFF8A"/>
    <w:rsid w:val="5AD01062"/>
    <w:rsid w:val="5AD8BE20"/>
    <w:rsid w:val="5BAED550"/>
    <w:rsid w:val="5BD91F8B"/>
    <w:rsid w:val="5C242A12"/>
    <w:rsid w:val="5C6D5614"/>
    <w:rsid w:val="5C80D0B1"/>
    <w:rsid w:val="5CBFAF6A"/>
    <w:rsid w:val="5CE08990"/>
    <w:rsid w:val="5CE66923"/>
    <w:rsid w:val="5CF74415"/>
    <w:rsid w:val="5D06F4E2"/>
    <w:rsid w:val="5D08F932"/>
    <w:rsid w:val="5D27D561"/>
    <w:rsid w:val="5D4BA4E5"/>
    <w:rsid w:val="5D58E601"/>
    <w:rsid w:val="5D6ECEF7"/>
    <w:rsid w:val="5D8DF980"/>
    <w:rsid w:val="5D936209"/>
    <w:rsid w:val="5DCBAA9C"/>
    <w:rsid w:val="5DEFAC15"/>
    <w:rsid w:val="5DFDB4F0"/>
    <w:rsid w:val="5E675F27"/>
    <w:rsid w:val="5EA4FBDB"/>
    <w:rsid w:val="5EC5467D"/>
    <w:rsid w:val="5ECE709A"/>
    <w:rsid w:val="5EE793DF"/>
    <w:rsid w:val="5F0B61C5"/>
    <w:rsid w:val="5F3A7F03"/>
    <w:rsid w:val="5F664AA3"/>
    <w:rsid w:val="600FF779"/>
    <w:rsid w:val="604A9FBD"/>
    <w:rsid w:val="606C27B9"/>
    <w:rsid w:val="609C0F74"/>
    <w:rsid w:val="60BD9BDF"/>
    <w:rsid w:val="610C4892"/>
    <w:rsid w:val="610C8047"/>
    <w:rsid w:val="6136AEEC"/>
    <w:rsid w:val="614EEE62"/>
    <w:rsid w:val="61A58185"/>
    <w:rsid w:val="61A74B7B"/>
    <w:rsid w:val="61D8DD47"/>
    <w:rsid w:val="61E4503C"/>
    <w:rsid w:val="61F9CB1F"/>
    <w:rsid w:val="62000644"/>
    <w:rsid w:val="621D7101"/>
    <w:rsid w:val="62334F71"/>
    <w:rsid w:val="62473965"/>
    <w:rsid w:val="62844D26"/>
    <w:rsid w:val="62A0425E"/>
    <w:rsid w:val="62D88E4C"/>
    <w:rsid w:val="62DCF7C9"/>
    <w:rsid w:val="62F23CDC"/>
    <w:rsid w:val="6304F663"/>
    <w:rsid w:val="6357766B"/>
    <w:rsid w:val="636550D4"/>
    <w:rsid w:val="639BBE13"/>
    <w:rsid w:val="63C078DB"/>
    <w:rsid w:val="63D7FE86"/>
    <w:rsid w:val="63DC4C68"/>
    <w:rsid w:val="63E7BFA2"/>
    <w:rsid w:val="64642FF8"/>
    <w:rsid w:val="6483EBEA"/>
    <w:rsid w:val="649FF963"/>
    <w:rsid w:val="64C5E334"/>
    <w:rsid w:val="64EDC1BF"/>
    <w:rsid w:val="651D5955"/>
    <w:rsid w:val="653B2795"/>
    <w:rsid w:val="6584FFC3"/>
    <w:rsid w:val="658CC961"/>
    <w:rsid w:val="65955D14"/>
    <w:rsid w:val="65A1CEDD"/>
    <w:rsid w:val="65A2A78B"/>
    <w:rsid w:val="65D01567"/>
    <w:rsid w:val="6604A8B2"/>
    <w:rsid w:val="66251CAA"/>
    <w:rsid w:val="6671982B"/>
    <w:rsid w:val="66947275"/>
    <w:rsid w:val="66B2958D"/>
    <w:rsid w:val="66B37E3C"/>
    <w:rsid w:val="66C4CDCD"/>
    <w:rsid w:val="66FA275A"/>
    <w:rsid w:val="676C2A0A"/>
    <w:rsid w:val="679CBD41"/>
    <w:rsid w:val="67C252CC"/>
    <w:rsid w:val="67D25091"/>
    <w:rsid w:val="6826849F"/>
    <w:rsid w:val="6855E480"/>
    <w:rsid w:val="68648723"/>
    <w:rsid w:val="6869F267"/>
    <w:rsid w:val="68A00F73"/>
    <w:rsid w:val="68AB474F"/>
    <w:rsid w:val="68B54485"/>
    <w:rsid w:val="68BD8FAF"/>
    <w:rsid w:val="68E0E3B6"/>
    <w:rsid w:val="6913440F"/>
    <w:rsid w:val="696CA710"/>
    <w:rsid w:val="6971C55E"/>
    <w:rsid w:val="698532CE"/>
    <w:rsid w:val="69C594AA"/>
    <w:rsid w:val="69D98363"/>
    <w:rsid w:val="6A411333"/>
    <w:rsid w:val="6A4C8DFE"/>
    <w:rsid w:val="6A5EA389"/>
    <w:rsid w:val="6AD99C8F"/>
    <w:rsid w:val="6B13AE8B"/>
    <w:rsid w:val="6B4D21F0"/>
    <w:rsid w:val="6B6718C3"/>
    <w:rsid w:val="6B906B95"/>
    <w:rsid w:val="6B9ECF4B"/>
    <w:rsid w:val="6BACD0C5"/>
    <w:rsid w:val="6BB0F26D"/>
    <w:rsid w:val="6BB4C332"/>
    <w:rsid w:val="6BCEB632"/>
    <w:rsid w:val="6C1440C6"/>
    <w:rsid w:val="6C28DF90"/>
    <w:rsid w:val="6C38640A"/>
    <w:rsid w:val="6C59A7CB"/>
    <w:rsid w:val="6C636FFD"/>
    <w:rsid w:val="6C9D085E"/>
    <w:rsid w:val="6CA5A9DE"/>
    <w:rsid w:val="6CCE3AAD"/>
    <w:rsid w:val="6CD17444"/>
    <w:rsid w:val="6CDB0774"/>
    <w:rsid w:val="6D52CA9C"/>
    <w:rsid w:val="6D6733A9"/>
    <w:rsid w:val="6D7EAE9D"/>
    <w:rsid w:val="6D9E9717"/>
    <w:rsid w:val="6DB45231"/>
    <w:rsid w:val="6DC2B6C8"/>
    <w:rsid w:val="6E2019DC"/>
    <w:rsid w:val="6E47AE8E"/>
    <w:rsid w:val="6E51A5EA"/>
    <w:rsid w:val="6E52BFA0"/>
    <w:rsid w:val="6E6AEAC1"/>
    <w:rsid w:val="6E7D5185"/>
    <w:rsid w:val="6E9040B3"/>
    <w:rsid w:val="6ED45972"/>
    <w:rsid w:val="6EE999A7"/>
    <w:rsid w:val="6F24D589"/>
    <w:rsid w:val="6F33A728"/>
    <w:rsid w:val="6F8C48A1"/>
    <w:rsid w:val="6F94DF2D"/>
    <w:rsid w:val="6F963145"/>
    <w:rsid w:val="7007C4E8"/>
    <w:rsid w:val="700D5C3E"/>
    <w:rsid w:val="7018DEA8"/>
    <w:rsid w:val="7049312C"/>
    <w:rsid w:val="70B3F234"/>
    <w:rsid w:val="70CF7E65"/>
    <w:rsid w:val="70DBCBAC"/>
    <w:rsid w:val="70E33482"/>
    <w:rsid w:val="70E3C037"/>
    <w:rsid w:val="713DE2EF"/>
    <w:rsid w:val="71430F1B"/>
    <w:rsid w:val="7154DAE1"/>
    <w:rsid w:val="719CF642"/>
    <w:rsid w:val="71A670ED"/>
    <w:rsid w:val="720F1E73"/>
    <w:rsid w:val="721697D4"/>
    <w:rsid w:val="723364FB"/>
    <w:rsid w:val="72402267"/>
    <w:rsid w:val="724F9772"/>
    <w:rsid w:val="72A0FEDC"/>
    <w:rsid w:val="72C3B456"/>
    <w:rsid w:val="72E54538"/>
    <w:rsid w:val="734A2F5A"/>
    <w:rsid w:val="73522D13"/>
    <w:rsid w:val="7362571B"/>
    <w:rsid w:val="73DAF416"/>
    <w:rsid w:val="740FDB3B"/>
    <w:rsid w:val="743CB8BC"/>
    <w:rsid w:val="747FFEE4"/>
    <w:rsid w:val="7490CE55"/>
    <w:rsid w:val="7494BFE8"/>
    <w:rsid w:val="74AEE252"/>
    <w:rsid w:val="74C13F59"/>
    <w:rsid w:val="74C7FB85"/>
    <w:rsid w:val="7502382C"/>
    <w:rsid w:val="75399DC4"/>
    <w:rsid w:val="756E5B4C"/>
    <w:rsid w:val="756EC6F8"/>
    <w:rsid w:val="758EE9CB"/>
    <w:rsid w:val="759FF52D"/>
    <w:rsid w:val="75C28480"/>
    <w:rsid w:val="75CB3191"/>
    <w:rsid w:val="75E51FAD"/>
    <w:rsid w:val="75F2E851"/>
    <w:rsid w:val="75F848D1"/>
    <w:rsid w:val="760835B5"/>
    <w:rsid w:val="763F1CBE"/>
    <w:rsid w:val="764958F1"/>
    <w:rsid w:val="76AC2354"/>
    <w:rsid w:val="76C8F6F7"/>
    <w:rsid w:val="76DC05FE"/>
    <w:rsid w:val="76F06CF4"/>
    <w:rsid w:val="76FDD464"/>
    <w:rsid w:val="7712E2BF"/>
    <w:rsid w:val="77204CEA"/>
    <w:rsid w:val="775DD970"/>
    <w:rsid w:val="778B3F88"/>
    <w:rsid w:val="779793AC"/>
    <w:rsid w:val="77B55DC2"/>
    <w:rsid w:val="77C96450"/>
    <w:rsid w:val="77CAE409"/>
    <w:rsid w:val="77D6FE53"/>
    <w:rsid w:val="77EBF8A7"/>
    <w:rsid w:val="785047D4"/>
    <w:rsid w:val="787FABA7"/>
    <w:rsid w:val="78AECF97"/>
    <w:rsid w:val="78F92D29"/>
    <w:rsid w:val="794A81EB"/>
    <w:rsid w:val="795A6B97"/>
    <w:rsid w:val="7996002B"/>
    <w:rsid w:val="79995335"/>
    <w:rsid w:val="799D5D1A"/>
    <w:rsid w:val="79F233D0"/>
    <w:rsid w:val="79F71F20"/>
    <w:rsid w:val="7A25B20D"/>
    <w:rsid w:val="7A81CB34"/>
    <w:rsid w:val="7AA1931E"/>
    <w:rsid w:val="7B0E445A"/>
    <w:rsid w:val="7B653949"/>
    <w:rsid w:val="7B6BC6C7"/>
    <w:rsid w:val="7B8626FE"/>
    <w:rsid w:val="7B8BE39F"/>
    <w:rsid w:val="7B9AB963"/>
    <w:rsid w:val="7CE10DB8"/>
    <w:rsid w:val="7CE34743"/>
    <w:rsid w:val="7D0299E8"/>
    <w:rsid w:val="7D081576"/>
    <w:rsid w:val="7D33552E"/>
    <w:rsid w:val="7D577414"/>
    <w:rsid w:val="7DABF2A6"/>
    <w:rsid w:val="7DB6D957"/>
    <w:rsid w:val="7DD1CE08"/>
    <w:rsid w:val="7DD526EF"/>
    <w:rsid w:val="7DE70B05"/>
    <w:rsid w:val="7DEDB5CC"/>
    <w:rsid w:val="7E45DC1B"/>
    <w:rsid w:val="7E82688F"/>
    <w:rsid w:val="7E9291DC"/>
    <w:rsid w:val="7EAD0404"/>
    <w:rsid w:val="7EB408E8"/>
    <w:rsid w:val="7ED02A52"/>
    <w:rsid w:val="7EF9895C"/>
    <w:rsid w:val="7F7F064F"/>
    <w:rsid w:val="7FC318D0"/>
    <w:rsid w:val="7FDF7603"/>
    <w:rsid w:val="7FECA4B6"/>
    <w:rsid w:val="7FF42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918FB"/>
  <w15:docId w15:val="{98D2ED10-9AE2-4B10-8C62-EED1D823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261"/>
    <w:pPr>
      <w:spacing w:line="360" w:lineRule="auto"/>
      <w:jc w:val="both"/>
    </w:pPr>
    <w:rPr>
      <w:rFonts w:ascii="Arial" w:hAnsi="Arial"/>
    </w:rPr>
  </w:style>
  <w:style w:type="paragraph" w:styleId="Heading1">
    <w:name w:val="heading 1"/>
    <w:basedOn w:val="Normal"/>
    <w:next w:val="Normal"/>
    <w:link w:val="Heading1Char"/>
    <w:uiPriority w:val="9"/>
    <w:qFormat/>
    <w:rsid w:val="00DD7F76"/>
    <w:pPr>
      <w:spacing w:before="600" w:after="0"/>
      <w:ind w:firstLine="0"/>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181394"/>
    <w:pPr>
      <w:spacing w:before="320" w:after="0"/>
      <w:ind w:firstLine="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8E50C6"/>
    <w:pPr>
      <w:spacing w:before="320" w:after="0"/>
      <w:ind w:firstLine="0"/>
      <w:outlineLvl w:val="2"/>
    </w:pPr>
    <w:rPr>
      <w:rFonts w:eastAsiaTheme="majorEastAsia" w:cstheme="majorBidi"/>
      <w:b/>
      <w:bCs/>
      <w:i/>
      <w:iCs/>
      <w:sz w:val="26"/>
      <w:szCs w:val="26"/>
    </w:rPr>
  </w:style>
  <w:style w:type="paragraph" w:styleId="Heading4">
    <w:name w:val="heading 4"/>
    <w:basedOn w:val="Normal"/>
    <w:next w:val="Normal"/>
    <w:link w:val="Heading4Char"/>
    <w:uiPriority w:val="9"/>
    <w:unhideWhenUsed/>
    <w:qFormat/>
    <w:rsid w:val="00423307"/>
    <w:pPr>
      <w:spacing w:before="280" w:after="0"/>
      <w:ind w:firstLine="0"/>
      <w:outlineLvl w:val="3"/>
    </w:pPr>
    <w:rPr>
      <w:rFonts w:eastAsiaTheme="majorEastAsia" w:cstheme="majorBidi"/>
      <w:b/>
      <w:bCs/>
      <w:i/>
      <w:iCs/>
      <w:sz w:val="24"/>
      <w:szCs w:val="24"/>
    </w:rPr>
  </w:style>
  <w:style w:type="paragraph" w:styleId="Heading5">
    <w:name w:val="heading 5"/>
    <w:basedOn w:val="Normal"/>
    <w:next w:val="Normal"/>
    <w:link w:val="Heading5Char"/>
    <w:uiPriority w:val="9"/>
    <w:unhideWhenUsed/>
    <w:qFormat/>
    <w:rsid w:val="00AD5B00"/>
    <w:pPr>
      <w:spacing w:before="280" w:after="0"/>
      <w:ind w:firstLine="0"/>
      <w:outlineLvl w:val="4"/>
    </w:pPr>
    <w:rPr>
      <w:rFonts w:eastAsiaTheme="majorEastAsia" w:cstheme="majorBidi"/>
      <w:b/>
      <w:bCs/>
      <w:i/>
      <w:iCs/>
    </w:rPr>
  </w:style>
  <w:style w:type="paragraph" w:styleId="Heading6">
    <w:name w:val="heading 6"/>
    <w:basedOn w:val="Normal"/>
    <w:next w:val="Normal"/>
    <w:link w:val="Heading6Char"/>
    <w:uiPriority w:val="9"/>
    <w:semiHidden/>
    <w:unhideWhenUsed/>
    <w:qFormat/>
    <w:rsid w:val="00A0634B"/>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0634B"/>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A0634B"/>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A0634B"/>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F76"/>
    <w:rPr>
      <w:rFonts w:ascii="Arial" w:eastAsiaTheme="majorEastAsia" w:hAnsi="Arial" w:cstheme="majorBidi"/>
      <w:b/>
      <w:bCs/>
      <w:iCs/>
      <w:sz w:val="32"/>
      <w:szCs w:val="32"/>
    </w:rPr>
  </w:style>
  <w:style w:type="character" w:customStyle="1" w:styleId="Heading2Char">
    <w:name w:val="Heading 2 Char"/>
    <w:basedOn w:val="DefaultParagraphFont"/>
    <w:link w:val="Heading2"/>
    <w:uiPriority w:val="9"/>
    <w:rsid w:val="00181394"/>
    <w:rPr>
      <w:rFonts w:ascii="Arial" w:eastAsiaTheme="majorEastAsia" w:hAnsi="Arial" w:cstheme="majorBidi"/>
      <w:b/>
      <w:bCs/>
      <w:i/>
      <w:iCs/>
      <w:sz w:val="28"/>
      <w:szCs w:val="28"/>
    </w:rPr>
  </w:style>
  <w:style w:type="character" w:customStyle="1" w:styleId="Heading3Char">
    <w:name w:val="Heading 3 Char"/>
    <w:basedOn w:val="DefaultParagraphFont"/>
    <w:link w:val="Heading3"/>
    <w:uiPriority w:val="9"/>
    <w:rsid w:val="008E50C6"/>
    <w:rPr>
      <w:rFonts w:ascii="Arial" w:eastAsiaTheme="majorEastAsia" w:hAnsi="Arial" w:cstheme="majorBidi"/>
      <w:b/>
      <w:bCs/>
      <w:i/>
      <w:iCs/>
      <w:sz w:val="26"/>
      <w:szCs w:val="26"/>
    </w:rPr>
  </w:style>
  <w:style w:type="character" w:customStyle="1" w:styleId="Heading4Char">
    <w:name w:val="Heading 4 Char"/>
    <w:basedOn w:val="DefaultParagraphFont"/>
    <w:link w:val="Heading4"/>
    <w:uiPriority w:val="9"/>
    <w:rsid w:val="00423307"/>
    <w:rPr>
      <w:rFonts w:ascii="Arial" w:eastAsiaTheme="majorEastAsia" w:hAnsi="Arial" w:cstheme="majorBidi"/>
      <w:b/>
      <w:bCs/>
      <w:i/>
      <w:iCs/>
      <w:sz w:val="24"/>
      <w:szCs w:val="24"/>
    </w:rPr>
  </w:style>
  <w:style w:type="character" w:customStyle="1" w:styleId="Heading5Char">
    <w:name w:val="Heading 5 Char"/>
    <w:basedOn w:val="DefaultParagraphFont"/>
    <w:link w:val="Heading5"/>
    <w:uiPriority w:val="9"/>
    <w:rsid w:val="00AD5B00"/>
    <w:rPr>
      <w:rFonts w:ascii="Arial" w:eastAsiaTheme="majorEastAsia" w:hAnsi="Arial" w:cstheme="majorBidi"/>
      <w:b/>
      <w:bCs/>
      <w:i/>
      <w:iCs/>
    </w:rPr>
  </w:style>
  <w:style w:type="character" w:customStyle="1" w:styleId="Heading6Char">
    <w:name w:val="Heading 6 Char"/>
    <w:basedOn w:val="DefaultParagraphFont"/>
    <w:link w:val="Heading6"/>
    <w:uiPriority w:val="9"/>
    <w:semiHidden/>
    <w:rsid w:val="00A0634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0634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A0634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A0634B"/>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A0634B"/>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A0634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A0634B"/>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A0634B"/>
    <w:rPr>
      <w:i/>
      <w:iCs/>
      <w:color w:val="808080" w:themeColor="text1" w:themeTint="7F"/>
      <w:spacing w:val="10"/>
      <w:sz w:val="24"/>
      <w:szCs w:val="24"/>
    </w:rPr>
  </w:style>
  <w:style w:type="character" w:styleId="Strong">
    <w:name w:val="Strong"/>
    <w:basedOn w:val="DefaultParagraphFont"/>
    <w:uiPriority w:val="22"/>
    <w:qFormat/>
    <w:rsid w:val="00A0634B"/>
    <w:rPr>
      <w:b/>
      <w:bCs/>
      <w:spacing w:val="0"/>
    </w:rPr>
  </w:style>
  <w:style w:type="character" w:styleId="Emphasis">
    <w:name w:val="Emphasis"/>
    <w:uiPriority w:val="20"/>
    <w:qFormat/>
    <w:rsid w:val="00A0634B"/>
    <w:rPr>
      <w:b/>
      <w:bCs/>
      <w:i/>
      <w:iCs/>
      <w:color w:val="auto"/>
    </w:rPr>
  </w:style>
  <w:style w:type="paragraph" w:styleId="NoSpacing">
    <w:name w:val="No Spacing"/>
    <w:basedOn w:val="Normal"/>
    <w:uiPriority w:val="1"/>
    <w:qFormat/>
    <w:rsid w:val="00A0634B"/>
    <w:pPr>
      <w:spacing w:after="0" w:line="240" w:lineRule="auto"/>
      <w:ind w:firstLine="0"/>
    </w:pPr>
  </w:style>
  <w:style w:type="paragraph" w:styleId="ListParagraph">
    <w:name w:val="List Paragraph"/>
    <w:basedOn w:val="Normal"/>
    <w:uiPriority w:val="34"/>
    <w:qFormat/>
    <w:rsid w:val="00A0634B"/>
    <w:pPr>
      <w:ind w:left="720"/>
      <w:contextualSpacing/>
    </w:pPr>
  </w:style>
  <w:style w:type="paragraph" w:styleId="Quote">
    <w:name w:val="Quote"/>
    <w:basedOn w:val="Normal"/>
    <w:next w:val="Normal"/>
    <w:link w:val="QuoteChar"/>
    <w:uiPriority w:val="29"/>
    <w:qFormat/>
    <w:rsid w:val="00A0634B"/>
    <w:rPr>
      <w:color w:val="5A5A5A" w:themeColor="text1" w:themeTint="A5"/>
    </w:rPr>
  </w:style>
  <w:style w:type="character" w:customStyle="1" w:styleId="QuoteChar">
    <w:name w:val="Quote Char"/>
    <w:basedOn w:val="DefaultParagraphFont"/>
    <w:link w:val="Quote"/>
    <w:uiPriority w:val="29"/>
    <w:rsid w:val="00A0634B"/>
    <w:rPr>
      <w:color w:val="5A5A5A" w:themeColor="text1" w:themeTint="A5"/>
    </w:rPr>
  </w:style>
  <w:style w:type="paragraph" w:styleId="IntenseQuote">
    <w:name w:val="Intense Quote"/>
    <w:basedOn w:val="Normal"/>
    <w:next w:val="Normal"/>
    <w:link w:val="IntenseQuoteChar"/>
    <w:uiPriority w:val="30"/>
    <w:qFormat/>
    <w:rsid w:val="00A0634B"/>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A0634B"/>
    <w:rPr>
      <w:rFonts w:asciiTheme="majorHAnsi" w:eastAsiaTheme="majorEastAsia" w:hAnsiTheme="majorHAnsi" w:cstheme="majorBidi"/>
      <w:i/>
      <w:iCs/>
      <w:sz w:val="20"/>
      <w:szCs w:val="20"/>
    </w:rPr>
  </w:style>
  <w:style w:type="character" w:styleId="SubtleEmphasis">
    <w:name w:val="Subtle Emphasis"/>
    <w:uiPriority w:val="19"/>
    <w:qFormat/>
    <w:rsid w:val="00A0634B"/>
    <w:rPr>
      <w:i/>
      <w:iCs/>
      <w:color w:val="5A5A5A" w:themeColor="text1" w:themeTint="A5"/>
    </w:rPr>
  </w:style>
  <w:style w:type="character" w:styleId="IntenseEmphasis">
    <w:name w:val="Intense Emphasis"/>
    <w:uiPriority w:val="21"/>
    <w:qFormat/>
    <w:rsid w:val="00A0634B"/>
    <w:rPr>
      <w:b/>
      <w:bCs/>
      <w:i/>
      <w:iCs/>
      <w:color w:val="auto"/>
      <w:u w:val="single"/>
    </w:rPr>
  </w:style>
  <w:style w:type="character" w:styleId="SubtleReference">
    <w:name w:val="Subtle Reference"/>
    <w:uiPriority w:val="31"/>
    <w:qFormat/>
    <w:rsid w:val="00A0634B"/>
    <w:rPr>
      <w:smallCaps/>
    </w:rPr>
  </w:style>
  <w:style w:type="character" w:styleId="IntenseReference">
    <w:name w:val="Intense Reference"/>
    <w:uiPriority w:val="32"/>
    <w:qFormat/>
    <w:rsid w:val="00A0634B"/>
    <w:rPr>
      <w:b/>
      <w:bCs/>
      <w:smallCaps/>
      <w:color w:val="auto"/>
    </w:rPr>
  </w:style>
  <w:style w:type="character" w:styleId="BookTitle">
    <w:name w:val="Book Title"/>
    <w:uiPriority w:val="33"/>
    <w:qFormat/>
    <w:rsid w:val="00A0634B"/>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A0634B"/>
    <w:pPr>
      <w:outlineLvl w:val="9"/>
    </w:pPr>
    <w:rPr>
      <w:lang w:bidi="en-US"/>
    </w:rPr>
  </w:style>
  <w:style w:type="paragraph" w:styleId="Caption">
    <w:name w:val="caption"/>
    <w:basedOn w:val="Normal"/>
    <w:next w:val="Normal"/>
    <w:uiPriority w:val="35"/>
    <w:semiHidden/>
    <w:unhideWhenUsed/>
    <w:qFormat/>
    <w:rsid w:val="00A0634B"/>
    <w:rPr>
      <w:b/>
      <w:bCs/>
      <w:sz w:val="18"/>
      <w:szCs w:val="18"/>
    </w:rPr>
  </w:style>
  <w:style w:type="character" w:styleId="Hyperlink">
    <w:name w:val="Hyperlink"/>
    <w:basedOn w:val="DefaultParagraphFont"/>
    <w:uiPriority w:val="99"/>
    <w:unhideWhenUsed/>
    <w:rsid w:val="00A0634B"/>
    <w:rPr>
      <w:color w:val="0000FF" w:themeColor="hyperlink"/>
      <w:u w:val="single"/>
    </w:rPr>
  </w:style>
  <w:style w:type="table" w:styleId="TableGrid">
    <w:name w:val="Table Grid"/>
    <w:basedOn w:val="TableNormal"/>
    <w:uiPriority w:val="59"/>
    <w:rsid w:val="00804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16906"/>
    <w:rPr>
      <w:sz w:val="16"/>
      <w:szCs w:val="16"/>
    </w:rPr>
  </w:style>
  <w:style w:type="paragraph" w:styleId="CommentText">
    <w:name w:val="annotation text"/>
    <w:basedOn w:val="Normal"/>
    <w:link w:val="CommentTextChar"/>
    <w:uiPriority w:val="99"/>
    <w:semiHidden/>
    <w:unhideWhenUsed/>
    <w:rsid w:val="00E16906"/>
    <w:pPr>
      <w:spacing w:line="240" w:lineRule="auto"/>
    </w:pPr>
    <w:rPr>
      <w:sz w:val="20"/>
      <w:szCs w:val="20"/>
    </w:rPr>
  </w:style>
  <w:style w:type="character" w:customStyle="1" w:styleId="CommentTextChar">
    <w:name w:val="Comment Text Char"/>
    <w:basedOn w:val="DefaultParagraphFont"/>
    <w:link w:val="CommentText"/>
    <w:uiPriority w:val="99"/>
    <w:semiHidden/>
    <w:rsid w:val="00E16906"/>
    <w:rPr>
      <w:sz w:val="20"/>
      <w:szCs w:val="20"/>
    </w:rPr>
  </w:style>
  <w:style w:type="paragraph" w:styleId="CommentSubject">
    <w:name w:val="annotation subject"/>
    <w:basedOn w:val="CommentText"/>
    <w:next w:val="CommentText"/>
    <w:link w:val="CommentSubjectChar"/>
    <w:uiPriority w:val="99"/>
    <w:semiHidden/>
    <w:unhideWhenUsed/>
    <w:rsid w:val="00E16906"/>
    <w:rPr>
      <w:b/>
      <w:bCs/>
    </w:rPr>
  </w:style>
  <w:style w:type="character" w:customStyle="1" w:styleId="CommentSubjectChar">
    <w:name w:val="Comment Subject Char"/>
    <w:basedOn w:val="CommentTextChar"/>
    <w:link w:val="CommentSubject"/>
    <w:uiPriority w:val="99"/>
    <w:semiHidden/>
    <w:rsid w:val="00E16906"/>
    <w:rPr>
      <w:b/>
      <w:bCs/>
      <w:sz w:val="20"/>
      <w:szCs w:val="20"/>
    </w:rPr>
  </w:style>
  <w:style w:type="paragraph" w:styleId="BalloonText">
    <w:name w:val="Balloon Text"/>
    <w:basedOn w:val="Normal"/>
    <w:link w:val="BalloonTextChar"/>
    <w:uiPriority w:val="99"/>
    <w:semiHidden/>
    <w:unhideWhenUsed/>
    <w:rsid w:val="00E16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906"/>
    <w:rPr>
      <w:rFonts w:ascii="Tahoma" w:hAnsi="Tahoma" w:cs="Tahoma"/>
      <w:sz w:val="16"/>
      <w:szCs w:val="16"/>
    </w:rPr>
  </w:style>
  <w:style w:type="character" w:styleId="PlaceholderText">
    <w:name w:val="Placeholder Text"/>
    <w:basedOn w:val="DefaultParagraphFont"/>
    <w:uiPriority w:val="99"/>
    <w:semiHidden/>
    <w:rsid w:val="00B500DB"/>
    <w:rPr>
      <w:color w:val="808080"/>
    </w:rPr>
  </w:style>
  <w:style w:type="paragraph" w:styleId="Header">
    <w:name w:val="header"/>
    <w:basedOn w:val="Normal"/>
    <w:link w:val="HeaderChar"/>
    <w:uiPriority w:val="99"/>
    <w:unhideWhenUsed/>
    <w:rsid w:val="00E21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98"/>
  </w:style>
  <w:style w:type="paragraph" w:styleId="Footer">
    <w:name w:val="footer"/>
    <w:basedOn w:val="Normal"/>
    <w:link w:val="FooterChar"/>
    <w:uiPriority w:val="99"/>
    <w:unhideWhenUsed/>
    <w:rsid w:val="00E21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98"/>
  </w:style>
  <w:style w:type="paragraph" w:styleId="Bibliography">
    <w:name w:val="Bibliography"/>
    <w:basedOn w:val="Normal"/>
    <w:next w:val="Normal"/>
    <w:uiPriority w:val="37"/>
    <w:unhideWhenUsed/>
    <w:rsid w:val="00685CE1"/>
    <w:pPr>
      <w:spacing w:after="0"/>
      <w:ind w:left="720" w:hanging="720"/>
    </w:pPr>
  </w:style>
  <w:style w:type="paragraph" w:customStyle="1" w:styleId="paragraph">
    <w:name w:val="paragraph"/>
    <w:basedOn w:val="Normal"/>
    <w:rsid w:val="0009497B"/>
    <w:pPr>
      <w:spacing w:before="100" w:beforeAutospacing="1" w:after="100" w:afterAutospacing="1"/>
      <w:ind w:firstLine="0"/>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9497B"/>
  </w:style>
  <w:style w:type="character" w:customStyle="1" w:styleId="eop">
    <w:name w:val="eop"/>
    <w:basedOn w:val="DefaultParagraphFont"/>
    <w:rsid w:val="0009497B"/>
  </w:style>
  <w:style w:type="paragraph" w:customStyle="1" w:styleId="figure-legend">
    <w:name w:val="figure-legend"/>
    <w:basedOn w:val="Normal"/>
    <w:link w:val="figure-legendChar"/>
    <w:qFormat/>
    <w:rsid w:val="00B115BA"/>
    <w:pPr>
      <w:spacing w:line="240" w:lineRule="auto"/>
      <w:ind w:firstLine="0"/>
    </w:pPr>
    <w:rPr>
      <w:sz w:val="20"/>
    </w:rPr>
  </w:style>
  <w:style w:type="character" w:customStyle="1" w:styleId="figure-legendChar">
    <w:name w:val="figure-legend Char"/>
    <w:basedOn w:val="DefaultParagraphFont"/>
    <w:link w:val="figure-legend"/>
    <w:rsid w:val="00B115BA"/>
    <w:rPr>
      <w:rFonts w:ascii="Arial" w:hAnsi="Arial"/>
      <w:sz w:val="20"/>
    </w:rPr>
  </w:style>
  <w:style w:type="character" w:styleId="FollowedHyperlink">
    <w:name w:val="FollowedHyperlink"/>
    <w:basedOn w:val="DefaultParagraphFont"/>
    <w:uiPriority w:val="99"/>
    <w:semiHidden/>
    <w:unhideWhenUsed/>
    <w:rsid w:val="00CE1EB5"/>
    <w:rPr>
      <w:color w:val="800080" w:themeColor="followedHyperlink"/>
      <w:u w:val="single"/>
    </w:rPr>
  </w:style>
  <w:style w:type="paragraph" w:styleId="Revision">
    <w:name w:val="Revision"/>
    <w:hidden/>
    <w:uiPriority w:val="99"/>
    <w:semiHidden/>
    <w:rsid w:val="00CE1EB5"/>
    <w:pPr>
      <w:spacing w:after="0" w:line="240" w:lineRule="auto"/>
      <w:ind w:firstLine="0"/>
    </w:pPr>
    <w:rPr>
      <w:rFonts w:ascii="Arial" w:hAnsi="Arial"/>
    </w:rPr>
  </w:style>
  <w:style w:type="character" w:styleId="UnresolvedMention">
    <w:name w:val="Unresolved Mention"/>
    <w:basedOn w:val="DefaultParagraphFont"/>
    <w:uiPriority w:val="99"/>
    <w:semiHidden/>
    <w:unhideWhenUsed/>
    <w:rsid w:val="009F74D1"/>
    <w:rPr>
      <w:color w:val="605E5C"/>
      <w:shd w:val="clear" w:color="auto" w:fill="E1DFDD"/>
    </w:rPr>
  </w:style>
  <w:style w:type="character" w:styleId="LineNumber">
    <w:name w:val="line number"/>
    <w:basedOn w:val="DefaultParagraphFont"/>
    <w:uiPriority w:val="99"/>
    <w:semiHidden/>
    <w:unhideWhenUsed/>
    <w:rsid w:val="00CC7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678">
      <w:bodyDiv w:val="1"/>
      <w:marLeft w:val="0"/>
      <w:marRight w:val="0"/>
      <w:marTop w:val="0"/>
      <w:marBottom w:val="0"/>
      <w:divBdr>
        <w:top w:val="none" w:sz="0" w:space="0" w:color="auto"/>
        <w:left w:val="none" w:sz="0" w:space="0" w:color="auto"/>
        <w:bottom w:val="none" w:sz="0" w:space="0" w:color="auto"/>
        <w:right w:val="none" w:sz="0" w:space="0" w:color="auto"/>
      </w:divBdr>
      <w:divsChild>
        <w:div w:id="152968262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27226466">
      <w:bodyDiv w:val="1"/>
      <w:marLeft w:val="0"/>
      <w:marRight w:val="0"/>
      <w:marTop w:val="0"/>
      <w:marBottom w:val="0"/>
      <w:divBdr>
        <w:top w:val="none" w:sz="0" w:space="0" w:color="auto"/>
        <w:left w:val="none" w:sz="0" w:space="0" w:color="auto"/>
        <w:bottom w:val="none" w:sz="0" w:space="0" w:color="auto"/>
        <w:right w:val="none" w:sz="0" w:space="0" w:color="auto"/>
      </w:divBdr>
    </w:div>
    <w:div w:id="59259196">
      <w:bodyDiv w:val="1"/>
      <w:marLeft w:val="0"/>
      <w:marRight w:val="0"/>
      <w:marTop w:val="0"/>
      <w:marBottom w:val="0"/>
      <w:divBdr>
        <w:top w:val="none" w:sz="0" w:space="0" w:color="auto"/>
        <w:left w:val="none" w:sz="0" w:space="0" w:color="auto"/>
        <w:bottom w:val="none" w:sz="0" w:space="0" w:color="auto"/>
        <w:right w:val="none" w:sz="0" w:space="0" w:color="auto"/>
      </w:divBdr>
    </w:div>
    <w:div w:id="354699834">
      <w:bodyDiv w:val="1"/>
      <w:marLeft w:val="0"/>
      <w:marRight w:val="0"/>
      <w:marTop w:val="0"/>
      <w:marBottom w:val="0"/>
      <w:divBdr>
        <w:top w:val="none" w:sz="0" w:space="0" w:color="auto"/>
        <w:left w:val="none" w:sz="0" w:space="0" w:color="auto"/>
        <w:bottom w:val="none" w:sz="0" w:space="0" w:color="auto"/>
        <w:right w:val="none" w:sz="0" w:space="0" w:color="auto"/>
      </w:divBdr>
      <w:divsChild>
        <w:div w:id="389963676">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366762389">
      <w:bodyDiv w:val="1"/>
      <w:marLeft w:val="0"/>
      <w:marRight w:val="0"/>
      <w:marTop w:val="0"/>
      <w:marBottom w:val="0"/>
      <w:divBdr>
        <w:top w:val="none" w:sz="0" w:space="0" w:color="auto"/>
        <w:left w:val="none" w:sz="0" w:space="0" w:color="auto"/>
        <w:bottom w:val="none" w:sz="0" w:space="0" w:color="auto"/>
        <w:right w:val="none" w:sz="0" w:space="0" w:color="auto"/>
      </w:divBdr>
      <w:divsChild>
        <w:div w:id="1260678710">
          <w:marLeft w:val="0"/>
          <w:marRight w:val="0"/>
          <w:marTop w:val="0"/>
          <w:marBottom w:val="0"/>
          <w:divBdr>
            <w:top w:val="none" w:sz="0" w:space="0" w:color="auto"/>
            <w:left w:val="none" w:sz="0" w:space="0" w:color="auto"/>
            <w:bottom w:val="none" w:sz="0" w:space="0" w:color="auto"/>
            <w:right w:val="none" w:sz="0" w:space="0" w:color="auto"/>
          </w:divBdr>
          <w:divsChild>
            <w:div w:id="1530412512">
              <w:marLeft w:val="0"/>
              <w:marRight w:val="0"/>
              <w:marTop w:val="0"/>
              <w:marBottom w:val="0"/>
              <w:divBdr>
                <w:top w:val="none" w:sz="0" w:space="0" w:color="auto"/>
                <w:left w:val="none" w:sz="0" w:space="0" w:color="auto"/>
                <w:bottom w:val="none" w:sz="0" w:space="0" w:color="auto"/>
                <w:right w:val="none" w:sz="0" w:space="0" w:color="auto"/>
              </w:divBdr>
              <w:divsChild>
                <w:div w:id="1958372678">
                  <w:marLeft w:val="0"/>
                  <w:marRight w:val="0"/>
                  <w:marTop w:val="0"/>
                  <w:marBottom w:val="0"/>
                  <w:divBdr>
                    <w:top w:val="none" w:sz="0" w:space="0" w:color="auto"/>
                    <w:left w:val="none" w:sz="0" w:space="0" w:color="auto"/>
                    <w:bottom w:val="none" w:sz="0" w:space="0" w:color="auto"/>
                    <w:right w:val="none" w:sz="0" w:space="0" w:color="auto"/>
                  </w:divBdr>
                  <w:divsChild>
                    <w:div w:id="1948388103">
                      <w:marLeft w:val="0"/>
                      <w:marRight w:val="0"/>
                      <w:marTop w:val="0"/>
                      <w:marBottom w:val="0"/>
                      <w:divBdr>
                        <w:top w:val="none" w:sz="0" w:space="0" w:color="auto"/>
                        <w:left w:val="none" w:sz="0" w:space="0" w:color="auto"/>
                        <w:bottom w:val="none" w:sz="0" w:space="0" w:color="auto"/>
                        <w:right w:val="none" w:sz="0" w:space="0" w:color="auto"/>
                      </w:divBdr>
                      <w:divsChild>
                        <w:div w:id="1201477536">
                          <w:marLeft w:val="0"/>
                          <w:marRight w:val="0"/>
                          <w:marTop w:val="0"/>
                          <w:marBottom w:val="0"/>
                          <w:divBdr>
                            <w:top w:val="none" w:sz="0" w:space="0" w:color="auto"/>
                            <w:left w:val="none" w:sz="0" w:space="0" w:color="auto"/>
                            <w:bottom w:val="none" w:sz="0" w:space="0" w:color="auto"/>
                            <w:right w:val="none" w:sz="0" w:space="0" w:color="auto"/>
                          </w:divBdr>
                          <w:divsChild>
                            <w:div w:id="1286960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14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090728">
      <w:bodyDiv w:val="1"/>
      <w:marLeft w:val="0"/>
      <w:marRight w:val="0"/>
      <w:marTop w:val="0"/>
      <w:marBottom w:val="0"/>
      <w:divBdr>
        <w:top w:val="none" w:sz="0" w:space="0" w:color="auto"/>
        <w:left w:val="none" w:sz="0" w:space="0" w:color="auto"/>
        <w:bottom w:val="none" w:sz="0" w:space="0" w:color="auto"/>
        <w:right w:val="none" w:sz="0" w:space="0" w:color="auto"/>
      </w:divBdr>
      <w:divsChild>
        <w:div w:id="409161441">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587620885">
      <w:bodyDiv w:val="1"/>
      <w:marLeft w:val="0"/>
      <w:marRight w:val="0"/>
      <w:marTop w:val="0"/>
      <w:marBottom w:val="0"/>
      <w:divBdr>
        <w:top w:val="none" w:sz="0" w:space="0" w:color="auto"/>
        <w:left w:val="none" w:sz="0" w:space="0" w:color="auto"/>
        <w:bottom w:val="none" w:sz="0" w:space="0" w:color="auto"/>
        <w:right w:val="none" w:sz="0" w:space="0" w:color="auto"/>
      </w:divBdr>
    </w:div>
    <w:div w:id="606742144">
      <w:bodyDiv w:val="1"/>
      <w:marLeft w:val="0"/>
      <w:marRight w:val="0"/>
      <w:marTop w:val="0"/>
      <w:marBottom w:val="0"/>
      <w:divBdr>
        <w:top w:val="none" w:sz="0" w:space="0" w:color="auto"/>
        <w:left w:val="none" w:sz="0" w:space="0" w:color="auto"/>
        <w:bottom w:val="none" w:sz="0" w:space="0" w:color="auto"/>
        <w:right w:val="none" w:sz="0" w:space="0" w:color="auto"/>
      </w:divBdr>
      <w:divsChild>
        <w:div w:id="189952589">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662901269">
      <w:bodyDiv w:val="1"/>
      <w:marLeft w:val="0"/>
      <w:marRight w:val="0"/>
      <w:marTop w:val="0"/>
      <w:marBottom w:val="0"/>
      <w:divBdr>
        <w:top w:val="none" w:sz="0" w:space="0" w:color="auto"/>
        <w:left w:val="none" w:sz="0" w:space="0" w:color="auto"/>
        <w:bottom w:val="none" w:sz="0" w:space="0" w:color="auto"/>
        <w:right w:val="none" w:sz="0" w:space="0" w:color="auto"/>
      </w:divBdr>
      <w:divsChild>
        <w:div w:id="1579437266">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739521887">
      <w:bodyDiv w:val="1"/>
      <w:marLeft w:val="0"/>
      <w:marRight w:val="0"/>
      <w:marTop w:val="0"/>
      <w:marBottom w:val="0"/>
      <w:divBdr>
        <w:top w:val="none" w:sz="0" w:space="0" w:color="auto"/>
        <w:left w:val="none" w:sz="0" w:space="0" w:color="auto"/>
        <w:bottom w:val="none" w:sz="0" w:space="0" w:color="auto"/>
        <w:right w:val="none" w:sz="0" w:space="0" w:color="auto"/>
      </w:divBdr>
      <w:divsChild>
        <w:div w:id="1220362916">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010644073">
      <w:bodyDiv w:val="1"/>
      <w:marLeft w:val="0"/>
      <w:marRight w:val="0"/>
      <w:marTop w:val="0"/>
      <w:marBottom w:val="0"/>
      <w:divBdr>
        <w:top w:val="none" w:sz="0" w:space="0" w:color="auto"/>
        <w:left w:val="none" w:sz="0" w:space="0" w:color="auto"/>
        <w:bottom w:val="none" w:sz="0" w:space="0" w:color="auto"/>
        <w:right w:val="none" w:sz="0" w:space="0" w:color="auto"/>
      </w:divBdr>
      <w:divsChild>
        <w:div w:id="191461460">
          <w:marLeft w:val="0"/>
          <w:marRight w:val="0"/>
          <w:marTop w:val="0"/>
          <w:marBottom w:val="0"/>
          <w:divBdr>
            <w:top w:val="none" w:sz="0" w:space="0" w:color="auto"/>
            <w:left w:val="none" w:sz="0" w:space="0" w:color="auto"/>
            <w:bottom w:val="none" w:sz="0" w:space="0" w:color="auto"/>
            <w:right w:val="none" w:sz="0" w:space="0" w:color="auto"/>
          </w:divBdr>
        </w:div>
        <w:div w:id="253901775">
          <w:marLeft w:val="0"/>
          <w:marRight w:val="0"/>
          <w:marTop w:val="0"/>
          <w:marBottom w:val="0"/>
          <w:divBdr>
            <w:top w:val="none" w:sz="0" w:space="0" w:color="auto"/>
            <w:left w:val="none" w:sz="0" w:space="0" w:color="auto"/>
            <w:bottom w:val="none" w:sz="0" w:space="0" w:color="auto"/>
            <w:right w:val="none" w:sz="0" w:space="0" w:color="auto"/>
          </w:divBdr>
        </w:div>
        <w:div w:id="266697545">
          <w:marLeft w:val="0"/>
          <w:marRight w:val="0"/>
          <w:marTop w:val="0"/>
          <w:marBottom w:val="0"/>
          <w:divBdr>
            <w:top w:val="none" w:sz="0" w:space="0" w:color="auto"/>
            <w:left w:val="none" w:sz="0" w:space="0" w:color="auto"/>
            <w:bottom w:val="none" w:sz="0" w:space="0" w:color="auto"/>
            <w:right w:val="none" w:sz="0" w:space="0" w:color="auto"/>
          </w:divBdr>
        </w:div>
        <w:div w:id="303118234">
          <w:marLeft w:val="0"/>
          <w:marRight w:val="0"/>
          <w:marTop w:val="0"/>
          <w:marBottom w:val="0"/>
          <w:divBdr>
            <w:top w:val="none" w:sz="0" w:space="0" w:color="auto"/>
            <w:left w:val="none" w:sz="0" w:space="0" w:color="auto"/>
            <w:bottom w:val="none" w:sz="0" w:space="0" w:color="auto"/>
            <w:right w:val="none" w:sz="0" w:space="0" w:color="auto"/>
          </w:divBdr>
        </w:div>
        <w:div w:id="347799893">
          <w:marLeft w:val="0"/>
          <w:marRight w:val="0"/>
          <w:marTop w:val="0"/>
          <w:marBottom w:val="0"/>
          <w:divBdr>
            <w:top w:val="none" w:sz="0" w:space="0" w:color="auto"/>
            <w:left w:val="none" w:sz="0" w:space="0" w:color="auto"/>
            <w:bottom w:val="none" w:sz="0" w:space="0" w:color="auto"/>
            <w:right w:val="none" w:sz="0" w:space="0" w:color="auto"/>
          </w:divBdr>
        </w:div>
        <w:div w:id="392897039">
          <w:marLeft w:val="0"/>
          <w:marRight w:val="0"/>
          <w:marTop w:val="0"/>
          <w:marBottom w:val="0"/>
          <w:divBdr>
            <w:top w:val="none" w:sz="0" w:space="0" w:color="auto"/>
            <w:left w:val="none" w:sz="0" w:space="0" w:color="auto"/>
            <w:bottom w:val="none" w:sz="0" w:space="0" w:color="auto"/>
            <w:right w:val="none" w:sz="0" w:space="0" w:color="auto"/>
          </w:divBdr>
        </w:div>
        <w:div w:id="767963846">
          <w:marLeft w:val="0"/>
          <w:marRight w:val="0"/>
          <w:marTop w:val="0"/>
          <w:marBottom w:val="0"/>
          <w:divBdr>
            <w:top w:val="none" w:sz="0" w:space="0" w:color="auto"/>
            <w:left w:val="none" w:sz="0" w:space="0" w:color="auto"/>
            <w:bottom w:val="none" w:sz="0" w:space="0" w:color="auto"/>
            <w:right w:val="none" w:sz="0" w:space="0" w:color="auto"/>
          </w:divBdr>
        </w:div>
        <w:div w:id="788478732">
          <w:marLeft w:val="0"/>
          <w:marRight w:val="0"/>
          <w:marTop w:val="0"/>
          <w:marBottom w:val="0"/>
          <w:divBdr>
            <w:top w:val="none" w:sz="0" w:space="0" w:color="auto"/>
            <w:left w:val="none" w:sz="0" w:space="0" w:color="auto"/>
            <w:bottom w:val="none" w:sz="0" w:space="0" w:color="auto"/>
            <w:right w:val="none" w:sz="0" w:space="0" w:color="auto"/>
          </w:divBdr>
        </w:div>
        <w:div w:id="820736381">
          <w:marLeft w:val="0"/>
          <w:marRight w:val="0"/>
          <w:marTop w:val="0"/>
          <w:marBottom w:val="0"/>
          <w:divBdr>
            <w:top w:val="none" w:sz="0" w:space="0" w:color="auto"/>
            <w:left w:val="none" w:sz="0" w:space="0" w:color="auto"/>
            <w:bottom w:val="none" w:sz="0" w:space="0" w:color="auto"/>
            <w:right w:val="none" w:sz="0" w:space="0" w:color="auto"/>
          </w:divBdr>
        </w:div>
        <w:div w:id="1026098815">
          <w:marLeft w:val="0"/>
          <w:marRight w:val="0"/>
          <w:marTop w:val="0"/>
          <w:marBottom w:val="0"/>
          <w:divBdr>
            <w:top w:val="none" w:sz="0" w:space="0" w:color="auto"/>
            <w:left w:val="none" w:sz="0" w:space="0" w:color="auto"/>
            <w:bottom w:val="none" w:sz="0" w:space="0" w:color="auto"/>
            <w:right w:val="none" w:sz="0" w:space="0" w:color="auto"/>
          </w:divBdr>
        </w:div>
        <w:div w:id="1071274287">
          <w:marLeft w:val="0"/>
          <w:marRight w:val="0"/>
          <w:marTop w:val="0"/>
          <w:marBottom w:val="0"/>
          <w:divBdr>
            <w:top w:val="none" w:sz="0" w:space="0" w:color="auto"/>
            <w:left w:val="none" w:sz="0" w:space="0" w:color="auto"/>
            <w:bottom w:val="none" w:sz="0" w:space="0" w:color="auto"/>
            <w:right w:val="none" w:sz="0" w:space="0" w:color="auto"/>
          </w:divBdr>
        </w:div>
        <w:div w:id="1142114473">
          <w:marLeft w:val="0"/>
          <w:marRight w:val="0"/>
          <w:marTop w:val="0"/>
          <w:marBottom w:val="0"/>
          <w:divBdr>
            <w:top w:val="none" w:sz="0" w:space="0" w:color="auto"/>
            <w:left w:val="none" w:sz="0" w:space="0" w:color="auto"/>
            <w:bottom w:val="none" w:sz="0" w:space="0" w:color="auto"/>
            <w:right w:val="none" w:sz="0" w:space="0" w:color="auto"/>
          </w:divBdr>
        </w:div>
        <w:div w:id="1202287472">
          <w:marLeft w:val="0"/>
          <w:marRight w:val="0"/>
          <w:marTop w:val="0"/>
          <w:marBottom w:val="0"/>
          <w:divBdr>
            <w:top w:val="none" w:sz="0" w:space="0" w:color="auto"/>
            <w:left w:val="none" w:sz="0" w:space="0" w:color="auto"/>
            <w:bottom w:val="none" w:sz="0" w:space="0" w:color="auto"/>
            <w:right w:val="none" w:sz="0" w:space="0" w:color="auto"/>
          </w:divBdr>
        </w:div>
        <w:div w:id="1309480248">
          <w:marLeft w:val="0"/>
          <w:marRight w:val="0"/>
          <w:marTop w:val="0"/>
          <w:marBottom w:val="0"/>
          <w:divBdr>
            <w:top w:val="none" w:sz="0" w:space="0" w:color="auto"/>
            <w:left w:val="none" w:sz="0" w:space="0" w:color="auto"/>
            <w:bottom w:val="none" w:sz="0" w:space="0" w:color="auto"/>
            <w:right w:val="none" w:sz="0" w:space="0" w:color="auto"/>
          </w:divBdr>
        </w:div>
        <w:div w:id="1389650704">
          <w:marLeft w:val="0"/>
          <w:marRight w:val="0"/>
          <w:marTop w:val="0"/>
          <w:marBottom w:val="0"/>
          <w:divBdr>
            <w:top w:val="none" w:sz="0" w:space="0" w:color="auto"/>
            <w:left w:val="none" w:sz="0" w:space="0" w:color="auto"/>
            <w:bottom w:val="none" w:sz="0" w:space="0" w:color="auto"/>
            <w:right w:val="none" w:sz="0" w:space="0" w:color="auto"/>
          </w:divBdr>
        </w:div>
        <w:div w:id="1414665906">
          <w:marLeft w:val="0"/>
          <w:marRight w:val="0"/>
          <w:marTop w:val="0"/>
          <w:marBottom w:val="0"/>
          <w:divBdr>
            <w:top w:val="none" w:sz="0" w:space="0" w:color="auto"/>
            <w:left w:val="none" w:sz="0" w:space="0" w:color="auto"/>
            <w:bottom w:val="none" w:sz="0" w:space="0" w:color="auto"/>
            <w:right w:val="none" w:sz="0" w:space="0" w:color="auto"/>
          </w:divBdr>
        </w:div>
        <w:div w:id="1919903004">
          <w:marLeft w:val="0"/>
          <w:marRight w:val="0"/>
          <w:marTop w:val="0"/>
          <w:marBottom w:val="0"/>
          <w:divBdr>
            <w:top w:val="none" w:sz="0" w:space="0" w:color="auto"/>
            <w:left w:val="none" w:sz="0" w:space="0" w:color="auto"/>
            <w:bottom w:val="none" w:sz="0" w:space="0" w:color="auto"/>
            <w:right w:val="none" w:sz="0" w:space="0" w:color="auto"/>
          </w:divBdr>
        </w:div>
        <w:div w:id="1930239339">
          <w:marLeft w:val="0"/>
          <w:marRight w:val="0"/>
          <w:marTop w:val="0"/>
          <w:marBottom w:val="0"/>
          <w:divBdr>
            <w:top w:val="none" w:sz="0" w:space="0" w:color="auto"/>
            <w:left w:val="none" w:sz="0" w:space="0" w:color="auto"/>
            <w:bottom w:val="none" w:sz="0" w:space="0" w:color="auto"/>
            <w:right w:val="none" w:sz="0" w:space="0" w:color="auto"/>
          </w:divBdr>
        </w:div>
        <w:div w:id="2056544147">
          <w:marLeft w:val="0"/>
          <w:marRight w:val="0"/>
          <w:marTop w:val="0"/>
          <w:marBottom w:val="0"/>
          <w:divBdr>
            <w:top w:val="none" w:sz="0" w:space="0" w:color="auto"/>
            <w:left w:val="none" w:sz="0" w:space="0" w:color="auto"/>
            <w:bottom w:val="none" w:sz="0" w:space="0" w:color="auto"/>
            <w:right w:val="none" w:sz="0" w:space="0" w:color="auto"/>
          </w:divBdr>
        </w:div>
      </w:divsChild>
    </w:div>
    <w:div w:id="1029182072">
      <w:bodyDiv w:val="1"/>
      <w:marLeft w:val="0"/>
      <w:marRight w:val="0"/>
      <w:marTop w:val="0"/>
      <w:marBottom w:val="0"/>
      <w:divBdr>
        <w:top w:val="none" w:sz="0" w:space="0" w:color="auto"/>
        <w:left w:val="none" w:sz="0" w:space="0" w:color="auto"/>
        <w:bottom w:val="none" w:sz="0" w:space="0" w:color="auto"/>
        <w:right w:val="none" w:sz="0" w:space="0" w:color="auto"/>
      </w:divBdr>
      <w:divsChild>
        <w:div w:id="168105523">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256591069">
      <w:bodyDiv w:val="1"/>
      <w:marLeft w:val="0"/>
      <w:marRight w:val="0"/>
      <w:marTop w:val="0"/>
      <w:marBottom w:val="0"/>
      <w:divBdr>
        <w:top w:val="none" w:sz="0" w:space="0" w:color="auto"/>
        <w:left w:val="none" w:sz="0" w:space="0" w:color="auto"/>
        <w:bottom w:val="none" w:sz="0" w:space="0" w:color="auto"/>
        <w:right w:val="none" w:sz="0" w:space="0" w:color="auto"/>
      </w:divBdr>
      <w:divsChild>
        <w:div w:id="1697580555">
          <w:marLeft w:val="0"/>
          <w:marRight w:val="0"/>
          <w:marTop w:val="0"/>
          <w:marBottom w:val="0"/>
          <w:divBdr>
            <w:top w:val="none" w:sz="0" w:space="0" w:color="auto"/>
            <w:left w:val="none" w:sz="0" w:space="0" w:color="auto"/>
            <w:bottom w:val="none" w:sz="0" w:space="0" w:color="auto"/>
            <w:right w:val="none" w:sz="0" w:space="0" w:color="auto"/>
          </w:divBdr>
        </w:div>
        <w:div w:id="1925452337">
          <w:marLeft w:val="0"/>
          <w:marRight w:val="0"/>
          <w:marTop w:val="0"/>
          <w:marBottom w:val="0"/>
          <w:divBdr>
            <w:top w:val="none" w:sz="0" w:space="0" w:color="auto"/>
            <w:left w:val="none" w:sz="0" w:space="0" w:color="auto"/>
            <w:bottom w:val="none" w:sz="0" w:space="0" w:color="auto"/>
            <w:right w:val="none" w:sz="0" w:space="0" w:color="auto"/>
          </w:divBdr>
        </w:div>
      </w:divsChild>
    </w:div>
    <w:div w:id="1363163189">
      <w:bodyDiv w:val="1"/>
      <w:marLeft w:val="0"/>
      <w:marRight w:val="0"/>
      <w:marTop w:val="0"/>
      <w:marBottom w:val="0"/>
      <w:divBdr>
        <w:top w:val="none" w:sz="0" w:space="0" w:color="auto"/>
        <w:left w:val="none" w:sz="0" w:space="0" w:color="auto"/>
        <w:bottom w:val="none" w:sz="0" w:space="0" w:color="auto"/>
        <w:right w:val="none" w:sz="0" w:space="0" w:color="auto"/>
      </w:divBdr>
    </w:div>
    <w:div w:id="1442148892">
      <w:bodyDiv w:val="1"/>
      <w:marLeft w:val="0"/>
      <w:marRight w:val="0"/>
      <w:marTop w:val="0"/>
      <w:marBottom w:val="0"/>
      <w:divBdr>
        <w:top w:val="none" w:sz="0" w:space="0" w:color="auto"/>
        <w:left w:val="none" w:sz="0" w:space="0" w:color="auto"/>
        <w:bottom w:val="none" w:sz="0" w:space="0" w:color="auto"/>
        <w:right w:val="none" w:sz="0" w:space="0" w:color="auto"/>
      </w:divBdr>
    </w:div>
    <w:div w:id="1567492100">
      <w:bodyDiv w:val="1"/>
      <w:marLeft w:val="0"/>
      <w:marRight w:val="0"/>
      <w:marTop w:val="0"/>
      <w:marBottom w:val="0"/>
      <w:divBdr>
        <w:top w:val="none" w:sz="0" w:space="0" w:color="auto"/>
        <w:left w:val="none" w:sz="0" w:space="0" w:color="auto"/>
        <w:bottom w:val="none" w:sz="0" w:space="0" w:color="auto"/>
        <w:right w:val="none" w:sz="0" w:space="0" w:color="auto"/>
      </w:divBdr>
      <w:divsChild>
        <w:div w:id="908077650">
          <w:marLeft w:val="0"/>
          <w:marRight w:val="0"/>
          <w:marTop w:val="0"/>
          <w:marBottom w:val="0"/>
          <w:divBdr>
            <w:top w:val="none" w:sz="0" w:space="0" w:color="auto"/>
            <w:left w:val="none" w:sz="0" w:space="0" w:color="auto"/>
            <w:bottom w:val="none" w:sz="0" w:space="0" w:color="auto"/>
            <w:right w:val="none" w:sz="0" w:space="0" w:color="auto"/>
          </w:divBdr>
          <w:divsChild>
            <w:div w:id="790168160">
              <w:marLeft w:val="0"/>
              <w:marRight w:val="0"/>
              <w:marTop w:val="0"/>
              <w:marBottom w:val="0"/>
              <w:divBdr>
                <w:top w:val="none" w:sz="0" w:space="0" w:color="auto"/>
                <w:left w:val="none" w:sz="0" w:space="0" w:color="auto"/>
                <w:bottom w:val="none" w:sz="0" w:space="0" w:color="auto"/>
                <w:right w:val="none" w:sz="0" w:space="0" w:color="auto"/>
              </w:divBdr>
              <w:divsChild>
                <w:div w:id="1815637481">
                  <w:marLeft w:val="0"/>
                  <w:marRight w:val="0"/>
                  <w:marTop w:val="0"/>
                  <w:marBottom w:val="0"/>
                  <w:divBdr>
                    <w:top w:val="none" w:sz="0" w:space="0" w:color="auto"/>
                    <w:left w:val="none" w:sz="0" w:space="0" w:color="auto"/>
                    <w:bottom w:val="none" w:sz="0" w:space="0" w:color="auto"/>
                    <w:right w:val="none" w:sz="0" w:space="0" w:color="auto"/>
                  </w:divBdr>
                  <w:divsChild>
                    <w:div w:id="274943943">
                      <w:marLeft w:val="0"/>
                      <w:marRight w:val="0"/>
                      <w:marTop w:val="0"/>
                      <w:marBottom w:val="0"/>
                      <w:divBdr>
                        <w:top w:val="none" w:sz="0" w:space="0" w:color="auto"/>
                        <w:left w:val="none" w:sz="0" w:space="0" w:color="auto"/>
                        <w:bottom w:val="none" w:sz="0" w:space="0" w:color="auto"/>
                        <w:right w:val="none" w:sz="0" w:space="0" w:color="auto"/>
                      </w:divBdr>
                      <w:divsChild>
                        <w:div w:id="1758869281">
                          <w:marLeft w:val="0"/>
                          <w:marRight w:val="0"/>
                          <w:marTop w:val="0"/>
                          <w:marBottom w:val="0"/>
                          <w:divBdr>
                            <w:top w:val="none" w:sz="0" w:space="0" w:color="auto"/>
                            <w:left w:val="none" w:sz="0" w:space="0" w:color="auto"/>
                            <w:bottom w:val="none" w:sz="0" w:space="0" w:color="auto"/>
                            <w:right w:val="none" w:sz="0" w:space="0" w:color="auto"/>
                          </w:divBdr>
                          <w:divsChild>
                            <w:div w:id="1169563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209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96924">
      <w:bodyDiv w:val="1"/>
      <w:marLeft w:val="0"/>
      <w:marRight w:val="0"/>
      <w:marTop w:val="0"/>
      <w:marBottom w:val="0"/>
      <w:divBdr>
        <w:top w:val="none" w:sz="0" w:space="0" w:color="auto"/>
        <w:left w:val="none" w:sz="0" w:space="0" w:color="auto"/>
        <w:bottom w:val="none" w:sz="0" w:space="0" w:color="auto"/>
        <w:right w:val="none" w:sz="0" w:space="0" w:color="auto"/>
      </w:divBdr>
    </w:div>
    <w:div w:id="1776897887">
      <w:bodyDiv w:val="1"/>
      <w:marLeft w:val="0"/>
      <w:marRight w:val="0"/>
      <w:marTop w:val="0"/>
      <w:marBottom w:val="0"/>
      <w:divBdr>
        <w:top w:val="none" w:sz="0" w:space="0" w:color="auto"/>
        <w:left w:val="none" w:sz="0" w:space="0" w:color="auto"/>
        <w:bottom w:val="none" w:sz="0" w:space="0" w:color="auto"/>
        <w:right w:val="none" w:sz="0" w:space="0" w:color="auto"/>
      </w:divBdr>
    </w:div>
    <w:div w:id="1927422440">
      <w:bodyDiv w:val="1"/>
      <w:marLeft w:val="0"/>
      <w:marRight w:val="0"/>
      <w:marTop w:val="0"/>
      <w:marBottom w:val="0"/>
      <w:divBdr>
        <w:top w:val="none" w:sz="0" w:space="0" w:color="auto"/>
        <w:left w:val="none" w:sz="0" w:space="0" w:color="auto"/>
        <w:bottom w:val="none" w:sz="0" w:space="0" w:color="auto"/>
        <w:right w:val="none" w:sz="0" w:space="0" w:color="auto"/>
      </w:divBdr>
      <w:divsChild>
        <w:div w:id="87766214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931237342">
      <w:bodyDiv w:val="1"/>
      <w:marLeft w:val="0"/>
      <w:marRight w:val="0"/>
      <w:marTop w:val="0"/>
      <w:marBottom w:val="0"/>
      <w:divBdr>
        <w:top w:val="none" w:sz="0" w:space="0" w:color="auto"/>
        <w:left w:val="none" w:sz="0" w:space="0" w:color="auto"/>
        <w:bottom w:val="none" w:sz="0" w:space="0" w:color="auto"/>
        <w:right w:val="none" w:sz="0" w:space="0" w:color="auto"/>
      </w:divBdr>
      <w:divsChild>
        <w:div w:id="481432659">
          <w:marLeft w:val="0"/>
          <w:marRight w:val="0"/>
          <w:marTop w:val="0"/>
          <w:marBottom w:val="0"/>
          <w:divBdr>
            <w:top w:val="none" w:sz="0" w:space="0" w:color="auto"/>
            <w:left w:val="none" w:sz="0" w:space="0" w:color="auto"/>
            <w:bottom w:val="none" w:sz="0" w:space="0" w:color="auto"/>
            <w:right w:val="none" w:sz="0" w:space="0" w:color="auto"/>
          </w:divBdr>
          <w:divsChild>
            <w:div w:id="2143575277">
              <w:marLeft w:val="0"/>
              <w:marRight w:val="0"/>
              <w:marTop w:val="0"/>
              <w:marBottom w:val="0"/>
              <w:divBdr>
                <w:top w:val="none" w:sz="0" w:space="0" w:color="auto"/>
                <w:left w:val="none" w:sz="0" w:space="0" w:color="auto"/>
                <w:bottom w:val="none" w:sz="0" w:space="0" w:color="auto"/>
                <w:right w:val="none" w:sz="0" w:space="0" w:color="auto"/>
              </w:divBdr>
              <w:divsChild>
                <w:div w:id="529536071">
                  <w:marLeft w:val="0"/>
                  <w:marRight w:val="0"/>
                  <w:marTop w:val="0"/>
                  <w:marBottom w:val="0"/>
                  <w:divBdr>
                    <w:top w:val="none" w:sz="0" w:space="0" w:color="auto"/>
                    <w:left w:val="none" w:sz="0" w:space="0" w:color="auto"/>
                    <w:bottom w:val="none" w:sz="0" w:space="0" w:color="auto"/>
                    <w:right w:val="none" w:sz="0" w:space="0" w:color="auto"/>
                  </w:divBdr>
                  <w:divsChild>
                    <w:div w:id="101346539">
                      <w:marLeft w:val="0"/>
                      <w:marRight w:val="0"/>
                      <w:marTop w:val="0"/>
                      <w:marBottom w:val="0"/>
                      <w:divBdr>
                        <w:top w:val="none" w:sz="0" w:space="0" w:color="auto"/>
                        <w:left w:val="none" w:sz="0" w:space="0" w:color="auto"/>
                        <w:bottom w:val="none" w:sz="0" w:space="0" w:color="auto"/>
                        <w:right w:val="none" w:sz="0" w:space="0" w:color="auto"/>
                      </w:divBdr>
                      <w:divsChild>
                        <w:div w:id="1432051358">
                          <w:marLeft w:val="0"/>
                          <w:marRight w:val="0"/>
                          <w:marTop w:val="0"/>
                          <w:marBottom w:val="0"/>
                          <w:divBdr>
                            <w:top w:val="none" w:sz="0" w:space="0" w:color="auto"/>
                            <w:left w:val="none" w:sz="0" w:space="0" w:color="auto"/>
                            <w:bottom w:val="none" w:sz="0" w:space="0" w:color="auto"/>
                            <w:right w:val="none" w:sz="0" w:space="0" w:color="auto"/>
                          </w:divBdr>
                          <w:divsChild>
                            <w:div w:id="1880698482">
                              <w:marLeft w:val="0"/>
                              <w:marRight w:val="0"/>
                              <w:marTop w:val="0"/>
                              <w:marBottom w:val="0"/>
                              <w:divBdr>
                                <w:top w:val="single" w:sz="6" w:space="3" w:color="EAEAEA"/>
                                <w:left w:val="single" w:sz="6" w:space="0" w:color="EAEAEA"/>
                                <w:bottom w:val="single" w:sz="6" w:space="0" w:color="EAEAEA"/>
                                <w:right w:val="single" w:sz="6" w:space="0" w:color="EAEAEA"/>
                              </w:divBdr>
                              <w:divsChild>
                                <w:div w:id="623075147">
                                  <w:marLeft w:val="0"/>
                                  <w:marRight w:val="0"/>
                                  <w:marTop w:val="0"/>
                                  <w:marBottom w:val="0"/>
                                  <w:divBdr>
                                    <w:top w:val="none" w:sz="0" w:space="0" w:color="auto"/>
                                    <w:left w:val="none" w:sz="0" w:space="0" w:color="auto"/>
                                    <w:bottom w:val="none" w:sz="0" w:space="0" w:color="auto"/>
                                    <w:right w:val="none" w:sz="0" w:space="0" w:color="auto"/>
                                  </w:divBdr>
                                  <w:divsChild>
                                    <w:div w:id="2034845458">
                                      <w:marLeft w:val="0"/>
                                      <w:marRight w:val="0"/>
                                      <w:marTop w:val="0"/>
                                      <w:marBottom w:val="0"/>
                                      <w:divBdr>
                                        <w:top w:val="none" w:sz="0" w:space="0" w:color="auto"/>
                                        <w:left w:val="none" w:sz="0" w:space="0" w:color="auto"/>
                                        <w:bottom w:val="none" w:sz="0" w:space="0" w:color="auto"/>
                                        <w:right w:val="none" w:sz="0" w:space="0" w:color="auto"/>
                                      </w:divBdr>
                                      <w:divsChild>
                                        <w:div w:id="981429319">
                                          <w:marLeft w:val="0"/>
                                          <w:marRight w:val="0"/>
                                          <w:marTop w:val="0"/>
                                          <w:marBottom w:val="0"/>
                                          <w:divBdr>
                                            <w:top w:val="none" w:sz="0" w:space="0" w:color="auto"/>
                                            <w:left w:val="none" w:sz="0" w:space="0" w:color="auto"/>
                                            <w:bottom w:val="none" w:sz="0" w:space="0" w:color="auto"/>
                                            <w:right w:val="none" w:sz="0" w:space="0" w:color="auto"/>
                                          </w:divBdr>
                                          <w:divsChild>
                                            <w:div w:id="627516620">
                                              <w:marLeft w:val="30"/>
                                              <w:marRight w:val="30"/>
                                              <w:marTop w:val="0"/>
                                              <w:marBottom w:val="0"/>
                                              <w:divBdr>
                                                <w:top w:val="none" w:sz="0" w:space="0" w:color="auto"/>
                                                <w:left w:val="none" w:sz="0" w:space="0" w:color="auto"/>
                                                <w:bottom w:val="none" w:sz="0" w:space="0" w:color="auto"/>
                                                <w:right w:val="none" w:sz="0" w:space="0" w:color="auto"/>
                                              </w:divBdr>
                                              <w:divsChild>
                                                <w:div w:id="339935236">
                                                  <w:marLeft w:val="0"/>
                                                  <w:marRight w:val="0"/>
                                                  <w:marTop w:val="30"/>
                                                  <w:marBottom w:val="30"/>
                                                  <w:divBdr>
                                                    <w:top w:val="none" w:sz="0" w:space="0" w:color="auto"/>
                                                    <w:left w:val="none" w:sz="0" w:space="0" w:color="auto"/>
                                                    <w:bottom w:val="none" w:sz="0" w:space="0" w:color="auto"/>
                                                    <w:right w:val="none" w:sz="0" w:space="0" w:color="auto"/>
                                                  </w:divBdr>
                                                  <w:divsChild>
                                                    <w:div w:id="99685862">
                                                      <w:marLeft w:val="0"/>
                                                      <w:marRight w:val="0"/>
                                                      <w:marTop w:val="0"/>
                                                      <w:marBottom w:val="0"/>
                                                      <w:divBdr>
                                                        <w:top w:val="none" w:sz="0" w:space="0" w:color="auto"/>
                                                        <w:left w:val="none" w:sz="0" w:space="0" w:color="auto"/>
                                                        <w:bottom w:val="none" w:sz="0" w:space="0" w:color="auto"/>
                                                        <w:right w:val="none" w:sz="0" w:space="0" w:color="auto"/>
                                                      </w:divBdr>
                                                      <w:divsChild>
                                                        <w:div w:id="788664321">
                                                          <w:marLeft w:val="0"/>
                                                          <w:marRight w:val="0"/>
                                                          <w:marTop w:val="0"/>
                                                          <w:marBottom w:val="0"/>
                                                          <w:divBdr>
                                                            <w:top w:val="none" w:sz="0" w:space="0" w:color="auto"/>
                                                            <w:left w:val="none" w:sz="0" w:space="0" w:color="auto"/>
                                                            <w:bottom w:val="none" w:sz="0" w:space="0" w:color="auto"/>
                                                            <w:right w:val="none" w:sz="0" w:space="0" w:color="auto"/>
                                                          </w:divBdr>
                                                          <w:divsChild>
                                                            <w:div w:id="1464538088">
                                                              <w:marLeft w:val="0"/>
                                                              <w:marRight w:val="0"/>
                                                              <w:marTop w:val="0"/>
                                                              <w:marBottom w:val="0"/>
                                                              <w:divBdr>
                                                                <w:top w:val="none" w:sz="0" w:space="0" w:color="auto"/>
                                                                <w:left w:val="none" w:sz="0" w:space="0" w:color="auto"/>
                                                                <w:bottom w:val="none" w:sz="0" w:space="0" w:color="auto"/>
                                                                <w:right w:val="none" w:sz="0" w:space="0" w:color="auto"/>
                                                              </w:divBdr>
                                                              <w:divsChild>
                                                                <w:div w:id="1196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712645">
                                          <w:marLeft w:val="150"/>
                                          <w:marRight w:val="150"/>
                                          <w:marTop w:val="0"/>
                                          <w:marBottom w:val="0"/>
                                          <w:divBdr>
                                            <w:top w:val="none" w:sz="0" w:space="0" w:color="auto"/>
                                            <w:left w:val="none" w:sz="0" w:space="0" w:color="auto"/>
                                            <w:bottom w:val="none" w:sz="0" w:space="0" w:color="auto"/>
                                            <w:right w:val="none" w:sz="0" w:space="0" w:color="auto"/>
                                          </w:divBdr>
                                          <w:divsChild>
                                            <w:div w:id="178470364">
                                              <w:marLeft w:val="30"/>
                                              <w:marRight w:val="30"/>
                                              <w:marTop w:val="120"/>
                                              <w:marBottom w:val="135"/>
                                              <w:divBdr>
                                                <w:top w:val="single" w:sz="6" w:space="0" w:color="8A8886"/>
                                                <w:left w:val="single" w:sz="6" w:space="0" w:color="8A8886"/>
                                                <w:bottom w:val="single" w:sz="6" w:space="0" w:color="8A8886"/>
                                                <w:right w:val="single" w:sz="6" w:space="0" w:color="8A8886"/>
                                              </w:divBdr>
                                              <w:divsChild>
                                                <w:div w:id="232204214">
                                                  <w:marLeft w:val="0"/>
                                                  <w:marRight w:val="0"/>
                                                  <w:marTop w:val="0"/>
                                                  <w:marBottom w:val="0"/>
                                                  <w:divBdr>
                                                    <w:top w:val="none" w:sz="0" w:space="0" w:color="auto"/>
                                                    <w:left w:val="none" w:sz="0" w:space="0" w:color="auto"/>
                                                    <w:bottom w:val="none" w:sz="0" w:space="0" w:color="auto"/>
                                                    <w:right w:val="none" w:sz="0" w:space="0" w:color="auto"/>
                                                  </w:divBdr>
                                                  <w:divsChild>
                                                    <w:div w:id="1481382317">
                                                      <w:marLeft w:val="0"/>
                                                      <w:marRight w:val="0"/>
                                                      <w:marTop w:val="0"/>
                                                      <w:marBottom w:val="0"/>
                                                      <w:divBdr>
                                                        <w:top w:val="none" w:sz="0" w:space="0" w:color="auto"/>
                                                        <w:left w:val="none" w:sz="0" w:space="0" w:color="auto"/>
                                                        <w:bottom w:val="none" w:sz="0" w:space="0" w:color="auto"/>
                                                        <w:right w:val="none" w:sz="0" w:space="0" w:color="auto"/>
                                                      </w:divBdr>
                                                      <w:divsChild>
                                                        <w:div w:id="71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4068589">
          <w:marLeft w:val="0"/>
          <w:marRight w:val="0"/>
          <w:marTop w:val="0"/>
          <w:marBottom w:val="0"/>
          <w:divBdr>
            <w:top w:val="none" w:sz="0" w:space="0" w:color="auto"/>
            <w:left w:val="none" w:sz="0" w:space="0" w:color="auto"/>
            <w:bottom w:val="none" w:sz="0" w:space="0" w:color="auto"/>
            <w:right w:val="none" w:sz="0" w:space="0" w:color="auto"/>
          </w:divBdr>
          <w:divsChild>
            <w:div w:id="245455829">
              <w:marLeft w:val="0"/>
              <w:marRight w:val="0"/>
              <w:marTop w:val="0"/>
              <w:marBottom w:val="0"/>
              <w:divBdr>
                <w:top w:val="none" w:sz="0" w:space="0" w:color="auto"/>
                <w:left w:val="none" w:sz="0" w:space="0" w:color="auto"/>
                <w:bottom w:val="none" w:sz="0" w:space="0" w:color="auto"/>
                <w:right w:val="none" w:sz="0" w:space="0" w:color="auto"/>
              </w:divBdr>
              <w:divsChild>
                <w:div w:id="1227567314">
                  <w:marLeft w:val="0"/>
                  <w:marRight w:val="0"/>
                  <w:marTop w:val="0"/>
                  <w:marBottom w:val="0"/>
                  <w:divBdr>
                    <w:top w:val="none" w:sz="0" w:space="0" w:color="auto"/>
                    <w:left w:val="none" w:sz="0" w:space="0" w:color="auto"/>
                    <w:bottom w:val="none" w:sz="0" w:space="0" w:color="auto"/>
                    <w:right w:val="none" w:sz="0" w:space="0" w:color="auto"/>
                  </w:divBdr>
                  <w:divsChild>
                    <w:div w:id="298611055">
                      <w:marLeft w:val="0"/>
                      <w:marRight w:val="0"/>
                      <w:marTop w:val="0"/>
                      <w:marBottom w:val="0"/>
                      <w:divBdr>
                        <w:top w:val="none" w:sz="0" w:space="0" w:color="auto"/>
                        <w:left w:val="none" w:sz="0" w:space="0" w:color="auto"/>
                        <w:bottom w:val="none" w:sz="0" w:space="0" w:color="auto"/>
                        <w:right w:val="none" w:sz="0" w:space="0" w:color="auto"/>
                      </w:divBdr>
                      <w:divsChild>
                        <w:div w:id="1792162640">
                          <w:marLeft w:val="0"/>
                          <w:marRight w:val="0"/>
                          <w:marTop w:val="0"/>
                          <w:marBottom w:val="0"/>
                          <w:divBdr>
                            <w:top w:val="none" w:sz="0" w:space="0" w:color="auto"/>
                            <w:left w:val="none" w:sz="0" w:space="0" w:color="auto"/>
                            <w:bottom w:val="none" w:sz="0" w:space="0" w:color="auto"/>
                            <w:right w:val="none" w:sz="0" w:space="0" w:color="auto"/>
                          </w:divBdr>
                          <w:divsChild>
                            <w:div w:id="1682008264">
                              <w:marLeft w:val="0"/>
                              <w:marRight w:val="0"/>
                              <w:marTop w:val="0"/>
                              <w:marBottom w:val="0"/>
                              <w:divBdr>
                                <w:top w:val="single" w:sz="6" w:space="3" w:color="EAEAEA"/>
                                <w:left w:val="single" w:sz="6" w:space="0" w:color="EAEAEA"/>
                                <w:bottom w:val="single" w:sz="6" w:space="0" w:color="EAEAEA"/>
                                <w:right w:val="single" w:sz="6" w:space="0" w:color="EAEAEA"/>
                              </w:divBdr>
                              <w:divsChild>
                                <w:div w:id="255746420">
                                  <w:marLeft w:val="0"/>
                                  <w:marRight w:val="120"/>
                                  <w:marTop w:val="0"/>
                                  <w:marBottom w:val="0"/>
                                  <w:divBdr>
                                    <w:top w:val="none" w:sz="0" w:space="0" w:color="auto"/>
                                    <w:left w:val="none" w:sz="0" w:space="0" w:color="auto"/>
                                    <w:bottom w:val="none" w:sz="0" w:space="0" w:color="auto"/>
                                    <w:right w:val="none" w:sz="0" w:space="0" w:color="auto"/>
                                  </w:divBdr>
                                  <w:divsChild>
                                    <w:div w:id="1154494848">
                                      <w:marLeft w:val="0"/>
                                      <w:marRight w:val="0"/>
                                      <w:marTop w:val="0"/>
                                      <w:marBottom w:val="0"/>
                                      <w:divBdr>
                                        <w:top w:val="none" w:sz="0" w:space="0" w:color="auto"/>
                                        <w:left w:val="none" w:sz="0" w:space="0" w:color="auto"/>
                                        <w:bottom w:val="none" w:sz="0" w:space="0" w:color="auto"/>
                                        <w:right w:val="none" w:sz="0" w:space="0" w:color="auto"/>
                                      </w:divBdr>
                                      <w:divsChild>
                                        <w:div w:id="8299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3484">
                                  <w:marLeft w:val="0"/>
                                  <w:marRight w:val="0"/>
                                  <w:marTop w:val="0"/>
                                  <w:marBottom w:val="0"/>
                                  <w:divBdr>
                                    <w:top w:val="none" w:sz="0" w:space="0" w:color="auto"/>
                                    <w:left w:val="none" w:sz="0" w:space="0" w:color="auto"/>
                                    <w:bottom w:val="none" w:sz="0" w:space="0" w:color="auto"/>
                                    <w:right w:val="none" w:sz="0" w:space="0" w:color="auto"/>
                                  </w:divBdr>
                                  <w:divsChild>
                                    <w:div w:id="1139028645">
                                      <w:marLeft w:val="0"/>
                                      <w:marRight w:val="0"/>
                                      <w:marTop w:val="0"/>
                                      <w:marBottom w:val="0"/>
                                      <w:divBdr>
                                        <w:top w:val="none" w:sz="0" w:space="0" w:color="auto"/>
                                        <w:left w:val="none" w:sz="0" w:space="0" w:color="auto"/>
                                        <w:bottom w:val="none" w:sz="0" w:space="0" w:color="auto"/>
                                        <w:right w:val="none" w:sz="0" w:space="0" w:color="auto"/>
                                      </w:divBdr>
                                      <w:divsChild>
                                        <w:div w:id="1250189187">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244091">
      <w:bodyDiv w:val="1"/>
      <w:marLeft w:val="0"/>
      <w:marRight w:val="0"/>
      <w:marTop w:val="0"/>
      <w:marBottom w:val="0"/>
      <w:divBdr>
        <w:top w:val="none" w:sz="0" w:space="0" w:color="auto"/>
        <w:left w:val="none" w:sz="0" w:space="0" w:color="auto"/>
        <w:bottom w:val="none" w:sz="0" w:space="0" w:color="auto"/>
        <w:right w:val="none" w:sz="0" w:space="0" w:color="auto"/>
      </w:divBdr>
      <w:divsChild>
        <w:div w:id="61768771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964731968">
      <w:bodyDiv w:val="1"/>
      <w:marLeft w:val="0"/>
      <w:marRight w:val="0"/>
      <w:marTop w:val="0"/>
      <w:marBottom w:val="0"/>
      <w:divBdr>
        <w:top w:val="none" w:sz="0" w:space="0" w:color="auto"/>
        <w:left w:val="none" w:sz="0" w:space="0" w:color="auto"/>
        <w:bottom w:val="none" w:sz="0" w:space="0" w:color="auto"/>
        <w:right w:val="none" w:sz="0" w:space="0" w:color="auto"/>
      </w:divBdr>
      <w:divsChild>
        <w:div w:id="1787891906">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966353718">
      <w:bodyDiv w:val="1"/>
      <w:marLeft w:val="0"/>
      <w:marRight w:val="0"/>
      <w:marTop w:val="0"/>
      <w:marBottom w:val="0"/>
      <w:divBdr>
        <w:top w:val="none" w:sz="0" w:space="0" w:color="auto"/>
        <w:left w:val="none" w:sz="0" w:space="0" w:color="auto"/>
        <w:bottom w:val="none" w:sz="0" w:space="0" w:color="auto"/>
        <w:right w:val="none" w:sz="0" w:space="0" w:color="auto"/>
      </w:divBdr>
    </w:div>
    <w:div w:id="1982728797">
      <w:bodyDiv w:val="1"/>
      <w:marLeft w:val="0"/>
      <w:marRight w:val="0"/>
      <w:marTop w:val="0"/>
      <w:marBottom w:val="0"/>
      <w:divBdr>
        <w:top w:val="none" w:sz="0" w:space="0" w:color="auto"/>
        <w:left w:val="none" w:sz="0" w:space="0" w:color="auto"/>
        <w:bottom w:val="none" w:sz="0" w:space="0" w:color="auto"/>
        <w:right w:val="none" w:sz="0" w:space="0" w:color="auto"/>
      </w:divBdr>
    </w:div>
    <w:div w:id="2059666582">
      <w:bodyDiv w:val="1"/>
      <w:marLeft w:val="0"/>
      <w:marRight w:val="0"/>
      <w:marTop w:val="0"/>
      <w:marBottom w:val="0"/>
      <w:divBdr>
        <w:top w:val="none" w:sz="0" w:space="0" w:color="auto"/>
        <w:left w:val="none" w:sz="0" w:space="0" w:color="auto"/>
        <w:bottom w:val="none" w:sz="0" w:space="0" w:color="auto"/>
        <w:right w:val="none" w:sz="0" w:space="0" w:color="auto"/>
      </w:divBdr>
      <w:divsChild>
        <w:div w:id="421211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2088266096">
      <w:bodyDiv w:val="1"/>
      <w:marLeft w:val="0"/>
      <w:marRight w:val="0"/>
      <w:marTop w:val="0"/>
      <w:marBottom w:val="0"/>
      <w:divBdr>
        <w:top w:val="none" w:sz="0" w:space="0" w:color="auto"/>
        <w:left w:val="none" w:sz="0" w:space="0" w:color="auto"/>
        <w:bottom w:val="none" w:sz="0" w:space="0" w:color="auto"/>
        <w:right w:val="none" w:sz="0" w:space="0" w:color="auto"/>
      </w:divBdr>
      <w:divsChild>
        <w:div w:id="1000740685">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9-0007-4959-2667" TargetMode="External"/><Relationship Id="rId13" Type="http://schemas.openxmlformats.org/officeDocument/2006/relationships/hyperlink" Target="https://github.com/tscnlab/GuidolinEtAl_PCIRRStage1_2025/tree/main/vr_calibr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scnlab/GuidolinEtAl_PCIRRStage1_2025/tree/main/bfda" TargetMode="External"/><Relationship Id="rId4" Type="http://schemas.openxmlformats.org/officeDocument/2006/relationships/settings" Target="settings.xml"/><Relationship Id="rId9" Type="http://schemas.openxmlformats.org/officeDocument/2006/relationships/hyperlink" Target="https://orcid.org/0000-0002-8572-926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D8CAE-7B6A-427C-82D6-3E0052D6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41213</Words>
  <Characters>241097</Characters>
  <Application>Microsoft Office Word</Application>
  <DocSecurity>0</DocSecurity>
  <Lines>6027</Lines>
  <Paragraphs>1798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280512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Kousta, Stavroula</dc:creator>
  <cp:keywords/>
  <dc:description/>
  <cp:lastModifiedBy>Carolina Guidolin</cp:lastModifiedBy>
  <cp:revision>2</cp:revision>
  <dcterms:created xsi:type="dcterms:W3CDTF">2025-06-12T08:35:00Z</dcterms:created>
  <dcterms:modified xsi:type="dcterms:W3CDTF">2025-06-12T08:35:00Z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https://hive.springernature.com</vt:lpwstr>
  </property>
  <property fmtid="{D5CDD505-2E9C-101B-9397-08002B2CF9AE}" pid="3" name="Jive_VersionGuid">
    <vt:lpwstr>7ef2528c-75f0-4657-a393-39c4d837083f</vt:lpwstr>
  </property>
  <property fmtid="{D5CDD505-2E9C-101B-9397-08002B2CF9AE}" pid="4" name="Offisync_UniqueId">
    <vt:lpwstr>190799</vt:lpwstr>
  </property>
  <property fmtid="{D5CDD505-2E9C-101B-9397-08002B2CF9AE}" pid="5" name="Offisync_UpdateToken">
    <vt:lpwstr>2</vt:lpwstr>
  </property>
  <property fmtid="{D5CDD505-2E9C-101B-9397-08002B2CF9AE}" pid="6" name="Jive_LatestUserAccountName">
    <vt:lpwstr>anne-marike.schiffer@nature.com</vt:lpwstr>
  </property>
  <property fmtid="{D5CDD505-2E9C-101B-9397-08002B2CF9AE}" pid="7" name="Offisync_ServerID">
    <vt:lpwstr>0d673023-5242-4d13-a9d7-ca41728b752d</vt:lpwstr>
  </property>
  <property fmtid="{D5CDD505-2E9C-101B-9397-08002B2CF9AE}" pid="8" name="GrammarlyDocumentId">
    <vt:lpwstr>856a141b54d39ff3a2a10b6b9e4f9190b7de134b44d8f5ce98b29d0730d225d6</vt:lpwstr>
  </property>
  <property fmtid="{D5CDD505-2E9C-101B-9397-08002B2CF9AE}" pid="9" name="ZOTERO_PREF_1">
    <vt:lpwstr>&lt;data data-version="3" zotero-version="6.0.36"&gt;&lt;session id="pFCzBSob"/&gt;&lt;style id="http://www.zotero.org/styles/apa" locale="en-GB" hasBibliography="1" bibliographyStyleHasBeenSet="1"/&gt;&lt;prefs&gt;&lt;pref name="fieldType" value="Field"/&gt;&lt;/prefs&gt;&lt;/data&gt;</vt:lpwstr>
  </property>
</Properties>
</file>